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B1" w:rsidRPr="00FB20B1" w:rsidRDefault="00FB20B1">
      <w:pPr>
        <w:rPr>
          <w:sz w:val="10"/>
          <w:szCs w:val="10"/>
        </w:rPr>
      </w:pPr>
      <w:bookmarkStart w:id="0" w:name="_GoBack"/>
      <w:bookmarkEnd w:id="0"/>
    </w:p>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187A37" w:rsidTr="00FB20B1">
        <w:tblPrEx>
          <w:tblCellMar>
            <w:top w:w="0" w:type="dxa"/>
            <w:bottom w:w="0" w:type="dxa"/>
          </w:tblCellMar>
        </w:tblPrEx>
        <w:trPr>
          <w:trHeight w:val="537"/>
        </w:trPr>
        <w:tc>
          <w:tcPr>
            <w:tcW w:w="9538" w:type="dxa"/>
          </w:tcPr>
          <w:p w:rsidR="00C26DFB" w:rsidRPr="00187A37" w:rsidRDefault="00C26DFB" w:rsidP="00DC50EB">
            <w:pPr>
              <w:pStyle w:val="Cabealho"/>
              <w:tabs>
                <w:tab w:val="clear" w:pos="4419"/>
                <w:tab w:val="clear" w:pos="8838"/>
              </w:tabs>
              <w:jc w:val="both"/>
              <w:rPr>
                <w:sz w:val="10"/>
                <w:szCs w:val="10"/>
              </w:rPr>
            </w:pPr>
            <w:r w:rsidRPr="00187A37">
              <w:rPr>
                <w:sz w:val="16"/>
                <w:szCs w:val="16"/>
              </w:rPr>
              <w:t>Este Informativo, elaborado a partir de notas tomadas nas sessões de julgamentos, contém resumos não</w:t>
            </w:r>
            <w:r w:rsidR="00DC50EB" w:rsidRPr="00187A37">
              <w:rPr>
                <w:sz w:val="16"/>
                <w:szCs w:val="16"/>
              </w:rPr>
              <w:t xml:space="preserve"> </w:t>
            </w:r>
            <w:r w:rsidRPr="00187A37">
              <w:rPr>
                <w:sz w:val="16"/>
                <w:szCs w:val="16"/>
              </w:rPr>
              <w:t>oficiais de decisões proferidas pelo Tribunal. A fidelidade dos resumos ao conteúdo efetivo das decisões, embora seja uma das metas perseguidas neste trabalho, somente poderá ser aferida após a sua publicação no Diário</w:t>
            </w:r>
            <w:r w:rsidR="00980944" w:rsidRPr="00187A37">
              <w:rPr>
                <w:sz w:val="16"/>
                <w:szCs w:val="16"/>
              </w:rPr>
              <w:t xml:space="preserve"> Eletrônico </w:t>
            </w:r>
            <w:r w:rsidRPr="00187A37">
              <w:rPr>
                <w:sz w:val="16"/>
                <w:szCs w:val="16"/>
              </w:rPr>
              <w:t>da Justiça</w:t>
            </w:r>
            <w:r w:rsidR="00980944" w:rsidRPr="00187A37">
              <w:rPr>
                <w:sz w:val="16"/>
                <w:szCs w:val="16"/>
              </w:rPr>
              <w:t xml:space="preserve"> do Trabalho</w:t>
            </w:r>
            <w:r w:rsidRPr="00187A37">
              <w:rPr>
                <w:sz w:val="16"/>
                <w:szCs w:val="16"/>
              </w:rPr>
              <w:t>.</w:t>
            </w:r>
          </w:p>
        </w:tc>
      </w:tr>
    </w:tbl>
    <w:p w:rsidR="00EA29F5" w:rsidRPr="005D1DE4" w:rsidRDefault="00EA29F5" w:rsidP="00EA29F5">
      <w:pPr>
        <w:pStyle w:val="Corpodetexto2"/>
        <w:jc w:val="center"/>
        <w:rPr>
          <w:b/>
          <w:bCs/>
          <w:emboss/>
          <w:sz w:val="10"/>
          <w:szCs w:val="10"/>
        </w:rPr>
      </w:pPr>
    </w:p>
    <w:p w:rsidR="000228E6" w:rsidRPr="00971E07" w:rsidRDefault="00631F1C" w:rsidP="00631F1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left"/>
        <w:rPr>
          <w:rFonts w:ascii="Times New Roman" w:hAnsi="Times New Roman" w:cs="Times New Roman"/>
          <w:b/>
          <w:bCs/>
          <w:shadow/>
          <w:color w:val="auto"/>
          <w:sz w:val="26"/>
          <w:szCs w:val="26"/>
          <w:lang w:val="pt-BR"/>
        </w:rPr>
      </w:pPr>
      <w:r>
        <w:rPr>
          <w:rFonts w:ascii="Times New Roman" w:hAnsi="Times New Roman" w:cs="Times New Roman"/>
          <w:b/>
          <w:bCs/>
          <w:shadow/>
          <w:color w:val="auto"/>
          <w:sz w:val="26"/>
          <w:szCs w:val="26"/>
          <w:lang w:val="pt-BR"/>
        </w:rPr>
        <w:tab/>
      </w:r>
      <w:r w:rsidR="000228E6" w:rsidRPr="00971E07">
        <w:rPr>
          <w:rFonts w:ascii="Times New Roman" w:hAnsi="Times New Roman" w:cs="Times New Roman"/>
          <w:b/>
          <w:bCs/>
          <w:shadow/>
          <w:color w:val="auto"/>
          <w:sz w:val="26"/>
          <w:szCs w:val="26"/>
          <w:lang w:val="pt-BR"/>
        </w:rPr>
        <w:t>ÓRGÃO ESPECIAL</w:t>
      </w:r>
      <w:r>
        <w:rPr>
          <w:rFonts w:ascii="Times New Roman" w:hAnsi="Times New Roman" w:cs="Times New Roman"/>
          <w:b/>
          <w:bCs/>
          <w:shadow/>
          <w:color w:val="auto"/>
          <w:sz w:val="26"/>
          <w:szCs w:val="26"/>
          <w:lang w:val="pt-BR"/>
        </w:rPr>
        <w:tab/>
      </w:r>
    </w:p>
    <w:p w:rsidR="000228E6" w:rsidRPr="005D1DE4" w:rsidRDefault="000228E6" w:rsidP="00EA29F5">
      <w:pPr>
        <w:pStyle w:val="Corpodetexto2"/>
        <w:jc w:val="center"/>
        <w:rPr>
          <w:b/>
          <w:bCs/>
          <w:emboss/>
          <w:sz w:val="10"/>
          <w:szCs w:val="10"/>
        </w:rPr>
      </w:pPr>
    </w:p>
    <w:p w:rsidR="008343D7" w:rsidRDefault="008343D7" w:rsidP="008343D7">
      <w:pPr>
        <w:jc w:val="both"/>
        <w:rPr>
          <w:b/>
          <w:i/>
          <w:sz w:val="24"/>
          <w:szCs w:val="24"/>
        </w:rPr>
      </w:pPr>
      <w:r>
        <w:rPr>
          <w:b/>
          <w:i/>
          <w:sz w:val="24"/>
          <w:szCs w:val="24"/>
        </w:rPr>
        <w:t xml:space="preserve">Processo Administrativo Disciplinar. Magistrado. Penalidade de remoção. Aferição da maioria absoluta. Art. 93, VIII, da CF. Totalidade de cargos do tribunal. </w:t>
      </w:r>
    </w:p>
    <w:p w:rsidR="008343D7" w:rsidRDefault="008343D7" w:rsidP="008343D7">
      <w:pPr>
        <w:jc w:val="both"/>
        <w:rPr>
          <w:sz w:val="24"/>
          <w:szCs w:val="24"/>
        </w:rPr>
      </w:pPr>
      <w:r>
        <w:rPr>
          <w:sz w:val="24"/>
          <w:szCs w:val="24"/>
        </w:rPr>
        <w:t>Nos termos do art. 93, VIII, da CF, o ato de remoção de magistrado deve se fundar em decisão proferida pela maioria absoluta dos membros do tribunal, a qual será definida com base na totalidade de cargos existentes na corte, independente do número de cargos vagos ou afastamentos por tempo indeterminado. Na espécie, o TRT da 1ª Região, não obstante ser composto por 54 membros, condenou a acusada à pena de remoção compulsória, pelo voto de 24 juízes, salientando que a maioria absoluta é aferida considerando-se o número de membros integrantes do Tribunal no momento da votação, sem a inclusão dos cargos eventualmente vagos por qualquer motivo. Assim, o Órgão Especial, por maioria, deu provimento ao recurso administrativo para declarar a invalidade, por ausência de quórum, da decisão do TRT da 1ª Região e determinar o retorno dos autos à origem, a fim de que profira novo julgamento</w:t>
      </w:r>
      <w:r w:rsidRPr="001E650A">
        <w:rPr>
          <w:sz w:val="24"/>
          <w:szCs w:val="24"/>
        </w:rPr>
        <w:t>.</w:t>
      </w:r>
      <w:r>
        <w:rPr>
          <w:sz w:val="24"/>
          <w:szCs w:val="24"/>
        </w:rPr>
        <w:t xml:space="preserve"> Vencidos os Ministros Brito Pereira, relator, Renato de Lacerda Paiva e Guilherme Augusto Caputo Bastos.</w:t>
      </w:r>
      <w:r w:rsidRPr="001E650A">
        <w:rPr>
          <w:sz w:val="24"/>
          <w:szCs w:val="24"/>
        </w:rPr>
        <w:t xml:space="preserve"> </w:t>
      </w:r>
      <w:hyperlink r:id="rId8" w:history="1">
        <w:r w:rsidRPr="001C2BAB">
          <w:rPr>
            <w:rStyle w:val="Hyperlink"/>
            <w:sz w:val="24"/>
            <w:szCs w:val="24"/>
          </w:rPr>
          <w:t>TST-RecAdm-673200-61.2008.5.01.0000</w:t>
        </w:r>
      </w:hyperlink>
      <w:r w:rsidRPr="001E650A">
        <w:rPr>
          <w:sz w:val="24"/>
          <w:szCs w:val="24"/>
          <w:u w:val="single"/>
        </w:rPr>
        <w:t>, Órgão Especial,</w:t>
      </w:r>
      <w:r>
        <w:rPr>
          <w:sz w:val="24"/>
          <w:szCs w:val="24"/>
          <w:u w:val="single"/>
        </w:rPr>
        <w:t xml:space="preserve"> rel. Min. Brito Pereira, red. p/ acórdão </w:t>
      </w:r>
      <w:r w:rsidRPr="001E650A">
        <w:rPr>
          <w:sz w:val="24"/>
          <w:szCs w:val="24"/>
          <w:u w:val="single"/>
        </w:rPr>
        <w:t xml:space="preserve">Min. </w:t>
      </w:r>
      <w:r>
        <w:rPr>
          <w:sz w:val="24"/>
          <w:szCs w:val="24"/>
          <w:u w:val="single"/>
        </w:rPr>
        <w:t>Carlos Alberto Reis de Paula</w:t>
      </w:r>
      <w:r w:rsidRPr="001E650A">
        <w:rPr>
          <w:sz w:val="24"/>
          <w:szCs w:val="24"/>
          <w:u w:val="single"/>
        </w:rPr>
        <w:t xml:space="preserve">, </w:t>
      </w:r>
      <w:r>
        <w:rPr>
          <w:sz w:val="24"/>
          <w:szCs w:val="24"/>
          <w:u w:val="single"/>
        </w:rPr>
        <w:t>5</w:t>
      </w:r>
      <w:r w:rsidRPr="001E650A">
        <w:rPr>
          <w:sz w:val="24"/>
          <w:szCs w:val="24"/>
          <w:u w:val="single"/>
        </w:rPr>
        <w:t>.1</w:t>
      </w:r>
      <w:r>
        <w:rPr>
          <w:sz w:val="24"/>
          <w:szCs w:val="24"/>
          <w:u w:val="single"/>
        </w:rPr>
        <w:t>2</w:t>
      </w:r>
      <w:r w:rsidRPr="001E650A">
        <w:rPr>
          <w:sz w:val="24"/>
          <w:szCs w:val="24"/>
          <w:u w:val="single"/>
        </w:rPr>
        <w:t>.2012</w:t>
      </w:r>
    </w:p>
    <w:p w:rsidR="00C71A3B" w:rsidRPr="008343D7" w:rsidRDefault="00C71A3B" w:rsidP="00F82D8F">
      <w:pPr>
        <w:pStyle w:val="Corpo"/>
        <w:spacing w:line="240" w:lineRule="auto"/>
        <w:ind w:firstLine="0"/>
        <w:rPr>
          <w:rFonts w:ascii="Times New Roman" w:hAnsi="Times New Roman" w:cs="Times New Roman"/>
          <w:b/>
          <w:bCs/>
          <w:shadow/>
          <w:color w:val="auto"/>
          <w:sz w:val="20"/>
          <w:szCs w:val="20"/>
          <w:lang w:val="pt-BR"/>
        </w:rPr>
      </w:pPr>
    </w:p>
    <w:p w:rsidR="00631F1C" w:rsidRPr="00971E07" w:rsidRDefault="00631F1C" w:rsidP="00631F1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2C2904" w:rsidRPr="005D1DE4" w:rsidRDefault="002C2904" w:rsidP="002C2904">
      <w:pPr>
        <w:ind w:right="-567"/>
        <w:jc w:val="both"/>
        <w:rPr>
          <w:sz w:val="10"/>
          <w:szCs w:val="10"/>
        </w:rPr>
      </w:pPr>
    </w:p>
    <w:p w:rsidR="008343D7" w:rsidRPr="00261026" w:rsidRDefault="008343D7" w:rsidP="008343D7">
      <w:pPr>
        <w:pStyle w:val="Corpo"/>
        <w:spacing w:line="240" w:lineRule="auto"/>
        <w:ind w:firstLine="0"/>
        <w:rPr>
          <w:rFonts w:ascii="Times New Roman" w:eastAsia="Calibri" w:hAnsi="Times New Roman" w:cs="Times New Roman"/>
          <w:b/>
          <w:i/>
          <w:color w:val="auto"/>
          <w:lang w:val="pt-BR" w:eastAsia="en-US"/>
        </w:rPr>
      </w:pPr>
      <w:r>
        <w:rPr>
          <w:rFonts w:ascii="Times New Roman" w:eastAsia="Calibri" w:hAnsi="Times New Roman" w:cs="Times New Roman"/>
          <w:b/>
          <w:i/>
          <w:color w:val="auto"/>
          <w:lang w:val="pt-BR" w:eastAsia="en-US"/>
        </w:rPr>
        <w:t>N</w:t>
      </w:r>
      <w:r w:rsidRPr="00261026">
        <w:rPr>
          <w:rFonts w:ascii="Times New Roman" w:eastAsia="Calibri" w:hAnsi="Times New Roman" w:cs="Times New Roman"/>
          <w:b/>
          <w:i/>
          <w:color w:val="auto"/>
          <w:lang w:val="pt-BR" w:eastAsia="en-US"/>
        </w:rPr>
        <w:t>ulidade por negativa de prestação jurisdicional. Divergência jurisprudencial</w:t>
      </w:r>
      <w:r>
        <w:rPr>
          <w:rFonts w:ascii="Times New Roman" w:eastAsia="Calibri" w:hAnsi="Times New Roman" w:cs="Times New Roman"/>
          <w:b/>
          <w:i/>
          <w:color w:val="auto"/>
          <w:lang w:val="pt-BR" w:eastAsia="en-US"/>
        </w:rPr>
        <w:t>. Caracterização. A</w:t>
      </w:r>
      <w:r w:rsidRPr="00261026">
        <w:rPr>
          <w:rFonts w:ascii="Times New Roman" w:eastAsia="Calibri" w:hAnsi="Times New Roman" w:cs="Times New Roman"/>
          <w:b/>
          <w:i/>
          <w:color w:val="auto"/>
          <w:lang w:val="pt-BR" w:eastAsia="en-US"/>
        </w:rPr>
        <w:t>córdão do TRT que não se pronunciou acerca da previsão em norma coletiva da inclusão do sábado como repouso semanal remunerado do empregado bancário.</w:t>
      </w:r>
    </w:p>
    <w:p w:rsidR="008343D7" w:rsidRPr="0029019E" w:rsidRDefault="008343D7" w:rsidP="008343D7">
      <w:pPr>
        <w:pStyle w:val="Corpo"/>
        <w:spacing w:line="240" w:lineRule="auto"/>
        <w:ind w:firstLine="0"/>
        <w:rPr>
          <w:rFonts w:ascii="Times New Roman" w:eastAsia="Calibri" w:hAnsi="Times New Roman" w:cs="Times New Roman"/>
          <w:lang w:val="pt-BR"/>
        </w:rPr>
      </w:pPr>
      <w:r w:rsidRPr="0047572C">
        <w:rPr>
          <w:rFonts w:ascii="Times New Roman" w:eastAsia="Calibri" w:hAnsi="Times New Roman" w:cs="Times New Roman"/>
          <w:lang w:val="pt-BR"/>
        </w:rPr>
        <w:t>Apesar da dificuldade em se caracterizar o dissenso de teses nos casos em que se discute a preliminar de nulidade por negativa de p</w:t>
      </w:r>
      <w:r>
        <w:rPr>
          <w:rFonts w:ascii="Times New Roman" w:eastAsia="Calibri" w:hAnsi="Times New Roman" w:cs="Times New Roman"/>
          <w:lang w:val="pt-BR"/>
        </w:rPr>
        <w:t>restação jurisdicional, a SBDI-I</w:t>
      </w:r>
      <w:r w:rsidRPr="0047572C">
        <w:rPr>
          <w:rFonts w:ascii="Times New Roman" w:eastAsia="Calibri" w:hAnsi="Times New Roman" w:cs="Times New Roman"/>
          <w:lang w:val="pt-BR"/>
        </w:rPr>
        <w:t>, por maioria, conheceu dos embargos</w:t>
      </w:r>
      <w:r>
        <w:rPr>
          <w:rFonts w:ascii="Times New Roman" w:eastAsia="Calibri" w:hAnsi="Times New Roman" w:cs="Times New Roman"/>
          <w:lang w:val="pt-BR"/>
        </w:rPr>
        <w:t>,</w:t>
      </w:r>
      <w:r w:rsidRPr="0047572C">
        <w:rPr>
          <w:rFonts w:ascii="Times New Roman" w:eastAsia="Calibri" w:hAnsi="Times New Roman" w:cs="Times New Roman"/>
          <w:lang w:val="pt-BR"/>
        </w:rPr>
        <w:t xml:space="preserve"> por divergência jurisprudencial</w:t>
      </w:r>
      <w:r>
        <w:rPr>
          <w:rFonts w:ascii="Times New Roman" w:eastAsia="Calibri" w:hAnsi="Times New Roman" w:cs="Times New Roman"/>
          <w:lang w:val="pt-BR"/>
        </w:rPr>
        <w:t>,</w:t>
      </w:r>
      <w:r w:rsidRPr="0047572C">
        <w:rPr>
          <w:rFonts w:ascii="Times New Roman" w:eastAsia="Calibri" w:hAnsi="Times New Roman" w:cs="Times New Roman"/>
          <w:lang w:val="pt-BR"/>
        </w:rPr>
        <w:t xml:space="preserve"> na hipótese em que </w:t>
      </w:r>
      <w:r>
        <w:rPr>
          <w:rFonts w:ascii="Times New Roman" w:eastAsia="Calibri" w:hAnsi="Times New Roman" w:cs="Times New Roman"/>
          <w:lang w:val="pt-BR"/>
        </w:rPr>
        <w:t>o</w:t>
      </w:r>
      <w:r w:rsidRPr="0047572C">
        <w:rPr>
          <w:rFonts w:ascii="Times New Roman" w:eastAsia="Calibri" w:hAnsi="Times New Roman" w:cs="Times New Roman"/>
          <w:lang w:val="pt-BR"/>
        </w:rPr>
        <w:t xml:space="preserve"> aresto divergente apresenta conclusão diversa na interpretação do mesmo dispositivo constitucional</w:t>
      </w:r>
      <w:r>
        <w:rPr>
          <w:rFonts w:ascii="Times New Roman" w:eastAsia="Calibri" w:hAnsi="Times New Roman" w:cs="Times New Roman"/>
          <w:lang w:val="pt-BR"/>
        </w:rPr>
        <w:t>,</w:t>
      </w:r>
      <w:r w:rsidRPr="0047572C">
        <w:rPr>
          <w:rFonts w:ascii="Times New Roman" w:eastAsia="Calibri" w:hAnsi="Times New Roman" w:cs="Times New Roman"/>
          <w:lang w:val="pt-BR"/>
        </w:rPr>
        <w:t xml:space="preserve"> </w:t>
      </w:r>
      <w:r>
        <w:rPr>
          <w:rFonts w:ascii="Times New Roman" w:eastAsia="Calibri" w:hAnsi="Times New Roman" w:cs="Times New Roman"/>
          <w:lang w:val="pt-BR"/>
        </w:rPr>
        <w:t xml:space="preserve">e </w:t>
      </w:r>
      <w:r w:rsidRPr="0047572C">
        <w:rPr>
          <w:rFonts w:ascii="Times New Roman" w:eastAsia="Calibri" w:hAnsi="Times New Roman" w:cs="Times New Roman"/>
          <w:lang w:val="pt-BR"/>
        </w:rPr>
        <w:t xml:space="preserve">em situação fática idêntica à </w:t>
      </w:r>
      <w:r>
        <w:rPr>
          <w:rFonts w:ascii="Times New Roman" w:eastAsia="Calibri" w:hAnsi="Times New Roman" w:cs="Times New Roman"/>
          <w:lang w:val="pt-BR"/>
        </w:rPr>
        <w:t>retratada</w:t>
      </w:r>
      <w:r w:rsidRPr="0047572C">
        <w:rPr>
          <w:rFonts w:ascii="Times New Roman" w:eastAsia="Calibri" w:hAnsi="Times New Roman" w:cs="Times New Roman"/>
          <w:lang w:val="pt-BR"/>
        </w:rPr>
        <w:t xml:space="preserve"> </w:t>
      </w:r>
      <w:r>
        <w:rPr>
          <w:rFonts w:ascii="Times New Roman" w:eastAsia="Calibri" w:hAnsi="Times New Roman" w:cs="Times New Roman"/>
          <w:lang w:val="pt-BR"/>
        </w:rPr>
        <w:t>no acórdão embargado</w:t>
      </w:r>
      <w:r w:rsidRPr="0047572C">
        <w:rPr>
          <w:rFonts w:ascii="Times New Roman" w:eastAsia="Calibri" w:hAnsi="Times New Roman" w:cs="Times New Roman"/>
          <w:lang w:val="pt-BR"/>
        </w:rPr>
        <w:t xml:space="preserve">. </w:t>
      </w:r>
      <w:r>
        <w:rPr>
          <w:rFonts w:ascii="Times New Roman" w:eastAsia="Calibri" w:hAnsi="Times New Roman" w:cs="Times New Roman"/>
          <w:lang w:val="pt-BR"/>
        </w:rPr>
        <w:t>No caso, enquanto o aresto paradigma reconheceu a nulidade do acórdão do Regional, com fu</w:t>
      </w:r>
      <w:r w:rsidR="00A70882">
        <w:rPr>
          <w:rFonts w:ascii="Times New Roman" w:eastAsia="Calibri" w:hAnsi="Times New Roman" w:cs="Times New Roman"/>
          <w:lang w:val="pt-BR"/>
        </w:rPr>
        <w:t>lcro</w:t>
      </w:r>
      <w:r>
        <w:rPr>
          <w:rFonts w:ascii="Times New Roman" w:eastAsia="Calibri" w:hAnsi="Times New Roman" w:cs="Times New Roman"/>
          <w:lang w:val="pt-BR"/>
        </w:rPr>
        <w:t xml:space="preserve"> no art. 93, IX, da CF, a decisão turmária afastou a ofensa ao referido dispositivo, ao fundamento de que a existência de norma coletiva prevendo o sábado como repouso semanal remunerado não causou prejuízo ao reclamante, razão pela qual não se fazia necessário declarar a nulidade do acórdão do Regional, que, não obstante a oposição de embargos de declaração, não se pronunciou acerca da referida norma. No mérito, ainda por maioria, a Subseção deu</w:t>
      </w:r>
      <w:r w:rsidRPr="0029019E">
        <w:rPr>
          <w:rFonts w:ascii="Times New Roman" w:eastAsia="Calibri" w:hAnsi="Times New Roman" w:cs="Times New Roman"/>
          <w:lang w:val="pt-BR"/>
        </w:rPr>
        <w:t xml:space="preserve"> provimento</w:t>
      </w:r>
      <w:r>
        <w:rPr>
          <w:rFonts w:ascii="Times New Roman" w:eastAsia="Calibri" w:hAnsi="Times New Roman" w:cs="Times New Roman"/>
          <w:lang w:val="pt-BR"/>
        </w:rPr>
        <w:t xml:space="preserve"> aos embargos</w:t>
      </w:r>
      <w:r w:rsidRPr="0029019E">
        <w:rPr>
          <w:rFonts w:ascii="Times New Roman" w:eastAsia="Calibri" w:hAnsi="Times New Roman" w:cs="Times New Roman"/>
          <w:lang w:val="pt-BR"/>
        </w:rPr>
        <w:t xml:space="preserve"> para, declarando a nulidade do acórdão </w:t>
      </w:r>
      <w:r w:rsidRPr="004139A2">
        <w:rPr>
          <w:rFonts w:ascii="Times New Roman" w:eastAsia="Calibri" w:hAnsi="Times New Roman" w:cs="Times New Roman"/>
          <w:lang w:val="pt-BR"/>
        </w:rPr>
        <w:t>dos embargos</w:t>
      </w:r>
      <w:r>
        <w:rPr>
          <w:rFonts w:ascii="Times New Roman" w:eastAsia="Calibri" w:hAnsi="Times New Roman" w:cs="Times New Roman"/>
          <w:lang w:val="pt-BR"/>
        </w:rPr>
        <w:t xml:space="preserve"> de declaração</w:t>
      </w:r>
      <w:r w:rsidRPr="0047572C">
        <w:rPr>
          <w:rFonts w:ascii="Times New Roman" w:eastAsia="Calibri" w:hAnsi="Times New Roman" w:cs="Times New Roman"/>
          <w:lang w:val="pt-BR"/>
        </w:rPr>
        <w:t xml:space="preserve"> proferido pelo TRT</w:t>
      </w:r>
      <w:r w:rsidRPr="0029019E">
        <w:rPr>
          <w:rFonts w:ascii="Times New Roman" w:eastAsia="Calibri" w:hAnsi="Times New Roman" w:cs="Times New Roman"/>
          <w:lang w:val="pt-BR"/>
        </w:rPr>
        <w:t xml:space="preserve">, determinar o retorno dos autos ao </w:t>
      </w:r>
      <w:r>
        <w:rPr>
          <w:rFonts w:ascii="Times New Roman" w:eastAsia="Calibri" w:hAnsi="Times New Roman" w:cs="Times New Roman"/>
          <w:lang w:val="pt-BR"/>
        </w:rPr>
        <w:t xml:space="preserve">Tribunal Regional de </w:t>
      </w:r>
      <w:r w:rsidRPr="0029019E">
        <w:rPr>
          <w:rFonts w:ascii="Times New Roman" w:eastAsia="Calibri" w:hAnsi="Times New Roman" w:cs="Times New Roman"/>
          <w:lang w:val="pt-BR"/>
        </w:rPr>
        <w:t xml:space="preserve">origem, a fim de que profira novo julgamento dos embargos declaratórios opostos pelo reclamante, manifestando-se </w:t>
      </w:r>
      <w:r>
        <w:rPr>
          <w:rFonts w:ascii="Times New Roman" w:eastAsia="Calibri" w:hAnsi="Times New Roman" w:cs="Times New Roman"/>
          <w:lang w:val="pt-BR"/>
        </w:rPr>
        <w:t xml:space="preserve">sobre </w:t>
      </w:r>
      <w:r w:rsidRPr="0029019E">
        <w:rPr>
          <w:rFonts w:ascii="Times New Roman" w:eastAsia="Calibri" w:hAnsi="Times New Roman" w:cs="Times New Roman"/>
          <w:lang w:val="pt-BR"/>
        </w:rPr>
        <w:t>a existência</w:t>
      </w:r>
      <w:r>
        <w:rPr>
          <w:rFonts w:ascii="Times New Roman" w:eastAsia="Calibri" w:hAnsi="Times New Roman" w:cs="Times New Roman"/>
          <w:lang w:val="pt-BR"/>
        </w:rPr>
        <w:t>,</w:t>
      </w:r>
      <w:r w:rsidRPr="0029019E">
        <w:rPr>
          <w:rFonts w:ascii="Times New Roman" w:eastAsia="Calibri" w:hAnsi="Times New Roman" w:cs="Times New Roman"/>
          <w:lang w:val="pt-BR"/>
        </w:rPr>
        <w:t xml:space="preserve"> ou não</w:t>
      </w:r>
      <w:r>
        <w:rPr>
          <w:rFonts w:ascii="Times New Roman" w:eastAsia="Calibri" w:hAnsi="Times New Roman" w:cs="Times New Roman"/>
          <w:lang w:val="pt-BR"/>
        </w:rPr>
        <w:t>,</w:t>
      </w:r>
      <w:r w:rsidRPr="0029019E">
        <w:rPr>
          <w:rFonts w:ascii="Times New Roman" w:eastAsia="Calibri" w:hAnsi="Times New Roman" w:cs="Times New Roman"/>
          <w:lang w:val="pt-BR"/>
        </w:rPr>
        <w:t xml:space="preserve"> de cláusula coletiva prevendo o sábado como dia de repouso semanal remunerado</w:t>
      </w:r>
      <w:r>
        <w:rPr>
          <w:rFonts w:ascii="Times New Roman" w:eastAsia="Calibri" w:hAnsi="Times New Roman" w:cs="Times New Roman"/>
          <w:lang w:val="pt-BR"/>
        </w:rPr>
        <w:t xml:space="preserve">. Ressaltou-se que </w:t>
      </w:r>
      <w:r w:rsidRPr="004139A2">
        <w:rPr>
          <w:rFonts w:ascii="Times New Roman" w:eastAsia="Calibri" w:hAnsi="Times New Roman" w:cs="Times New Roman"/>
          <w:lang w:val="pt-BR"/>
        </w:rPr>
        <w:t>a revelação</w:t>
      </w:r>
      <w:r>
        <w:rPr>
          <w:rFonts w:ascii="Times New Roman" w:eastAsia="Calibri" w:hAnsi="Times New Roman" w:cs="Times New Roman"/>
          <w:lang w:val="pt-BR"/>
        </w:rPr>
        <w:t>,</w:t>
      </w:r>
      <w:r w:rsidRPr="004139A2">
        <w:rPr>
          <w:rFonts w:ascii="Times New Roman" w:eastAsia="Calibri" w:hAnsi="Times New Roman" w:cs="Times New Roman"/>
          <w:lang w:val="pt-BR"/>
        </w:rPr>
        <w:t xml:space="preserve"> pelo TRT</w:t>
      </w:r>
      <w:r>
        <w:rPr>
          <w:rFonts w:ascii="Times New Roman" w:eastAsia="Calibri" w:hAnsi="Times New Roman" w:cs="Times New Roman"/>
          <w:lang w:val="pt-BR"/>
        </w:rPr>
        <w:t>,</w:t>
      </w:r>
      <w:r w:rsidRPr="004139A2">
        <w:rPr>
          <w:rFonts w:ascii="Times New Roman" w:eastAsia="Calibri" w:hAnsi="Times New Roman" w:cs="Times New Roman"/>
          <w:lang w:val="pt-BR"/>
        </w:rPr>
        <w:t xml:space="preserve"> da existência de norma coletiva prevendo o sábado como repouso semanal remunerado é essencial ao deslinde da </w:t>
      </w:r>
      <w:r>
        <w:rPr>
          <w:rFonts w:ascii="Times New Roman" w:eastAsia="Calibri" w:hAnsi="Times New Roman" w:cs="Times New Roman"/>
          <w:lang w:val="pt-BR"/>
        </w:rPr>
        <w:t>controvérsia</w:t>
      </w:r>
      <w:r w:rsidRPr="004139A2">
        <w:rPr>
          <w:rFonts w:ascii="Times New Roman" w:eastAsia="Calibri" w:hAnsi="Times New Roman" w:cs="Times New Roman"/>
          <w:lang w:val="pt-BR"/>
        </w:rPr>
        <w:t>, diante da atual redação da Súmula nº 124 do TST</w:t>
      </w:r>
      <w:r>
        <w:rPr>
          <w:rFonts w:ascii="Times New Roman" w:eastAsia="Calibri" w:hAnsi="Times New Roman" w:cs="Times New Roman"/>
          <w:lang w:val="pt-BR"/>
        </w:rPr>
        <w:t>,</w:t>
      </w:r>
      <w:r w:rsidRPr="004139A2">
        <w:rPr>
          <w:rFonts w:ascii="Times New Roman" w:eastAsia="Calibri" w:hAnsi="Times New Roman" w:cs="Times New Roman"/>
          <w:lang w:val="pt-BR"/>
        </w:rPr>
        <w:t xml:space="preserve"> que prevê expressamente a aplicação do divisor 150 no cálculo das horas extras do bancário submetido à jornada de seis horas prevista no </w:t>
      </w:r>
      <w:r>
        <w:rPr>
          <w:rFonts w:ascii="Times New Roman" w:eastAsia="Calibri" w:hAnsi="Times New Roman" w:cs="Times New Roman"/>
          <w:lang w:val="pt-BR"/>
        </w:rPr>
        <w:t>“</w:t>
      </w:r>
      <w:r w:rsidRPr="006D5C36">
        <w:rPr>
          <w:rFonts w:ascii="Times New Roman" w:eastAsia="Calibri" w:hAnsi="Times New Roman" w:cs="Times New Roman"/>
          <w:lang w:val="pt-BR"/>
        </w:rPr>
        <w:t>caput”</w:t>
      </w:r>
      <w:r w:rsidRPr="004139A2">
        <w:rPr>
          <w:rFonts w:ascii="Times New Roman" w:eastAsia="Calibri" w:hAnsi="Times New Roman" w:cs="Times New Roman"/>
          <w:b/>
          <w:lang w:val="pt-BR"/>
        </w:rPr>
        <w:t xml:space="preserve"> </w:t>
      </w:r>
      <w:r w:rsidRPr="004139A2">
        <w:rPr>
          <w:rFonts w:ascii="Times New Roman" w:eastAsia="Calibri" w:hAnsi="Times New Roman" w:cs="Times New Roman"/>
          <w:lang w:val="pt-BR"/>
        </w:rPr>
        <w:t>do art. 224 da CLT, se houver acordo coletivo estabelecendo o sábado como dia de descanso remunerado</w:t>
      </w:r>
      <w:r>
        <w:rPr>
          <w:rFonts w:ascii="Times New Roman" w:eastAsia="Calibri" w:hAnsi="Times New Roman" w:cs="Times New Roman"/>
          <w:lang w:val="pt-BR"/>
        </w:rPr>
        <w:t xml:space="preserve">. Vencidos os Ministros Aloysio Corrêa da Veiga, Maria Cristina Peduzzi, Luiz Philippe Vieira de Mello Filho e Dora Maria da Costa, que não conheciam do recurso, e o </w:t>
      </w:r>
      <w:r>
        <w:rPr>
          <w:rFonts w:ascii="Times New Roman" w:eastAsia="Calibri" w:hAnsi="Times New Roman" w:cs="Times New Roman"/>
          <w:lang w:val="pt-BR"/>
        </w:rPr>
        <w:lastRenderedPageBreak/>
        <w:t>Ministro Ives Gandra Martins Filho, que, apesar de acompanhar a divergência quanto à preliminar de negativa de prestação jurisdicional, no mérito do recurso, conhecia dos embargos, por divergência jurisprudencial, e dava-lhes provimento para aplicar imediatamente o entendimento do atual item I, “a”, da Súmula nº 124 do TST.</w:t>
      </w:r>
      <w:r w:rsidRPr="001C2BAB">
        <w:rPr>
          <w:rFonts w:ascii="Times New Roman" w:eastAsia="Calibri" w:hAnsi="Times New Roman" w:cs="Times New Roman"/>
          <w:lang w:val="pt-BR"/>
        </w:rPr>
        <w:t xml:space="preserve"> </w:t>
      </w:r>
      <w:hyperlink r:id="rId9" w:history="1">
        <w:r w:rsidRPr="001C2BAB">
          <w:rPr>
            <w:rStyle w:val="Hyperlink"/>
            <w:rFonts w:ascii="Times New Roman" w:eastAsia="Calibri" w:hAnsi="Times New Roman"/>
            <w:lang w:val="pt-BR"/>
          </w:rPr>
          <w:t>TST-E-ED-RR-25900-74.2007.5.10.0021</w:t>
        </w:r>
      </w:hyperlink>
      <w:r>
        <w:rPr>
          <w:rFonts w:ascii="Times New Roman" w:eastAsia="Calibri" w:hAnsi="Times New Roman" w:cs="Times New Roman"/>
          <w:u w:val="single"/>
          <w:lang w:val="pt-BR"/>
        </w:rPr>
        <w:t>, SBDI-I</w:t>
      </w:r>
      <w:r w:rsidRPr="004139A2">
        <w:rPr>
          <w:rFonts w:ascii="Times New Roman" w:eastAsia="Calibri" w:hAnsi="Times New Roman" w:cs="Times New Roman"/>
          <w:u w:val="single"/>
          <w:lang w:val="pt-BR"/>
        </w:rPr>
        <w:t>, rel. Min. Augusto César Leite de Carvalho, 6.12.2012</w:t>
      </w:r>
    </w:p>
    <w:p w:rsidR="008343D7" w:rsidRPr="007B5D45" w:rsidRDefault="008343D7" w:rsidP="002C2904">
      <w:pPr>
        <w:ind w:right="-71"/>
        <w:jc w:val="both"/>
      </w:pPr>
    </w:p>
    <w:p w:rsidR="008343D7" w:rsidRDefault="008343D7" w:rsidP="008343D7">
      <w:pPr>
        <w:jc w:val="both"/>
        <w:rPr>
          <w:b/>
          <w:i/>
          <w:sz w:val="24"/>
          <w:szCs w:val="24"/>
        </w:rPr>
      </w:pPr>
      <w:r w:rsidRPr="001B13A3">
        <w:rPr>
          <w:b/>
          <w:i/>
          <w:sz w:val="24"/>
          <w:szCs w:val="24"/>
        </w:rPr>
        <w:t xml:space="preserve">Sociedade de economia mista. </w:t>
      </w:r>
      <w:r>
        <w:rPr>
          <w:b/>
          <w:i/>
          <w:sz w:val="24"/>
          <w:szCs w:val="24"/>
        </w:rPr>
        <w:t>P</w:t>
      </w:r>
      <w:r w:rsidRPr="001B13A3">
        <w:rPr>
          <w:b/>
          <w:i/>
          <w:sz w:val="24"/>
          <w:szCs w:val="24"/>
        </w:rPr>
        <w:t xml:space="preserve">rivatização. Demissão por justa causa. Necessidade de motivação do ato demissional. Previsão em norma interna. </w:t>
      </w:r>
      <w:r>
        <w:rPr>
          <w:b/>
          <w:i/>
          <w:sz w:val="24"/>
          <w:szCs w:val="24"/>
        </w:rPr>
        <w:t>Descumprimento. Nulidade da despedida. Reintegração. Art. 182 do CC.</w:t>
      </w:r>
      <w:r w:rsidRPr="003D032E">
        <w:rPr>
          <w:b/>
          <w:i/>
          <w:sz w:val="24"/>
          <w:szCs w:val="24"/>
        </w:rPr>
        <w:t xml:space="preserve"> </w:t>
      </w:r>
    </w:p>
    <w:p w:rsidR="008343D7" w:rsidRDefault="008343D7" w:rsidP="008343D7">
      <w:pPr>
        <w:jc w:val="both"/>
        <w:rPr>
          <w:sz w:val="24"/>
          <w:szCs w:val="24"/>
          <w:u w:val="single"/>
        </w:rPr>
      </w:pPr>
      <w:r>
        <w:rPr>
          <w:sz w:val="24"/>
          <w:szCs w:val="24"/>
        </w:rPr>
        <w:t xml:space="preserve">A inobservância da norma interna do Banestado, sociedade de economia mista sucedida pelo Itaú Unibanco S.A., que previa a instauração de procedimento administrativo para apuração de falta grave antes da efetivação da despedida por justa causa, acarreta a nulidade do ato de dispensa </w:t>
      </w:r>
      <w:r w:rsidR="00A70882">
        <w:rPr>
          <w:sz w:val="24"/>
          <w:szCs w:val="24"/>
        </w:rPr>
        <w:t xml:space="preserve">ocorrido </w:t>
      </w:r>
      <w:r>
        <w:rPr>
          <w:sz w:val="24"/>
          <w:szCs w:val="24"/>
        </w:rPr>
        <w:t xml:space="preserve">antes do processo de privatização, assegurando ao trabalhador, por conseguinte, a reintegração no emprego, com base no disposto no art. 182 do CC, segundo o qual, anulado o negócio jurídico, deve-se restituir as partes ao “status quo ante”. Com esse entendimento, a SBDI-I, por maioria, conheceu dos embargos, por divergência jurisprudencial, e, no mérito, negou-lhes provimento. Vencidos os Ministros Aloysio Corrêa da Veiga, relator, Ives Gandra Martins Filho, Brito Pereira e Maria Cristina Peduzzi, que davam parcial provimento ao recurso para, reconhecendo a nulidade da justa causa aplicada, convertê-la em demissão imotivada e determinar o pagamento das diferenças relativas às verbas rescisórias devidas. </w:t>
      </w:r>
      <w:hyperlink r:id="rId10" w:history="1">
        <w:r w:rsidRPr="001C2BAB">
          <w:rPr>
            <w:rStyle w:val="Hyperlink"/>
            <w:sz w:val="24"/>
            <w:szCs w:val="24"/>
          </w:rPr>
          <w:t>TST-E-ED-RR-22900-83.2006.5.09.0068</w:t>
        </w:r>
      </w:hyperlink>
      <w:r w:rsidRPr="001E650A">
        <w:rPr>
          <w:sz w:val="24"/>
          <w:szCs w:val="24"/>
          <w:u w:val="single"/>
        </w:rPr>
        <w:t xml:space="preserve">, </w:t>
      </w:r>
      <w:r w:rsidRPr="001364B5">
        <w:rPr>
          <w:sz w:val="24"/>
          <w:szCs w:val="24"/>
          <w:u w:val="single"/>
        </w:rPr>
        <w:t xml:space="preserve">SBDI-I, rel. </w:t>
      </w:r>
      <w:r w:rsidRPr="00FE44CF">
        <w:rPr>
          <w:sz w:val="24"/>
          <w:szCs w:val="24"/>
          <w:u w:val="single"/>
        </w:rPr>
        <w:t>Min. Aloysio Corrêa da Veiga, red. p</w:t>
      </w:r>
      <w:r w:rsidRPr="001364B5">
        <w:rPr>
          <w:sz w:val="24"/>
          <w:szCs w:val="24"/>
          <w:u w:val="single"/>
        </w:rPr>
        <w:t xml:space="preserve">/ acórdão Min. </w:t>
      </w:r>
      <w:r>
        <w:rPr>
          <w:sz w:val="24"/>
          <w:szCs w:val="24"/>
          <w:u w:val="single"/>
        </w:rPr>
        <w:t>João Oreste Dalazen</w:t>
      </w:r>
      <w:r w:rsidRPr="001364B5">
        <w:rPr>
          <w:sz w:val="24"/>
          <w:szCs w:val="24"/>
          <w:u w:val="single"/>
        </w:rPr>
        <w:t xml:space="preserve">, </w:t>
      </w:r>
      <w:r>
        <w:rPr>
          <w:sz w:val="24"/>
          <w:szCs w:val="24"/>
          <w:u w:val="single"/>
        </w:rPr>
        <w:t>6.12</w:t>
      </w:r>
      <w:r w:rsidRPr="001364B5">
        <w:rPr>
          <w:sz w:val="24"/>
          <w:szCs w:val="24"/>
          <w:u w:val="single"/>
        </w:rPr>
        <w:t>.2012</w:t>
      </w:r>
    </w:p>
    <w:p w:rsidR="008343D7" w:rsidRPr="007B5D45" w:rsidRDefault="008343D7" w:rsidP="008343D7">
      <w:pPr>
        <w:ind w:right="-567"/>
        <w:jc w:val="both"/>
        <w:rPr>
          <w:u w:val="single"/>
        </w:rPr>
      </w:pPr>
    </w:p>
    <w:p w:rsidR="008343D7" w:rsidRPr="00EC0A71" w:rsidRDefault="008343D7" w:rsidP="008343D7">
      <w:pPr>
        <w:jc w:val="both"/>
        <w:rPr>
          <w:b/>
          <w:i/>
          <w:sz w:val="24"/>
          <w:szCs w:val="24"/>
        </w:rPr>
      </w:pPr>
      <w:r>
        <w:rPr>
          <w:b/>
          <w:i/>
          <w:sz w:val="24"/>
          <w:szCs w:val="24"/>
        </w:rPr>
        <w:t>Comissão de Conciliação Prévia. Termo de quitação. Eficácia liberatória. Diferenças em complementação de aposentadoria. Não abrangência.</w:t>
      </w:r>
    </w:p>
    <w:p w:rsidR="008343D7" w:rsidRPr="004A5D22" w:rsidRDefault="008343D7" w:rsidP="008343D7">
      <w:pPr>
        <w:jc w:val="both"/>
        <w:rPr>
          <w:color w:val="000000"/>
          <w:sz w:val="24"/>
          <w:szCs w:val="24"/>
        </w:rPr>
      </w:pPr>
      <w:r w:rsidRPr="004A5D22">
        <w:rPr>
          <w:color w:val="000000"/>
          <w:sz w:val="24"/>
          <w:szCs w:val="24"/>
        </w:rPr>
        <w:t xml:space="preserve">A eficácia liberatória geral do termo de </w:t>
      </w:r>
      <w:r>
        <w:rPr>
          <w:color w:val="000000"/>
          <w:sz w:val="24"/>
          <w:szCs w:val="24"/>
        </w:rPr>
        <w:t xml:space="preserve">quitação referente a </w:t>
      </w:r>
      <w:r w:rsidRPr="004A5D22">
        <w:rPr>
          <w:color w:val="000000"/>
          <w:sz w:val="24"/>
          <w:szCs w:val="24"/>
        </w:rPr>
        <w:t xml:space="preserve">acordo firmado perante a Comissão de Conciliação Prévia (art. 625-E, parágrafo único, da CLT) possui abrangência limitada às verbas trabalhistas propriamente ditas, não alcançando eventuais diferenças </w:t>
      </w:r>
      <w:r>
        <w:rPr>
          <w:color w:val="000000"/>
          <w:sz w:val="24"/>
          <w:szCs w:val="24"/>
        </w:rPr>
        <w:t>de</w:t>
      </w:r>
      <w:r w:rsidRPr="004A5D22">
        <w:rPr>
          <w:color w:val="000000"/>
          <w:sz w:val="24"/>
          <w:szCs w:val="24"/>
        </w:rPr>
        <w:t xml:space="preserve"> complementação de aposentadoria.</w:t>
      </w:r>
      <w:r>
        <w:rPr>
          <w:color w:val="000000"/>
          <w:sz w:val="24"/>
          <w:szCs w:val="24"/>
        </w:rPr>
        <w:t xml:space="preserve"> Com esse entendimento, a</w:t>
      </w:r>
      <w:r w:rsidRPr="00EC0A71">
        <w:rPr>
          <w:color w:val="000000"/>
          <w:sz w:val="24"/>
          <w:szCs w:val="24"/>
        </w:rPr>
        <w:t xml:space="preserve"> SBDI-I, por unanimidade, conheceu dos embargos, por divergência jurisprudencial, e, no mérito, </w:t>
      </w:r>
      <w:r>
        <w:rPr>
          <w:color w:val="000000"/>
          <w:sz w:val="24"/>
          <w:szCs w:val="24"/>
        </w:rPr>
        <w:t xml:space="preserve">deu-lhes parcial </w:t>
      </w:r>
      <w:r w:rsidRPr="00EC0A71">
        <w:rPr>
          <w:color w:val="000000"/>
          <w:sz w:val="24"/>
          <w:szCs w:val="24"/>
        </w:rPr>
        <w:t>provimento</w:t>
      </w:r>
      <w:r>
        <w:rPr>
          <w:color w:val="000000"/>
          <w:sz w:val="24"/>
          <w:szCs w:val="24"/>
        </w:rPr>
        <w:t xml:space="preserve"> para</w:t>
      </w:r>
      <w:r w:rsidRPr="00EC0A71">
        <w:rPr>
          <w:color w:val="000000"/>
          <w:sz w:val="24"/>
          <w:szCs w:val="24"/>
        </w:rPr>
        <w:t xml:space="preserve">, </w:t>
      </w:r>
      <w:r>
        <w:rPr>
          <w:color w:val="000000"/>
          <w:sz w:val="24"/>
          <w:szCs w:val="24"/>
        </w:rPr>
        <w:t>afastada a quitação do termo de conciliação quanto aos reflexos das horas extras e do desvio de função sobre a complementação de aposentadoria, determinar o retorno dos autos à Vara do Trabalho, para que prossiga no julgamento do feito como entender de direito. Ressaltou-se, no caso, que a complementação de aposentadoria, embora decorrente do contrato de trabalho, não possui natureza trabalhista. Ademais, não se pode estender os efeitos da transação firmada na CCP a entidade de previdência privada, por se tratar de terceiro que não participou do negócio jurídico</w:t>
      </w:r>
      <w:r w:rsidR="001C2BAB">
        <w:rPr>
          <w:color w:val="000000"/>
          <w:sz w:val="24"/>
          <w:szCs w:val="24"/>
        </w:rPr>
        <w:t>.</w:t>
      </w:r>
      <w:r>
        <w:rPr>
          <w:color w:val="000000"/>
          <w:sz w:val="24"/>
          <w:szCs w:val="24"/>
        </w:rPr>
        <w:t xml:space="preserve"> </w:t>
      </w:r>
      <w:hyperlink r:id="rId11" w:history="1">
        <w:r w:rsidRPr="001C2BAB">
          <w:rPr>
            <w:rStyle w:val="Hyperlink"/>
            <w:sz w:val="24"/>
            <w:szCs w:val="24"/>
          </w:rPr>
          <w:t>TST-E-RR-141300-03.2009.5.03.0138</w:t>
        </w:r>
      </w:hyperlink>
      <w:r w:rsidRPr="00EC0A71">
        <w:rPr>
          <w:sz w:val="24"/>
          <w:szCs w:val="24"/>
          <w:u w:val="single"/>
        </w:rPr>
        <w:t xml:space="preserve">, SBDI-I, rel. Min. </w:t>
      </w:r>
      <w:r>
        <w:rPr>
          <w:sz w:val="24"/>
          <w:szCs w:val="24"/>
          <w:u w:val="single"/>
        </w:rPr>
        <w:t>Renato de Lacerda Paiva, 6.12.</w:t>
      </w:r>
      <w:r w:rsidRPr="00EC0A71">
        <w:rPr>
          <w:sz w:val="24"/>
          <w:szCs w:val="24"/>
          <w:u w:val="single"/>
        </w:rPr>
        <w:t>2012</w:t>
      </w:r>
    </w:p>
    <w:p w:rsidR="00BC1DE7" w:rsidRPr="007B5D45" w:rsidRDefault="00BC1DE7" w:rsidP="00C71A3B">
      <w:pPr>
        <w:pStyle w:val="Corpo"/>
        <w:spacing w:line="240" w:lineRule="auto"/>
        <w:ind w:firstLine="0"/>
        <w:rPr>
          <w:rFonts w:ascii="Times New Roman" w:hAnsi="Times New Roman" w:cs="Times New Roman"/>
          <w:sz w:val="20"/>
          <w:szCs w:val="20"/>
          <w:u w:val="single"/>
          <w:lang w:val="pt-BR" w:eastAsia="en-US"/>
        </w:rPr>
      </w:pPr>
    </w:p>
    <w:p w:rsidR="00631F1C" w:rsidRPr="00971E07" w:rsidRDefault="00631F1C" w:rsidP="00631F1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9027C8" w:rsidRPr="005D1DE4" w:rsidRDefault="009027C8" w:rsidP="009027C8">
      <w:pPr>
        <w:pStyle w:val="tema"/>
        <w:tabs>
          <w:tab w:val="left" w:pos="11482"/>
          <w:tab w:val="left" w:pos="11624"/>
        </w:tabs>
        <w:ind w:left="0"/>
        <w:rPr>
          <w:rFonts w:ascii="Times New Roman" w:hAnsi="Times New Roman" w:cs="Times New Roman"/>
          <w:i/>
          <w:caps w:val="0"/>
          <w:color w:val="auto"/>
          <w:sz w:val="10"/>
          <w:szCs w:val="10"/>
        </w:rPr>
      </w:pPr>
    </w:p>
    <w:p w:rsidR="008343D7" w:rsidRDefault="008343D7" w:rsidP="008343D7">
      <w:pPr>
        <w:jc w:val="both"/>
        <w:rPr>
          <w:b/>
          <w:i/>
          <w:sz w:val="24"/>
          <w:szCs w:val="24"/>
        </w:rPr>
      </w:pPr>
      <w:r>
        <w:rPr>
          <w:b/>
          <w:i/>
          <w:sz w:val="24"/>
          <w:szCs w:val="24"/>
        </w:rPr>
        <w:t>AR. Responsabilidade subsidiária. Ente público. Violação dos arts. 37, § 6º, da CF e 71 da Lei nº 8.666/93. Configuração. Ausência de culpa “in vigilando”.</w:t>
      </w:r>
    </w:p>
    <w:p w:rsidR="008343D7" w:rsidRDefault="008343D7" w:rsidP="008343D7">
      <w:pPr>
        <w:jc w:val="both"/>
      </w:pPr>
      <w:r w:rsidRPr="008343D7">
        <w:rPr>
          <w:sz w:val="24"/>
          <w:szCs w:val="24"/>
        </w:rPr>
        <w:t xml:space="preserve">A SBDI-II, por maioria, conheceu do recurso ordinário em ação rescisória </w:t>
      </w:r>
      <w:r w:rsidR="005918E0">
        <w:rPr>
          <w:sz w:val="24"/>
          <w:szCs w:val="24"/>
        </w:rPr>
        <w:t>do Município de Joinville</w:t>
      </w:r>
      <w:r w:rsidRPr="008343D7">
        <w:rPr>
          <w:sz w:val="24"/>
          <w:szCs w:val="24"/>
        </w:rPr>
        <w:t>, e, no mérito, deu-lhe provimento para, com base no art. 485, V, do CPC, desconstituir o acórdão proferido em reclamação trabalhista na parte em que atribuiu responsabilidade subsidiária ao Município; e, em juízo rescisório, ju</w:t>
      </w:r>
      <w:r w:rsidR="00C77C69">
        <w:rPr>
          <w:sz w:val="24"/>
          <w:szCs w:val="24"/>
        </w:rPr>
        <w:t>l</w:t>
      </w:r>
      <w:r w:rsidRPr="008343D7">
        <w:rPr>
          <w:sz w:val="24"/>
          <w:szCs w:val="24"/>
        </w:rPr>
        <w:t>gar improcedente o pleito de responsabilização subsidiária, mantida a decisão originária nos seus demais termos. Na espécie, prevaleceu o entendimento de que a decisão rescindenda, ao atribuir responsabilidade objetiva ao Município para condená-lo subsidiariamente ao pagamento de verbas trabalhistas devidas por empresa prestadora de serviços, violou os arts. 37, § 6º, da CF e 71 da Lei nº 8.666/93, além de contrariar o disposto na Súmula nº 331, V, do TST e o entendimento firmado pelo STF no julgamento da ADC 16, no sentido de a condenação subsidiária de ente público, por descumprimento de obrigações trabalhistas, depender da caracterização, no caso concreto, da culpa “in vigilando”, ou seja, da omissão injustificada no dever de fiscalização do contratado. Vencidos os Ministros Emmanoel Pereira, Hugo Carlos Scheuermann e João Oreste Dalazen, os quais negavam provimento ao apelo, sob o fundamento de que o acórdão rescindendo, embora não tenha declinado maiores detalhes sobre o caso, foi categórico ao afirmar a existência de culpa, não sendo possível, em sede de ação rescisória calcada em violação de preceito de lei, reexaminar fatos e provas, nos termos da Súmula nº 410 do TST.</w:t>
      </w:r>
      <w:r w:rsidRPr="00D00DA6">
        <w:t xml:space="preserve"> </w:t>
      </w:r>
      <w:hyperlink r:id="rId12" w:history="1">
        <w:r w:rsidRPr="001C2BAB">
          <w:rPr>
            <w:rStyle w:val="Hyperlink"/>
            <w:sz w:val="24"/>
            <w:szCs w:val="24"/>
          </w:rPr>
          <w:t>TST-ReeNec e RO-242-18.2011.5.12.0000</w:t>
        </w:r>
      </w:hyperlink>
      <w:r w:rsidRPr="008343D7">
        <w:rPr>
          <w:sz w:val="24"/>
          <w:szCs w:val="24"/>
          <w:u w:val="single"/>
        </w:rPr>
        <w:t>, SBDI-II, rel. Min</w:t>
      </w:r>
      <w:r w:rsidR="001C2BAB">
        <w:rPr>
          <w:sz w:val="24"/>
          <w:szCs w:val="24"/>
          <w:u w:val="single"/>
        </w:rPr>
        <w:t>.</w:t>
      </w:r>
      <w:r w:rsidRPr="008343D7">
        <w:rPr>
          <w:sz w:val="24"/>
          <w:szCs w:val="24"/>
          <w:u w:val="single"/>
        </w:rPr>
        <w:t xml:space="preserve"> Alexandre Agra Belmonte, 4.12.2012</w:t>
      </w:r>
    </w:p>
    <w:p w:rsidR="004B21AD" w:rsidRPr="005D1DE4" w:rsidRDefault="004B21AD" w:rsidP="009027C8">
      <w:pPr>
        <w:pStyle w:val="tema"/>
        <w:tabs>
          <w:tab w:val="left" w:pos="11482"/>
          <w:tab w:val="left" w:pos="11624"/>
        </w:tabs>
        <w:ind w:left="0"/>
        <w:rPr>
          <w:rFonts w:ascii="Times New Roman" w:hAnsi="Times New Roman" w:cs="Times New Roman"/>
          <w:bCs w:val="0"/>
          <w:i/>
          <w:iCs/>
          <w:caps w:val="0"/>
          <w:color w:val="auto"/>
        </w:rPr>
      </w:pPr>
    </w:p>
    <w:p w:rsidR="006456B1" w:rsidRPr="005D1DE4" w:rsidRDefault="006456B1" w:rsidP="004C2612">
      <w:pPr>
        <w:pStyle w:val="EXPLICAO"/>
        <w:ind w:left="0"/>
        <w:rPr>
          <w:rFonts w:ascii="Times New Roman" w:hAnsi="Times New Roman" w:cs="Times New Roman"/>
          <w:b/>
          <w:color w:val="auto"/>
        </w:rPr>
      </w:pPr>
    </w:p>
    <w:p w:rsidR="00C26DFB" w:rsidRPr="005D1DE4" w:rsidRDefault="00C26DFB">
      <w:pPr>
        <w:jc w:val="both"/>
        <w:rPr>
          <w:sz w:val="22"/>
          <w:szCs w:val="22"/>
          <w:u w:val="single"/>
        </w:rPr>
      </w:pPr>
    </w:p>
    <w:p w:rsidR="00C26DFB" w:rsidRPr="005D1DE4" w:rsidRDefault="00C26DFB">
      <w:pPr>
        <w:jc w:val="both"/>
        <w:rPr>
          <w:sz w:val="22"/>
          <w:szCs w:val="22"/>
          <w:u w:val="single"/>
        </w:rPr>
      </w:pP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0"/>
          <w:szCs w:val="20"/>
        </w:rPr>
      </w:pPr>
      <w:r w:rsidRPr="005D1DE4">
        <w:rPr>
          <w:b w:val="0"/>
          <w:bCs w:val="0"/>
          <w:snapToGrid w:val="0"/>
          <w:sz w:val="20"/>
          <w:szCs w:val="20"/>
        </w:rPr>
        <w:t xml:space="preserve">Informativo TST é mantido pela </w:t>
      </w: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0"/>
          <w:szCs w:val="20"/>
        </w:rPr>
      </w:pPr>
      <w:r w:rsidRPr="005D1DE4">
        <w:rPr>
          <w:b w:val="0"/>
          <w:bCs w:val="0"/>
          <w:snapToGrid w:val="0"/>
          <w:sz w:val="20"/>
          <w:szCs w:val="20"/>
        </w:rPr>
        <w:t>Coordenadoria de Jurisprudência – CJUR</w:t>
      </w:r>
    </w:p>
    <w:p w:rsidR="00184590"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rPr>
      </w:pPr>
      <w:r w:rsidRPr="005D1DE4">
        <w:rPr>
          <w:snapToGrid w:val="0"/>
        </w:rPr>
        <w:t>Informações/Sugestões/Críticas</w:t>
      </w:r>
      <w:r w:rsidRPr="005D1DE4">
        <w:rPr>
          <w:snapToGrid w:val="0"/>
          <w:sz w:val="22"/>
          <w:szCs w:val="22"/>
        </w:rPr>
        <w:t xml:space="preserve">: </w:t>
      </w:r>
      <w:r w:rsidRPr="005D1DE4">
        <w:rPr>
          <w:snapToGrid w:val="0"/>
        </w:rPr>
        <w:t>(61)3043</w:t>
      </w:r>
      <w:r w:rsidR="00352B27">
        <w:rPr>
          <w:snapToGrid w:val="0"/>
        </w:rPr>
        <w:t>-</w:t>
      </w:r>
      <w:r w:rsidRPr="005D1DE4">
        <w:rPr>
          <w:snapToGrid w:val="0"/>
        </w:rPr>
        <w:t>4</w:t>
      </w:r>
      <w:r w:rsidR="00D72C05" w:rsidRPr="005D1DE4">
        <w:rPr>
          <w:snapToGrid w:val="0"/>
        </w:rPr>
        <w:t>417</w:t>
      </w:r>
    </w:p>
    <w:p w:rsidR="007614F1"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2"/>
          <w:szCs w:val="22"/>
        </w:rPr>
      </w:pPr>
      <w:r w:rsidRPr="005D1DE4">
        <w:rPr>
          <w:snapToGrid w:val="0"/>
        </w:rPr>
        <w:t>cjur@tst.jus.br</w:t>
      </w:r>
    </w:p>
    <w:sectPr w:rsidR="007614F1" w:rsidRPr="005D1DE4" w:rsidSect="00D11B24">
      <w:headerReference w:type="default" r:id="rId13"/>
      <w:footerReference w:type="default" r:id="rId14"/>
      <w:headerReference w:type="first" r:id="rId15"/>
      <w:footerReference w:type="first" r:id="rId16"/>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019" w:rsidRDefault="00901019">
      <w:r>
        <w:separator/>
      </w:r>
    </w:p>
  </w:endnote>
  <w:endnote w:type="continuationSeparator" w:id="0">
    <w:p w:rsidR="00901019" w:rsidRDefault="0090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FE00AD">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18E0">
      <w:rPr>
        <w:rStyle w:val="Nmerodepgina"/>
        <w:noProof/>
      </w:rPr>
      <w:t>2</w:t>
    </w:r>
    <w:r>
      <w:rPr>
        <w:rStyle w:val="Nmerodepgina"/>
      </w:rPr>
      <w:fldChar w:fldCharType="end"/>
    </w:r>
  </w:p>
  <w:p w:rsidR="00FE00AD" w:rsidRDefault="00187A37">
    <w:pPr>
      <w:pStyle w:val="Rodap"/>
      <w:ind w:right="360"/>
    </w:pPr>
    <w:r>
      <w:rPr>
        <w:noProof/>
      </w:rPr>
      <w:pict>
        <v:line id="_x0000_s2050" style="position:absolute;z-index:251658240" from=".9pt,-3.55pt" to="497.7pt,-3.55pt" o:allowincell="f" strokecolor="#969696"/>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187A37">
    <w:pPr>
      <w:pStyle w:val="Rodap"/>
      <w:jc w:val="right"/>
    </w:pPr>
    <w:r>
      <w:rPr>
        <w:noProof/>
      </w:rPr>
      <w:pict>
        <v:line id="_x0000_s2054" style="position:absolute;left:0;text-align:left;flip:y;z-index:251659264" from=".9pt,-3.55pt" to="497.7pt,-3.4pt" o:allowincell="f" strokecolor="#969696"/>
      </w:pict>
    </w:r>
    <w:r w:rsidR="00FE00AD">
      <w:rPr>
        <w:rStyle w:val="Nmerodepgina"/>
      </w:rPr>
      <w:fldChar w:fldCharType="begin"/>
    </w:r>
    <w:r w:rsidR="00FE00AD">
      <w:rPr>
        <w:rStyle w:val="Nmerodepgina"/>
      </w:rPr>
      <w:instrText xml:space="preserve"> PAGE </w:instrText>
    </w:r>
    <w:r w:rsidR="00FE00AD">
      <w:rPr>
        <w:rStyle w:val="Nmerodepgina"/>
      </w:rPr>
      <w:fldChar w:fldCharType="separate"/>
    </w:r>
    <w:r w:rsidR="003F750C">
      <w:rPr>
        <w:rStyle w:val="Nmerodepgina"/>
        <w:noProof/>
      </w:rPr>
      <w:t>1</w:t>
    </w:r>
    <w:r w:rsidR="00FE00AD">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019" w:rsidRDefault="00901019">
      <w:r>
        <w:separator/>
      </w:r>
    </w:p>
  </w:footnote>
  <w:footnote w:type="continuationSeparator" w:id="0">
    <w:p w:rsidR="00901019" w:rsidRDefault="00901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Pr="00971E07" w:rsidRDefault="00FE00AD">
    <w:pPr>
      <w:pStyle w:val="Corpodetexto"/>
      <w:jc w:val="right"/>
      <w:rPr>
        <w:shadow/>
        <w:sz w:val="24"/>
        <w:szCs w:val="24"/>
      </w:rPr>
    </w:pPr>
    <w:r w:rsidRPr="00971E07">
      <w:rPr>
        <w:shadow/>
        <w:sz w:val="24"/>
        <w:szCs w:val="24"/>
      </w:rPr>
      <w:t xml:space="preserve">Informativo TST - </w:t>
    </w:r>
    <w:r w:rsidR="00986D77">
      <w:rPr>
        <w:shadow/>
        <w:sz w:val="24"/>
        <w:szCs w:val="24"/>
      </w:rPr>
      <w:t>n</w:t>
    </w:r>
    <w:r w:rsidRPr="00971E07">
      <w:rPr>
        <w:shadow/>
        <w:sz w:val="24"/>
        <w:szCs w:val="24"/>
      </w:rPr>
      <w:t xml:space="preserve">º </w:t>
    </w:r>
    <w:r w:rsidR="008343D7">
      <w:rPr>
        <w:shadow/>
        <w:sz w:val="24"/>
        <w:szCs w:val="24"/>
      </w:rPr>
      <w:t>33</w:t>
    </w:r>
  </w:p>
  <w:p w:rsidR="00FE00AD" w:rsidRPr="00971E07" w:rsidRDefault="00187A37">
    <w:pPr>
      <w:pStyle w:val="Ttulo6"/>
      <w:spacing w:line="360" w:lineRule="auto"/>
      <w:jc w:val="right"/>
      <w:rPr>
        <w:i/>
        <w:iCs/>
        <w:sz w:val="20"/>
        <w:szCs w:val="20"/>
      </w:rPr>
    </w:pPr>
    <w:r>
      <w:rPr>
        <w:noProof/>
      </w:rPr>
      <w:pict>
        <v:line id="_x0000_s2049" style="position:absolute;left:0;text-align:left;flip:x;z-index:251657216" from=".9pt,10.15pt" to="497.7pt,10.15pt" o:allowincell="f" strokecolor="#969696"/>
      </w:pict>
    </w:r>
    <w:r w:rsidR="002168DE">
      <w:rPr>
        <w:sz w:val="20"/>
        <w:szCs w:val="20"/>
      </w:rPr>
      <w:t xml:space="preserve">Período: </w:t>
    </w:r>
    <w:r w:rsidR="008343D7">
      <w:rPr>
        <w:sz w:val="20"/>
        <w:szCs w:val="20"/>
      </w:rPr>
      <w:t>4</w:t>
    </w:r>
    <w:r w:rsidR="00E16E01" w:rsidRPr="00971E07">
      <w:rPr>
        <w:sz w:val="20"/>
        <w:szCs w:val="20"/>
      </w:rPr>
      <w:t xml:space="preserve"> a</w:t>
    </w:r>
    <w:r w:rsidR="00FE00AD" w:rsidRPr="00971E07">
      <w:rPr>
        <w:sz w:val="20"/>
        <w:szCs w:val="20"/>
      </w:rPr>
      <w:t xml:space="preserve"> </w:t>
    </w:r>
    <w:r w:rsidR="008343D7">
      <w:rPr>
        <w:sz w:val="20"/>
        <w:szCs w:val="20"/>
      </w:rPr>
      <w:t>10</w:t>
    </w:r>
    <w:r w:rsidR="00FE00AD" w:rsidRPr="00971E07">
      <w:rPr>
        <w:sz w:val="20"/>
        <w:szCs w:val="20"/>
      </w:rPr>
      <w:t xml:space="preserve"> de </w:t>
    </w:r>
    <w:r w:rsidR="008343D7">
      <w:rPr>
        <w:sz w:val="20"/>
        <w:szCs w:val="20"/>
      </w:rPr>
      <w:t xml:space="preserve">dezembro </w:t>
    </w:r>
    <w:r w:rsidR="00FE00AD" w:rsidRPr="00971E07">
      <w:rPr>
        <w:sz w:val="20"/>
        <w:szCs w:val="20"/>
      </w:rPr>
      <w:t>de 20</w:t>
    </w:r>
    <w:r w:rsidR="00E16E01" w:rsidRPr="00971E07">
      <w:rPr>
        <w:sz w:val="20"/>
        <w:szCs w:val="20"/>
      </w:rPr>
      <w:t>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075BD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5pt;height:77pt">
          <v:imagedata r:id="rId1" o:title="TST LOGO"/>
        </v:shape>
      </w:pict>
    </w:r>
  </w:p>
  <w:p w:rsidR="00FE00AD" w:rsidRPr="002168DE" w:rsidRDefault="00A51749" w:rsidP="00075BDB">
    <w:pPr>
      <w:pStyle w:val="Cabealho"/>
      <w:tabs>
        <w:tab w:val="clear" w:pos="4419"/>
        <w:tab w:val="clear" w:pos="8838"/>
        <w:tab w:val="left" w:pos="2793"/>
      </w:tabs>
      <w:jc w:val="right"/>
      <w:rPr>
        <w:b/>
        <w:sz w:val="40"/>
        <w:szCs w:val="40"/>
      </w:rPr>
    </w:pPr>
    <w:r>
      <w:tab/>
    </w:r>
    <w:r w:rsidR="00075BDB">
      <w:tab/>
    </w:r>
    <w:r w:rsidR="00075BDB">
      <w:tab/>
    </w:r>
    <w:r w:rsidR="00075BDB">
      <w:tab/>
    </w:r>
    <w:r w:rsidR="00075BDB">
      <w:tab/>
    </w:r>
    <w:r w:rsidR="00075BDB">
      <w:tab/>
    </w:r>
    <w:r w:rsidR="00FE00AD" w:rsidRPr="002168DE">
      <w:rPr>
        <w:b/>
        <w:sz w:val="40"/>
        <w:szCs w:val="40"/>
      </w:rPr>
      <w:t xml:space="preserve">Nº </w:t>
    </w:r>
    <w:r w:rsidR="003A1EEB">
      <w:rPr>
        <w:b/>
        <w:sz w:val="40"/>
        <w:szCs w:val="40"/>
      </w:rPr>
      <w:t>33</w:t>
    </w:r>
  </w:p>
  <w:p w:rsidR="00FE00AD" w:rsidRPr="005D1DE4" w:rsidRDefault="00FE00AD">
    <w:pPr>
      <w:pStyle w:val="Cabealho"/>
      <w:jc w:val="right"/>
      <w:rPr>
        <w:i/>
        <w:iCs/>
        <w:sz w:val="10"/>
        <w:szCs w:val="10"/>
      </w:rPr>
    </w:pPr>
  </w:p>
  <w:p w:rsidR="00FE00AD" w:rsidRPr="005D1DE4" w:rsidRDefault="002168DE">
    <w:pPr>
      <w:pStyle w:val="Cabealho"/>
      <w:jc w:val="right"/>
    </w:pPr>
    <w:r>
      <w:rPr>
        <w:i/>
        <w:iCs/>
      </w:rPr>
      <w:t>Período:</w:t>
    </w:r>
    <w:r w:rsidR="00FE00AD" w:rsidRPr="005D1DE4">
      <w:rPr>
        <w:i/>
        <w:iCs/>
      </w:rPr>
      <w:t xml:space="preserve"> </w:t>
    </w:r>
    <w:r w:rsidR="008343D7">
      <w:rPr>
        <w:i/>
        <w:iCs/>
      </w:rPr>
      <w:t>4 a 10</w:t>
    </w:r>
    <w:r w:rsidR="00FE00AD" w:rsidRPr="005D1DE4">
      <w:rPr>
        <w:i/>
        <w:iCs/>
      </w:rPr>
      <w:t xml:space="preserve"> de </w:t>
    </w:r>
    <w:r w:rsidR="008343D7">
      <w:rPr>
        <w:i/>
        <w:iCs/>
      </w:rPr>
      <w:t xml:space="preserve">dezembro </w:t>
    </w:r>
    <w:r w:rsidR="00FE00AD" w:rsidRPr="005D1DE4">
      <w:rPr>
        <w:i/>
        <w:iCs/>
      </w:rPr>
      <w:t>de 2012</w:t>
    </w:r>
  </w:p>
  <w:p w:rsidR="00FE00AD" w:rsidRDefault="00FE00AD" w:rsidP="00631F1C">
    <w:pPr>
      <w:pStyle w:val="Cabealho"/>
      <w:pBdr>
        <w:bottom w:val="single" w:sz="4" w:space="1" w:color="auto"/>
      </w:pBd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colormenu v:ext="edit" fillcolor="none [3213]"/>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6FE"/>
    <w:rsid w:val="00004C36"/>
    <w:rsid w:val="000228E6"/>
    <w:rsid w:val="00032056"/>
    <w:rsid w:val="000322FB"/>
    <w:rsid w:val="000425FC"/>
    <w:rsid w:val="00050E85"/>
    <w:rsid w:val="00056752"/>
    <w:rsid w:val="00057B87"/>
    <w:rsid w:val="0006020E"/>
    <w:rsid w:val="000733B4"/>
    <w:rsid w:val="00073880"/>
    <w:rsid w:val="00075BDB"/>
    <w:rsid w:val="00080F10"/>
    <w:rsid w:val="0009237D"/>
    <w:rsid w:val="00093AE9"/>
    <w:rsid w:val="00093BA8"/>
    <w:rsid w:val="000A04E6"/>
    <w:rsid w:val="000B4D41"/>
    <w:rsid w:val="000B67DF"/>
    <w:rsid w:val="000B7CDE"/>
    <w:rsid w:val="000C3022"/>
    <w:rsid w:val="000C672B"/>
    <w:rsid w:val="000E0A91"/>
    <w:rsid w:val="0011575C"/>
    <w:rsid w:val="0011692E"/>
    <w:rsid w:val="00137564"/>
    <w:rsid w:val="00137DC1"/>
    <w:rsid w:val="0015612D"/>
    <w:rsid w:val="00176D15"/>
    <w:rsid w:val="00184590"/>
    <w:rsid w:val="00187A37"/>
    <w:rsid w:val="0019151D"/>
    <w:rsid w:val="00193208"/>
    <w:rsid w:val="001C04D2"/>
    <w:rsid w:val="001C271F"/>
    <w:rsid w:val="001C2BAB"/>
    <w:rsid w:val="001C6C93"/>
    <w:rsid w:val="001D4CF9"/>
    <w:rsid w:val="001D5AB0"/>
    <w:rsid w:val="001D757D"/>
    <w:rsid w:val="001E14BB"/>
    <w:rsid w:val="001E4B57"/>
    <w:rsid w:val="001E5BD1"/>
    <w:rsid w:val="001E713B"/>
    <w:rsid w:val="001F030F"/>
    <w:rsid w:val="00206810"/>
    <w:rsid w:val="002168DE"/>
    <w:rsid w:val="00224AC2"/>
    <w:rsid w:val="0023559D"/>
    <w:rsid w:val="002402B0"/>
    <w:rsid w:val="002449F9"/>
    <w:rsid w:val="002635ED"/>
    <w:rsid w:val="002662BA"/>
    <w:rsid w:val="00266D49"/>
    <w:rsid w:val="00271C5C"/>
    <w:rsid w:val="00271E67"/>
    <w:rsid w:val="002730B5"/>
    <w:rsid w:val="00280594"/>
    <w:rsid w:val="00285064"/>
    <w:rsid w:val="002A219D"/>
    <w:rsid w:val="002A546D"/>
    <w:rsid w:val="002B4738"/>
    <w:rsid w:val="002B6377"/>
    <w:rsid w:val="002C2904"/>
    <w:rsid w:val="002E78CB"/>
    <w:rsid w:val="0033397A"/>
    <w:rsid w:val="00352B27"/>
    <w:rsid w:val="0036325E"/>
    <w:rsid w:val="003671FE"/>
    <w:rsid w:val="003708FD"/>
    <w:rsid w:val="0037667D"/>
    <w:rsid w:val="00384075"/>
    <w:rsid w:val="003908C5"/>
    <w:rsid w:val="00396053"/>
    <w:rsid w:val="003A1EEB"/>
    <w:rsid w:val="003A4086"/>
    <w:rsid w:val="003A5E5B"/>
    <w:rsid w:val="003B045C"/>
    <w:rsid w:val="003B0A59"/>
    <w:rsid w:val="003B3EB5"/>
    <w:rsid w:val="003B4E23"/>
    <w:rsid w:val="003B767E"/>
    <w:rsid w:val="003C6FE7"/>
    <w:rsid w:val="003D032E"/>
    <w:rsid w:val="003D4205"/>
    <w:rsid w:val="003E7966"/>
    <w:rsid w:val="003F2078"/>
    <w:rsid w:val="003F750C"/>
    <w:rsid w:val="0042772A"/>
    <w:rsid w:val="004323B0"/>
    <w:rsid w:val="00444E88"/>
    <w:rsid w:val="0045657C"/>
    <w:rsid w:val="004655CC"/>
    <w:rsid w:val="00466DB9"/>
    <w:rsid w:val="00486521"/>
    <w:rsid w:val="00486DFC"/>
    <w:rsid w:val="004922D6"/>
    <w:rsid w:val="004A14FC"/>
    <w:rsid w:val="004A5264"/>
    <w:rsid w:val="004B21AD"/>
    <w:rsid w:val="004C011C"/>
    <w:rsid w:val="004C14EA"/>
    <w:rsid w:val="004C2118"/>
    <w:rsid w:val="004C2612"/>
    <w:rsid w:val="004D6000"/>
    <w:rsid w:val="004D6415"/>
    <w:rsid w:val="004D71E8"/>
    <w:rsid w:val="004E393E"/>
    <w:rsid w:val="004E4507"/>
    <w:rsid w:val="004E4619"/>
    <w:rsid w:val="004F0A7D"/>
    <w:rsid w:val="0051538E"/>
    <w:rsid w:val="00517E01"/>
    <w:rsid w:val="00521EEC"/>
    <w:rsid w:val="005460BD"/>
    <w:rsid w:val="00553197"/>
    <w:rsid w:val="0055409E"/>
    <w:rsid w:val="00556367"/>
    <w:rsid w:val="00556B35"/>
    <w:rsid w:val="00573E13"/>
    <w:rsid w:val="00584F82"/>
    <w:rsid w:val="005918E0"/>
    <w:rsid w:val="00591DFA"/>
    <w:rsid w:val="005A5695"/>
    <w:rsid w:val="005B2F00"/>
    <w:rsid w:val="005B57DE"/>
    <w:rsid w:val="005C1886"/>
    <w:rsid w:val="005C761E"/>
    <w:rsid w:val="005D0E5F"/>
    <w:rsid w:val="005D1DE4"/>
    <w:rsid w:val="005E35BD"/>
    <w:rsid w:val="005E3D4D"/>
    <w:rsid w:val="005E7FD1"/>
    <w:rsid w:val="005F2858"/>
    <w:rsid w:val="006002E3"/>
    <w:rsid w:val="006145AC"/>
    <w:rsid w:val="00615F98"/>
    <w:rsid w:val="00621F9C"/>
    <w:rsid w:val="00631166"/>
    <w:rsid w:val="00631F1C"/>
    <w:rsid w:val="006366A4"/>
    <w:rsid w:val="006456B1"/>
    <w:rsid w:val="006564EC"/>
    <w:rsid w:val="0066084C"/>
    <w:rsid w:val="00672CF9"/>
    <w:rsid w:val="00672E11"/>
    <w:rsid w:val="0068273B"/>
    <w:rsid w:val="00691234"/>
    <w:rsid w:val="006931CC"/>
    <w:rsid w:val="006947F2"/>
    <w:rsid w:val="00697919"/>
    <w:rsid w:val="006B3FCF"/>
    <w:rsid w:val="006B46CA"/>
    <w:rsid w:val="006C0391"/>
    <w:rsid w:val="006C28B3"/>
    <w:rsid w:val="006D1F66"/>
    <w:rsid w:val="006D306E"/>
    <w:rsid w:val="006D4497"/>
    <w:rsid w:val="006F6C15"/>
    <w:rsid w:val="0070727E"/>
    <w:rsid w:val="00710D3A"/>
    <w:rsid w:val="0071315F"/>
    <w:rsid w:val="00721942"/>
    <w:rsid w:val="00722BE7"/>
    <w:rsid w:val="00732DF2"/>
    <w:rsid w:val="007614F1"/>
    <w:rsid w:val="007618C5"/>
    <w:rsid w:val="00764066"/>
    <w:rsid w:val="00776118"/>
    <w:rsid w:val="007B0F83"/>
    <w:rsid w:val="007B5D45"/>
    <w:rsid w:val="007D29A1"/>
    <w:rsid w:val="007E0EA7"/>
    <w:rsid w:val="007E3F23"/>
    <w:rsid w:val="007F142E"/>
    <w:rsid w:val="007F7B5E"/>
    <w:rsid w:val="00802B1A"/>
    <w:rsid w:val="0080615C"/>
    <w:rsid w:val="0081027F"/>
    <w:rsid w:val="0081742D"/>
    <w:rsid w:val="00821F4D"/>
    <w:rsid w:val="00823906"/>
    <w:rsid w:val="008343D7"/>
    <w:rsid w:val="008409D3"/>
    <w:rsid w:val="00845559"/>
    <w:rsid w:val="00854DB8"/>
    <w:rsid w:val="00854EF2"/>
    <w:rsid w:val="00863B86"/>
    <w:rsid w:val="00871F69"/>
    <w:rsid w:val="008842D0"/>
    <w:rsid w:val="00884AC4"/>
    <w:rsid w:val="0088579D"/>
    <w:rsid w:val="008A7953"/>
    <w:rsid w:val="008B3081"/>
    <w:rsid w:val="008B32D4"/>
    <w:rsid w:val="008C24F6"/>
    <w:rsid w:val="008D0020"/>
    <w:rsid w:val="008D3C38"/>
    <w:rsid w:val="008D6A05"/>
    <w:rsid w:val="008E2AE5"/>
    <w:rsid w:val="008E3F89"/>
    <w:rsid w:val="008F26CB"/>
    <w:rsid w:val="008F6509"/>
    <w:rsid w:val="008F79D9"/>
    <w:rsid w:val="00901019"/>
    <w:rsid w:val="009027C8"/>
    <w:rsid w:val="0093467A"/>
    <w:rsid w:val="0094155C"/>
    <w:rsid w:val="00951531"/>
    <w:rsid w:val="00960A3B"/>
    <w:rsid w:val="00967DE0"/>
    <w:rsid w:val="00971E07"/>
    <w:rsid w:val="00980944"/>
    <w:rsid w:val="00986D77"/>
    <w:rsid w:val="009943EC"/>
    <w:rsid w:val="009A32D5"/>
    <w:rsid w:val="009B6012"/>
    <w:rsid w:val="009C102D"/>
    <w:rsid w:val="009C2A4F"/>
    <w:rsid w:val="009D4C59"/>
    <w:rsid w:val="009D7F91"/>
    <w:rsid w:val="009E20EF"/>
    <w:rsid w:val="009E26EE"/>
    <w:rsid w:val="009F21A2"/>
    <w:rsid w:val="00A32FBF"/>
    <w:rsid w:val="00A407EA"/>
    <w:rsid w:val="00A51749"/>
    <w:rsid w:val="00A521B6"/>
    <w:rsid w:val="00A56962"/>
    <w:rsid w:val="00A6412C"/>
    <w:rsid w:val="00A70882"/>
    <w:rsid w:val="00A75419"/>
    <w:rsid w:val="00A76661"/>
    <w:rsid w:val="00A76D2A"/>
    <w:rsid w:val="00A82081"/>
    <w:rsid w:val="00A8557E"/>
    <w:rsid w:val="00A91181"/>
    <w:rsid w:val="00A935AC"/>
    <w:rsid w:val="00AB299E"/>
    <w:rsid w:val="00AB507C"/>
    <w:rsid w:val="00AD6E76"/>
    <w:rsid w:val="00AE3EAA"/>
    <w:rsid w:val="00AE5EDF"/>
    <w:rsid w:val="00B14F7F"/>
    <w:rsid w:val="00B16EB9"/>
    <w:rsid w:val="00B22F24"/>
    <w:rsid w:val="00B22F53"/>
    <w:rsid w:val="00B24DBE"/>
    <w:rsid w:val="00B34EB2"/>
    <w:rsid w:val="00B517C3"/>
    <w:rsid w:val="00B518B2"/>
    <w:rsid w:val="00B526EA"/>
    <w:rsid w:val="00B536FE"/>
    <w:rsid w:val="00B73FFA"/>
    <w:rsid w:val="00B874F1"/>
    <w:rsid w:val="00BC1DE7"/>
    <w:rsid w:val="00BC5AEE"/>
    <w:rsid w:val="00BD6029"/>
    <w:rsid w:val="00BE0541"/>
    <w:rsid w:val="00BE1ADB"/>
    <w:rsid w:val="00C070DE"/>
    <w:rsid w:val="00C26DFB"/>
    <w:rsid w:val="00C273FA"/>
    <w:rsid w:val="00C30D06"/>
    <w:rsid w:val="00C42067"/>
    <w:rsid w:val="00C432D0"/>
    <w:rsid w:val="00C4398E"/>
    <w:rsid w:val="00C60B4A"/>
    <w:rsid w:val="00C65BDB"/>
    <w:rsid w:val="00C71A3B"/>
    <w:rsid w:val="00C76CFA"/>
    <w:rsid w:val="00C77C69"/>
    <w:rsid w:val="00C963F8"/>
    <w:rsid w:val="00C96BB1"/>
    <w:rsid w:val="00CA2F80"/>
    <w:rsid w:val="00CB0C2A"/>
    <w:rsid w:val="00CC4B2B"/>
    <w:rsid w:val="00CC579C"/>
    <w:rsid w:val="00CC5F5F"/>
    <w:rsid w:val="00CD3460"/>
    <w:rsid w:val="00CD4B61"/>
    <w:rsid w:val="00CD5043"/>
    <w:rsid w:val="00CE2928"/>
    <w:rsid w:val="00CE314A"/>
    <w:rsid w:val="00D01C50"/>
    <w:rsid w:val="00D11B24"/>
    <w:rsid w:val="00D133C8"/>
    <w:rsid w:val="00D14DB8"/>
    <w:rsid w:val="00D244D5"/>
    <w:rsid w:val="00D2776A"/>
    <w:rsid w:val="00D413DB"/>
    <w:rsid w:val="00D420E2"/>
    <w:rsid w:val="00D4459D"/>
    <w:rsid w:val="00D573F9"/>
    <w:rsid w:val="00D6058B"/>
    <w:rsid w:val="00D63EC5"/>
    <w:rsid w:val="00D72C05"/>
    <w:rsid w:val="00D847CF"/>
    <w:rsid w:val="00DA0A99"/>
    <w:rsid w:val="00DA7603"/>
    <w:rsid w:val="00DA7E39"/>
    <w:rsid w:val="00DA7EDE"/>
    <w:rsid w:val="00DC0AB5"/>
    <w:rsid w:val="00DC50EB"/>
    <w:rsid w:val="00DD3FA0"/>
    <w:rsid w:val="00DE5B2D"/>
    <w:rsid w:val="00DE5CE9"/>
    <w:rsid w:val="00E03064"/>
    <w:rsid w:val="00E04BD5"/>
    <w:rsid w:val="00E070D2"/>
    <w:rsid w:val="00E1539C"/>
    <w:rsid w:val="00E162B6"/>
    <w:rsid w:val="00E16E01"/>
    <w:rsid w:val="00E24A50"/>
    <w:rsid w:val="00E35639"/>
    <w:rsid w:val="00E432CC"/>
    <w:rsid w:val="00E50711"/>
    <w:rsid w:val="00E60EDA"/>
    <w:rsid w:val="00E62BBC"/>
    <w:rsid w:val="00E9503C"/>
    <w:rsid w:val="00E956D9"/>
    <w:rsid w:val="00EA1958"/>
    <w:rsid w:val="00EA29F5"/>
    <w:rsid w:val="00EA482D"/>
    <w:rsid w:val="00EB5FE6"/>
    <w:rsid w:val="00EB61A5"/>
    <w:rsid w:val="00EB7A09"/>
    <w:rsid w:val="00EC5AF4"/>
    <w:rsid w:val="00ED661C"/>
    <w:rsid w:val="00EE41B5"/>
    <w:rsid w:val="00EE66C9"/>
    <w:rsid w:val="00EF11A9"/>
    <w:rsid w:val="00EF38E1"/>
    <w:rsid w:val="00EF749A"/>
    <w:rsid w:val="00EF771E"/>
    <w:rsid w:val="00F02565"/>
    <w:rsid w:val="00F05542"/>
    <w:rsid w:val="00F17A2C"/>
    <w:rsid w:val="00F26708"/>
    <w:rsid w:val="00F511EE"/>
    <w:rsid w:val="00F558E7"/>
    <w:rsid w:val="00F62016"/>
    <w:rsid w:val="00F63F44"/>
    <w:rsid w:val="00F6746D"/>
    <w:rsid w:val="00F811CD"/>
    <w:rsid w:val="00F82D8F"/>
    <w:rsid w:val="00F83F62"/>
    <w:rsid w:val="00F9711D"/>
    <w:rsid w:val="00FA75E0"/>
    <w:rsid w:val="00FB20B1"/>
    <w:rsid w:val="00FB3AB4"/>
    <w:rsid w:val="00FC56A4"/>
    <w:rsid w:val="00FD3D06"/>
    <w:rsid w:val="00FD5662"/>
    <w:rsid w:val="00FD72B6"/>
    <w:rsid w:val="00FE00AD"/>
    <w:rsid w:val="00FE499F"/>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ascii="Cambria" w:hAnsi="Cambria" w:cs="Cambria"/>
      <w:b/>
      <w:bCs/>
      <w:kern w:val="32"/>
      <w:sz w:val="32"/>
      <w:szCs w:val="32"/>
    </w:rPr>
  </w:style>
  <w:style w:type="character" w:customStyle="1" w:styleId="Ttulo5Char">
    <w:name w:val="Título 5 Char"/>
    <w:basedOn w:val="Fontepargpadro"/>
    <w:link w:val="Ttulo5"/>
    <w:uiPriority w:val="99"/>
    <w:locked/>
    <w:rPr>
      <w:rFonts w:ascii="Calibri" w:hAnsi="Calibri" w:cs="Calibri"/>
      <w:b/>
      <w:bCs/>
      <w:i/>
      <w:iCs/>
      <w:sz w:val="26"/>
      <w:szCs w:val="26"/>
    </w:rPr>
  </w:style>
  <w:style w:type="character" w:customStyle="1" w:styleId="Ttulo6Char">
    <w:name w:val="Título 6 Char"/>
    <w:basedOn w:val="Fontepargpadro"/>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basedOn w:val="Fontepargpadro"/>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basedOn w:val="Fontepargpadro"/>
    <w:link w:val="Corpodetexto3"/>
    <w:uiPriority w:val="99"/>
    <w:locked/>
    <w:rPr>
      <w:rFonts w:cs="Times New Roman"/>
      <w:sz w:val="16"/>
      <w:szCs w:val="16"/>
    </w:rPr>
  </w:style>
  <w:style w:type="character" w:styleId="Nmerodepgina">
    <w:name w:val="page number"/>
    <w:basedOn w:val="Fontepargpadro"/>
    <w:uiPriority w:val="99"/>
    <w:rPr>
      <w:rFonts w:cs="Times New Roman"/>
    </w:rPr>
  </w:style>
  <w:style w:type="character" w:styleId="Hyperlink">
    <w:name w:val="Hyperlink"/>
    <w:basedOn w:val="Fontepargpadro"/>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basedOn w:val="Fontepargpadro"/>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basedOn w:val="Fontepargpadro"/>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basedOn w:val="Fontepargpadro"/>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basedOn w:val="Fontepargpadro"/>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basedOn w:val="Fontepargpadro"/>
    <w:link w:val="Data"/>
    <w:uiPriority w:val="99"/>
    <w:locked/>
    <w:rPr>
      <w:rFonts w:cs="Times New Roman"/>
    </w:rPr>
  </w:style>
  <w:style w:type="paragraph" w:customStyle="1" w:styleId="TemaPN">
    <w:name w:val="TemaPN"/>
    <w:next w:val="Normal"/>
    <w:autoRedefine/>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ind w:left="737" w:hanging="907"/>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basedOn w:val="Fontepargpadro"/>
    <w:uiPriority w:val="99"/>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basedOn w:val="Fontepargpadro"/>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basedOn w:val="Fontepargpadro"/>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basedOn w:val="Fontepargpadro"/>
    <w:link w:val="Corpo"/>
    <w:uiPriority w:val="99"/>
    <w:locked/>
    <w:rsid w:val="008D3C38"/>
    <w:rPr>
      <w:rFonts w:ascii="Courier New" w:hAnsi="Courier New" w:cs="Courier New"/>
      <w:color w:val="000000"/>
      <w:sz w:val="24"/>
      <w:szCs w:val="24"/>
      <w:lang w:val="en-US"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plicacao5.tst.jus.br/consultaProcessual/consultaTstNumUnica.do?consulta=Consultar&amp;conscsjt=&amp;numeroTst=673200&amp;digitoTst=61&amp;anoTst=2008&amp;orgaoTst=5&amp;tribunalTst=01&amp;varaTst=000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licacao5.tst.jus.br/consultaProcessual/consultaTstNumUnica.do?consulta=Consultar&amp;conscsjt=&amp;numeroTst=242&amp;digitoTst=18&amp;anoTst=2011&amp;orgaoTst=5&amp;tribunalTst=12&amp;varaTst=0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licacao5.tst.jus.br/consultaProcessual/consultaTstNumUnica.do?consulta=Consultar&amp;conscsjt=&amp;numeroTst=141300&amp;digitoTst=03&amp;anoTst=2009&amp;orgaoTst=5&amp;tribunalTst=03&amp;varaTst=013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plicacao5.tst.jus.br/consultaProcessual/consultaTstNumUnica.do?consulta=Consultar&amp;conscsjt=&amp;numeroTst=22900&amp;digitoTst=83&amp;anoTst=2006&amp;orgaoTst=5&amp;tribunalTst=09&amp;varaTst=0068" TargetMode="External"/><Relationship Id="rId4" Type="http://schemas.openxmlformats.org/officeDocument/2006/relationships/settings" Target="settings.xml"/><Relationship Id="rId9" Type="http://schemas.openxmlformats.org/officeDocument/2006/relationships/hyperlink" Target="https://aplicacao5.tst.jus.br/consultaProcessual/consultaTstNumUnica.do?consulta=Consultar&amp;conscsjt=&amp;numeroTst=25900&amp;digitoTst=74&amp;anoTst=2007&amp;orgaoTst=5&amp;tribunalTst=10&amp;varaTst=0021"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98416-12C8-48AC-BF5C-8D84C293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1548</Words>
  <Characters>8365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9894</CharactersWithSpaces>
  <SharedDoc>false</SharedDoc>
  <HLinks>
    <vt:vector size="30" baseType="variant">
      <vt:variant>
        <vt:i4>2490427</vt:i4>
      </vt:variant>
      <vt:variant>
        <vt:i4>12</vt:i4>
      </vt:variant>
      <vt:variant>
        <vt:i4>0</vt:i4>
      </vt:variant>
      <vt:variant>
        <vt:i4>5</vt:i4>
      </vt:variant>
      <vt:variant>
        <vt:lpwstr>https://aplicacao5.tst.jus.br/consultaProcessual/consultaTstNumUnica.do?consulta=Consultar&amp;conscsjt=&amp;numeroTst=242&amp;digitoTst=18&amp;anoTst=2011&amp;orgaoTst=5&amp;tribunalTst=12&amp;varaTst=0000</vt:lpwstr>
      </vt:variant>
      <vt:variant>
        <vt:lpwstr/>
      </vt:variant>
      <vt:variant>
        <vt:i4>5308494</vt:i4>
      </vt:variant>
      <vt:variant>
        <vt:i4>9</vt:i4>
      </vt:variant>
      <vt:variant>
        <vt:i4>0</vt:i4>
      </vt:variant>
      <vt:variant>
        <vt:i4>5</vt:i4>
      </vt:variant>
      <vt:variant>
        <vt:lpwstr>https://aplicacao5.tst.jus.br/consultaProcessual/consultaTstNumUnica.do?consulta=Consultar&amp;conscsjt=&amp;numeroTst=141300&amp;digitoTst=03&amp;anoTst=2009&amp;orgaoTst=5&amp;tribunalTst=03&amp;varaTst=0138</vt:lpwstr>
      </vt:variant>
      <vt:variant>
        <vt:lpwstr/>
      </vt:variant>
      <vt:variant>
        <vt:i4>1835020</vt:i4>
      </vt:variant>
      <vt:variant>
        <vt:i4>6</vt:i4>
      </vt:variant>
      <vt:variant>
        <vt:i4>0</vt:i4>
      </vt:variant>
      <vt:variant>
        <vt:i4>5</vt:i4>
      </vt:variant>
      <vt:variant>
        <vt:lpwstr>https://aplicacao5.tst.jus.br/consultaProcessual/consultaTstNumUnica.do?consulta=Consultar&amp;conscsjt=&amp;numeroTst=22900&amp;digitoTst=83&amp;anoTst=2006&amp;orgaoTst=5&amp;tribunalTst=09&amp;varaTst=0068</vt:lpwstr>
      </vt:variant>
      <vt:variant>
        <vt:lpwstr/>
      </vt:variant>
      <vt:variant>
        <vt:i4>1769472</vt:i4>
      </vt:variant>
      <vt:variant>
        <vt:i4>3</vt:i4>
      </vt:variant>
      <vt:variant>
        <vt:i4>0</vt:i4>
      </vt:variant>
      <vt:variant>
        <vt:i4>5</vt:i4>
      </vt:variant>
      <vt:variant>
        <vt:lpwstr>https://aplicacao5.tst.jus.br/consultaProcessual/consultaTstNumUnica.do?consulta=Consultar&amp;conscsjt=&amp;numeroTst=25900&amp;digitoTst=74&amp;anoTst=2007&amp;orgaoTst=5&amp;tribunalTst=10&amp;varaTst=0021</vt:lpwstr>
      </vt:variant>
      <vt:variant>
        <vt:lpwstr/>
      </vt:variant>
      <vt:variant>
        <vt:i4>5636171</vt:i4>
      </vt:variant>
      <vt:variant>
        <vt:i4>0</vt:i4>
      </vt:variant>
      <vt:variant>
        <vt:i4>0</vt:i4>
      </vt:variant>
      <vt:variant>
        <vt:i4>5</vt:i4>
      </vt:variant>
      <vt:variant>
        <vt:lpwstr>https://aplicacao5.tst.jus.br/consultaProcessual/consultaTstNumUnica.do?consulta=Consultar&amp;conscsjt=&amp;numeroTst=673200&amp;digitoTst=61&amp;anoTst=2008&amp;orgaoTst=5&amp;tribunalTst=01&amp;varaTst=0000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subject/>
  <dc:creator>C037163</dc:creator>
  <cp:keywords/>
  <dc:description/>
  <cp:lastModifiedBy>c041658</cp:lastModifiedBy>
  <cp:revision>2</cp:revision>
  <cp:lastPrinted>2012-03-09T15:01:00Z</cp:lastPrinted>
  <dcterms:created xsi:type="dcterms:W3CDTF">2018-06-27T22:31:00Z</dcterms:created>
  <dcterms:modified xsi:type="dcterms:W3CDTF">2018-06-27T22:31:00Z</dcterms:modified>
</cp:coreProperties>
</file>