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6"/>
                <w:szCs w:val="16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  <w:p w:rsidR="003C058D" w:rsidRPr="00187A37" w:rsidRDefault="003C058D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FE00AD" w:rsidRPr="005D1DE4" w:rsidRDefault="00FE00AD" w:rsidP="00F82D8F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3C058D" w:rsidRPr="003C058D" w:rsidRDefault="003C058D" w:rsidP="003C058D">
      <w:pPr>
        <w:jc w:val="both"/>
        <w:rPr>
          <w:b/>
          <w:i/>
          <w:sz w:val="24"/>
          <w:szCs w:val="24"/>
        </w:rPr>
      </w:pPr>
      <w:r w:rsidRPr="003C058D">
        <w:rPr>
          <w:b/>
          <w:i/>
          <w:sz w:val="24"/>
          <w:szCs w:val="24"/>
        </w:rPr>
        <w:t xml:space="preserve">Acidente do trabalho. Responsabilidade civil objetiva. Configuração. Motociclista. Atividade de risco. </w:t>
      </w:r>
    </w:p>
    <w:p w:rsidR="003C058D" w:rsidRPr="003C058D" w:rsidRDefault="003C058D" w:rsidP="003C058D">
      <w:pPr>
        <w:adjustRightInd w:val="0"/>
        <w:jc w:val="both"/>
        <w:rPr>
          <w:color w:val="000000"/>
          <w:sz w:val="24"/>
          <w:szCs w:val="24"/>
        </w:rPr>
      </w:pPr>
      <w:r w:rsidRPr="003C058D">
        <w:rPr>
          <w:color w:val="000000"/>
          <w:sz w:val="24"/>
          <w:szCs w:val="24"/>
        </w:rPr>
        <w:t xml:space="preserve">A SBDI-I, por unanimidade, conheceu dos embargos, por divergência jurisprudencial, e, no mérito, por maioria, negou-lhes provimento, mantendo a decisão da 8ª Turma, que reconhecera a responsabilidade objetiva da empregadora, intermediadora de mão de obra junto a concessionária de energia elétrica, no caso em que o trabalhador, no desempenho da função de oficial eletricista, foi vítima de acidente do trabalho no trânsito, sofrendo amputação da perna direita, decorrente da colisão entre sua motocicleta e outro automóvel. Na espécie, além de o infortúnio ter ocorrido durante o expediente, restou consignado que o veículo de propriedade da vítima era utilizado para a prestação dos serviços de corte e religação de energia elétrica em unidades consumidoras de baixa tensão, em virtude do contrato de locação firmado com a empregadora, restando demonstrado, portanto, o nexo de causalidade entre o dano sofrido e o trabalho realizado. Ademais, a condução de motocicleta configura-se atividade de risco, na medida em que os condutores desse tipo de veículo estão mais sujeitos a acidentes, com consequências mais nocivas, distanciando-se, portanto, das condições dos demais motoristas. Noutro giro, ainda que o risco, a que se refere parágrafo único do art. 927 do Código Civil, esteja relacionado à natureza da “atividade normalmente desenvolvida pelo autor do dano”, a interpretação teleológica do referido dispositivo, aliada à concepção histórica da responsabilidade objetiva, permitiria concluir que o conceito de atividade de risco deve advir do ofício concretamente desempenhado pelo trabalhador, e da exposição acima dos níveis considerados normais a que submetido, ainda que o empreendimento não contenha, por si só, elementos de risco. Finalmente, não há falar em inaplicabilidade do art. 927, parágrafo único, do CC aos casos anteriores à entrada em vigor do Código Civil, pois a teoria do risco em atividade perigosa não foi inaugurada com a nova codificação civilista, mas, ao contrário, é fruto da interpretação sistêmica do arcabouço histórico, legal e doutrinário sobre o tema. Vencidos os Ministros Ives Gandra Martins Filho, relator, e Brito Pereira. </w:t>
      </w:r>
      <w:hyperlink r:id="rId8" w:history="1">
        <w:r w:rsidRPr="000E4421">
          <w:rPr>
            <w:rStyle w:val="Hyperlink"/>
            <w:sz w:val="24"/>
            <w:szCs w:val="24"/>
          </w:rPr>
          <w:t>TST-E-ED-RR</w:t>
        </w:r>
        <w:r w:rsidR="000E4421" w:rsidRPr="000E4421">
          <w:rPr>
            <w:rStyle w:val="Hyperlink"/>
            <w:sz w:val="24"/>
            <w:szCs w:val="24"/>
          </w:rPr>
          <w:t>-</w:t>
        </w:r>
        <w:r w:rsidRPr="000E4421">
          <w:rPr>
            <w:rStyle w:val="Hyperlink"/>
            <w:sz w:val="24"/>
            <w:szCs w:val="24"/>
          </w:rPr>
          <w:t>81100-64.2005.5.04.0551</w:t>
        </w:r>
      </w:hyperlink>
      <w:r w:rsidRPr="003C058D">
        <w:rPr>
          <w:sz w:val="24"/>
          <w:szCs w:val="24"/>
          <w:u w:val="single"/>
        </w:rPr>
        <w:t>, SBDI-I, rel. Min. Ives Gandra Martins Filho, red. p/ acórdão Min. João Oreste Dalazen. 29.11.2012</w:t>
      </w:r>
    </w:p>
    <w:p w:rsidR="002C2904" w:rsidRPr="003C058D" w:rsidRDefault="002C2904" w:rsidP="002C2904">
      <w:pPr>
        <w:ind w:right="-567"/>
        <w:jc w:val="both"/>
        <w:rPr>
          <w:sz w:val="24"/>
          <w:szCs w:val="24"/>
        </w:rPr>
      </w:pPr>
    </w:p>
    <w:p w:rsidR="003C058D" w:rsidRPr="003C058D" w:rsidRDefault="003C058D" w:rsidP="003C058D">
      <w:pPr>
        <w:ind w:right="-1"/>
        <w:jc w:val="both"/>
        <w:rPr>
          <w:b/>
          <w:i/>
          <w:sz w:val="24"/>
          <w:szCs w:val="24"/>
        </w:rPr>
      </w:pPr>
      <w:r w:rsidRPr="003C058D">
        <w:rPr>
          <w:b/>
          <w:i/>
          <w:sz w:val="24"/>
          <w:szCs w:val="24"/>
        </w:rPr>
        <w:t xml:space="preserve">Recurso de embargos. Ação coletiva. Reclamação trabalhista. Litispendência. Dissenso jurisprudencial. Não configuração. Aresto paradigma que trata de ação civil pública. </w:t>
      </w:r>
    </w:p>
    <w:p w:rsidR="003C058D" w:rsidRPr="003C058D" w:rsidRDefault="003C058D" w:rsidP="003C058D">
      <w:pPr>
        <w:ind w:right="-1"/>
        <w:jc w:val="both"/>
        <w:rPr>
          <w:sz w:val="24"/>
          <w:szCs w:val="24"/>
          <w:u w:val="single"/>
        </w:rPr>
      </w:pPr>
      <w:r w:rsidRPr="003C058D">
        <w:rPr>
          <w:sz w:val="24"/>
          <w:szCs w:val="24"/>
        </w:rPr>
        <w:t xml:space="preserve">Na hipótese em que, no acórdão embargado, foi consignada a litispendência entre a ação individual, na qual se pleiteava a observância de acordo coletivo de trabalho, no que tange à alternância de promoções por antiguidade e merecimento, e a ação coletiva proposta pelo sindicato como substituto processual da categoria profissional, com o mesmo objetivo, mostra-se inespecífico o aresto colacionado, que trata da configuração da litispendência entre ação individual e ação civil pública. Com esse entendimento, a SDBI-I, por maioria, não conheceu dos embargos. Ressaltou-se, no caso, que, embora haja tendência da Subseção a equiparar a ação coletiva e a ação civil pública em questões de substituição processual, ainda remanesce controvertida a possibilidade de se aplicar os critérios previstos no Código de Defesa do Consumidor a ambas as ações. Vencidos os Ministros Augusto César </w:t>
      </w:r>
      <w:r w:rsidR="000E4421">
        <w:rPr>
          <w:sz w:val="24"/>
          <w:szCs w:val="24"/>
        </w:rPr>
        <w:t xml:space="preserve">Leite </w:t>
      </w:r>
      <w:r w:rsidRPr="003C058D">
        <w:rPr>
          <w:sz w:val="24"/>
          <w:szCs w:val="24"/>
        </w:rPr>
        <w:t xml:space="preserve">de Carvalho, Luiz Philippe Vieira de Mello Filho, José Roberto Freire Pimenta e Delaíde Miranda Arantes, que conheciam dos embargos ao fundamento de, quanto aos critérios para a verificação da litispendência, não haver distinção ontológica entre a ação civil pública e a </w:t>
      </w:r>
      <w:r w:rsidRPr="003C058D">
        <w:rPr>
          <w:sz w:val="24"/>
          <w:szCs w:val="24"/>
        </w:rPr>
        <w:lastRenderedPageBreak/>
        <w:t xml:space="preserve">ação coletiva que inviabilize o exame da especificidade da divergência jurisprudencial. </w:t>
      </w:r>
      <w:hyperlink r:id="rId9" w:history="1">
        <w:r w:rsidRPr="000E4421">
          <w:rPr>
            <w:rStyle w:val="Hyperlink"/>
            <w:sz w:val="24"/>
            <w:szCs w:val="24"/>
          </w:rPr>
          <w:t>TST-E-ED-RR-15400-16.2002.5.01.0007</w:t>
        </w:r>
      </w:hyperlink>
      <w:r w:rsidRPr="003C058D">
        <w:rPr>
          <w:sz w:val="24"/>
          <w:szCs w:val="24"/>
          <w:u w:val="single"/>
        </w:rPr>
        <w:t>, SBDI-I, rel. Min. Brito Pereira, 29.11.2012</w:t>
      </w:r>
    </w:p>
    <w:p w:rsidR="004B21AD" w:rsidRPr="005D1DE4" w:rsidRDefault="004B21AD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bCs w:val="0"/>
          <w:i/>
          <w:iCs/>
          <w:caps w:val="0"/>
          <w:color w:val="auto"/>
        </w:rPr>
      </w:pPr>
    </w:p>
    <w:p w:rsidR="004B21AD" w:rsidRPr="005D1DE4" w:rsidRDefault="004B21AD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bCs w:val="0"/>
          <w:i/>
          <w:iCs/>
          <w:caps w:val="0"/>
          <w:color w:val="auto"/>
        </w:rPr>
      </w:pPr>
    </w:p>
    <w:p w:rsidR="006456B1" w:rsidRPr="005D1DE4" w:rsidRDefault="006456B1" w:rsidP="004C2612">
      <w:pPr>
        <w:pStyle w:val="EXPLICAO"/>
        <w:ind w:left="0"/>
        <w:rPr>
          <w:rFonts w:ascii="Times New Roman" w:hAnsi="Times New Roman" w:cs="Times New Roman"/>
          <w:b/>
          <w:color w:val="auto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82" w:rsidRDefault="00503082">
      <w:r>
        <w:separator/>
      </w:r>
    </w:p>
  </w:endnote>
  <w:endnote w:type="continuationSeparator" w:id="0">
    <w:p w:rsidR="00503082" w:rsidRDefault="0050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5736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857367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82" w:rsidRDefault="00503082">
      <w:r>
        <w:separator/>
      </w:r>
    </w:p>
  </w:footnote>
  <w:footnote w:type="continuationSeparator" w:id="0">
    <w:p w:rsidR="00503082" w:rsidRDefault="00503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0E4421">
      <w:rPr>
        <w:shadow/>
        <w:sz w:val="24"/>
        <w:szCs w:val="24"/>
      </w:rPr>
      <w:t>32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0E4421">
      <w:rPr>
        <w:sz w:val="20"/>
        <w:szCs w:val="20"/>
      </w:rPr>
      <w:t>27 de novembro</w:t>
    </w:r>
    <w:r w:rsidR="00E16E01" w:rsidRPr="00971E07">
      <w:rPr>
        <w:sz w:val="20"/>
        <w:szCs w:val="20"/>
      </w:rPr>
      <w:t xml:space="preserve"> a</w:t>
    </w:r>
    <w:r w:rsidR="00FE00AD" w:rsidRPr="00971E07">
      <w:rPr>
        <w:sz w:val="20"/>
        <w:szCs w:val="20"/>
      </w:rPr>
      <w:t xml:space="preserve"> </w:t>
    </w:r>
    <w:r w:rsidR="000E4421">
      <w:rPr>
        <w:sz w:val="20"/>
        <w:szCs w:val="20"/>
      </w:rPr>
      <w:t>3</w:t>
    </w:r>
    <w:r w:rsidR="00FE00AD" w:rsidRPr="00971E07">
      <w:rPr>
        <w:sz w:val="20"/>
        <w:szCs w:val="20"/>
      </w:rPr>
      <w:t xml:space="preserve"> de </w:t>
    </w:r>
    <w:r w:rsidR="000E4421">
      <w:rPr>
        <w:sz w:val="20"/>
        <w:szCs w:val="20"/>
      </w:rPr>
      <w:t>dezembro</w:t>
    </w:r>
    <w:r w:rsidR="00FE00AD" w:rsidRPr="00971E07">
      <w:rPr>
        <w:sz w:val="20"/>
        <w:szCs w:val="20"/>
      </w:rPr>
      <w:t xml:space="preserve"> de 20</w:t>
    </w:r>
    <w:r w:rsidR="00E16E01" w:rsidRPr="00971E07">
      <w:rPr>
        <w:sz w:val="20"/>
        <w:szCs w:val="20"/>
      </w:rPr>
      <w:t>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4pt;height:77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3C058D">
      <w:rPr>
        <w:b/>
        <w:sz w:val="40"/>
        <w:szCs w:val="40"/>
      </w:rPr>
      <w:t>32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3C058D">
      <w:rPr>
        <w:i/>
        <w:iCs/>
      </w:rPr>
      <w:t xml:space="preserve">27 de novembro </w:t>
    </w:r>
    <w:r w:rsidR="00FE00AD" w:rsidRPr="005D1DE4">
      <w:rPr>
        <w:i/>
        <w:iCs/>
      </w:rPr>
      <w:t xml:space="preserve">a </w:t>
    </w:r>
    <w:r w:rsidR="003C058D">
      <w:rPr>
        <w:i/>
        <w:iCs/>
      </w:rPr>
      <w:t xml:space="preserve">3 de dezembro </w:t>
    </w:r>
    <w:r w:rsidR="00FE00AD" w:rsidRPr="005D1DE4">
      <w:rPr>
        <w:i/>
        <w:iCs/>
      </w:rPr>
      <w:t>de 2012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0E4421"/>
    <w:rsid w:val="0011575C"/>
    <w:rsid w:val="0011692E"/>
    <w:rsid w:val="00137564"/>
    <w:rsid w:val="00137DC1"/>
    <w:rsid w:val="0015612D"/>
    <w:rsid w:val="00176D15"/>
    <w:rsid w:val="00184590"/>
    <w:rsid w:val="00187A37"/>
    <w:rsid w:val="0019151D"/>
    <w:rsid w:val="00193208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058D"/>
    <w:rsid w:val="003C6FE7"/>
    <w:rsid w:val="003D032E"/>
    <w:rsid w:val="003D4205"/>
    <w:rsid w:val="003F2078"/>
    <w:rsid w:val="0042772A"/>
    <w:rsid w:val="004323B0"/>
    <w:rsid w:val="00444E88"/>
    <w:rsid w:val="0045657C"/>
    <w:rsid w:val="004655CC"/>
    <w:rsid w:val="00466DB9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03082"/>
    <w:rsid w:val="0051538E"/>
    <w:rsid w:val="00517E01"/>
    <w:rsid w:val="00521EEC"/>
    <w:rsid w:val="005460BD"/>
    <w:rsid w:val="00553197"/>
    <w:rsid w:val="0055409E"/>
    <w:rsid w:val="00556367"/>
    <w:rsid w:val="00556B35"/>
    <w:rsid w:val="00573E13"/>
    <w:rsid w:val="00584F82"/>
    <w:rsid w:val="00591DFA"/>
    <w:rsid w:val="005A5695"/>
    <w:rsid w:val="005B2F00"/>
    <w:rsid w:val="005B57DE"/>
    <w:rsid w:val="005C1886"/>
    <w:rsid w:val="005C761E"/>
    <w:rsid w:val="005D0E5F"/>
    <w:rsid w:val="005D1DE4"/>
    <w:rsid w:val="005E35BD"/>
    <w:rsid w:val="005E3D4D"/>
    <w:rsid w:val="005E7FD1"/>
    <w:rsid w:val="005F2858"/>
    <w:rsid w:val="006002E3"/>
    <w:rsid w:val="006145AC"/>
    <w:rsid w:val="00615F98"/>
    <w:rsid w:val="00621F9C"/>
    <w:rsid w:val="00631166"/>
    <w:rsid w:val="00631F1C"/>
    <w:rsid w:val="006366A4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727E"/>
    <w:rsid w:val="00710D3A"/>
    <w:rsid w:val="0071315F"/>
    <w:rsid w:val="00721942"/>
    <w:rsid w:val="00722BE7"/>
    <w:rsid w:val="00732DF2"/>
    <w:rsid w:val="007614F1"/>
    <w:rsid w:val="007618C5"/>
    <w:rsid w:val="00764066"/>
    <w:rsid w:val="00776118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57367"/>
    <w:rsid w:val="00863B86"/>
    <w:rsid w:val="00871F69"/>
    <w:rsid w:val="008842D0"/>
    <w:rsid w:val="00884AC4"/>
    <w:rsid w:val="0088579D"/>
    <w:rsid w:val="008A7953"/>
    <w:rsid w:val="008B3081"/>
    <w:rsid w:val="008B32D4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3467A"/>
    <w:rsid w:val="0094155C"/>
    <w:rsid w:val="00951531"/>
    <w:rsid w:val="00960A3B"/>
    <w:rsid w:val="00967DE0"/>
    <w:rsid w:val="00971E07"/>
    <w:rsid w:val="00980944"/>
    <w:rsid w:val="00986D77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73FFA"/>
    <w:rsid w:val="00B874F1"/>
    <w:rsid w:val="00BC1DE7"/>
    <w:rsid w:val="00BC5AEE"/>
    <w:rsid w:val="00BD6029"/>
    <w:rsid w:val="00BE0541"/>
    <w:rsid w:val="00BE1ADB"/>
    <w:rsid w:val="00C070DE"/>
    <w:rsid w:val="00C26DFB"/>
    <w:rsid w:val="00C273FA"/>
    <w:rsid w:val="00C30D06"/>
    <w:rsid w:val="00C42067"/>
    <w:rsid w:val="00C432D0"/>
    <w:rsid w:val="00C4398E"/>
    <w:rsid w:val="00C60B4A"/>
    <w:rsid w:val="00C65BDB"/>
    <w:rsid w:val="00C71A3B"/>
    <w:rsid w:val="00C76CFA"/>
    <w:rsid w:val="00C963F8"/>
    <w:rsid w:val="00C96BB1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50EB"/>
    <w:rsid w:val="00DD3FA0"/>
    <w:rsid w:val="00DD73AA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5639"/>
    <w:rsid w:val="00E432CC"/>
    <w:rsid w:val="00E50711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511EE"/>
    <w:rsid w:val="00F558E7"/>
    <w:rsid w:val="00F62016"/>
    <w:rsid w:val="00F63F44"/>
    <w:rsid w:val="00F6746D"/>
    <w:rsid w:val="00F811CD"/>
    <w:rsid w:val="00F82D8F"/>
    <w:rsid w:val="00F83F62"/>
    <w:rsid w:val="00F9711D"/>
    <w:rsid w:val="00FA75E0"/>
    <w:rsid w:val="00FB20B1"/>
    <w:rsid w:val="00FB3AB4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5.tst.jus.br/consultaProcessual/consultaTstNumUnica.do?consulta=Consultar&amp;conscsjt=&amp;numeroTst=81100&amp;digitoTst=64&amp;anoTst=2005&amp;orgaoTst=5&amp;tribunalTst=04&amp;varaTst=055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15400&amp;digitoTst=16&amp;anoTst=2002&amp;orgaoTst=5&amp;tribunalTst=01&amp;varaTst=0007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C0A81-D58B-423E-8B50-5D888800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4846</CharactersWithSpaces>
  <SharedDoc>false</SharedDoc>
  <HLinks>
    <vt:vector size="12" baseType="variant">
      <vt:variant>
        <vt:i4>1310724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https://aplicacao5.tst.jus.br/consultaProcessual/consultaTstNumUnica.do?consulta=Consultar&amp;conscsjt=&amp;numeroTst=15400&amp;digitoTst=16&amp;anoTst=2002&amp;orgaoTst=5&amp;tribunalTst=01&amp;varaTst=0007</vt:lpwstr>
      </vt:variant>
      <vt:variant>
        <vt:lpwstr/>
      </vt:variant>
      <vt:variant>
        <vt:i4>1835013</vt:i4>
      </vt:variant>
      <vt:variant>
        <vt:i4>0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https://aplicacao5.tst.jus.br/consultaProcessual/consultaTstNumUnica.do?consulta=Consultar&amp;conscsjt=&amp;numeroTst=81100&amp;digitoTst=64&amp;anoTst=2005&amp;orgaoTst=5&amp;tribunalTst=04&amp;varaTst=0551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2012-03-09T15:01:00Z</cp:lastPrinted>
  <dcterms:created xsi:type="dcterms:W3CDTF">2018-06-27T22:31:00Z</dcterms:created>
  <dcterms:modified xsi:type="dcterms:W3CDTF">2018-06-27T22:31:00Z</dcterms:modified>
</cp:coreProperties>
</file>