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9C47AA" w:rsidRDefault="00EA29F5" w:rsidP="00EA29F5">
      <w:pPr>
        <w:pStyle w:val="Corpodetexto2"/>
        <w:jc w:val="center"/>
        <w:rPr>
          <w:b/>
          <w:bCs/>
          <w:emboss/>
          <w:sz w:val="24"/>
          <w:szCs w:val="24"/>
        </w:rPr>
      </w:pPr>
    </w:p>
    <w:p w:rsidR="000228E6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="000228E6"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ÓRGÃO ESPECIAL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</w:p>
    <w:p w:rsidR="009C47AA" w:rsidRDefault="009C47AA" w:rsidP="009C47AA">
      <w:pPr>
        <w:keepNext/>
        <w:keepLines/>
        <w:jc w:val="both"/>
        <w:outlineLvl w:val="0"/>
        <w:rPr>
          <w:b/>
          <w:bCs/>
          <w:i/>
          <w:iCs/>
          <w:color w:val="000000"/>
          <w:sz w:val="24"/>
          <w:szCs w:val="24"/>
        </w:rPr>
      </w:pPr>
    </w:p>
    <w:p w:rsidR="009C47AA" w:rsidRPr="00161333" w:rsidRDefault="009C47AA" w:rsidP="009C47AA">
      <w:pPr>
        <w:keepNext/>
        <w:keepLines/>
        <w:jc w:val="both"/>
        <w:outlineLvl w:val="0"/>
        <w:rPr>
          <w:b/>
          <w:bCs/>
          <w:i/>
          <w:iCs/>
          <w:color w:val="000000"/>
          <w:sz w:val="24"/>
          <w:szCs w:val="24"/>
        </w:rPr>
      </w:pPr>
      <w:r w:rsidRPr="00161333">
        <w:rPr>
          <w:b/>
          <w:bCs/>
          <w:i/>
          <w:iCs/>
          <w:color w:val="000000"/>
          <w:sz w:val="24"/>
          <w:szCs w:val="24"/>
        </w:rPr>
        <w:t>Recurso em Matéria Administrativa. Aposentadoria. Apre</w:t>
      </w:r>
      <w:r w:rsidR="00DE74BE">
        <w:rPr>
          <w:b/>
          <w:bCs/>
          <w:i/>
          <w:iCs/>
          <w:color w:val="000000"/>
          <w:sz w:val="24"/>
          <w:szCs w:val="24"/>
        </w:rPr>
        <w:t>sentação de documento falso. Prá</w:t>
      </w:r>
      <w:r w:rsidRPr="00161333">
        <w:rPr>
          <w:b/>
          <w:bCs/>
          <w:i/>
          <w:iCs/>
          <w:color w:val="000000"/>
          <w:sz w:val="24"/>
          <w:szCs w:val="24"/>
        </w:rPr>
        <w:t>tica de ato de improbidade. Art. 10 e 11 da Lei nº 8.429/92. Aplicação da pena de demissão. Arts. 128 e 132 da Lei nº 8.112/90.</w:t>
      </w:r>
    </w:p>
    <w:p w:rsidR="009C47AA" w:rsidRPr="00161333" w:rsidRDefault="009C47AA" w:rsidP="009C47AA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161333">
        <w:rPr>
          <w:bCs/>
          <w:iCs/>
          <w:sz w:val="24"/>
          <w:szCs w:val="24"/>
        </w:rPr>
        <w:t>A apresentação por parte do servidor de certidão de tempo de serviço falsa, com o intuito de beneficiar-se de aposentadoria a que não faria jus, configura ato de improbidade administrativa com lesão ao erário (arts. 10 e 11 da Lei nº 8.429/92), a ensejar a aplicação de pena de demissão</w:t>
      </w:r>
      <w:r w:rsidR="00DE74BE">
        <w:rPr>
          <w:bCs/>
          <w:iCs/>
          <w:sz w:val="24"/>
          <w:szCs w:val="24"/>
        </w:rPr>
        <w:t xml:space="preserve">, </w:t>
      </w:r>
      <w:r w:rsidRPr="00161333">
        <w:rPr>
          <w:bCs/>
          <w:iCs/>
          <w:sz w:val="24"/>
          <w:szCs w:val="24"/>
        </w:rPr>
        <w:t>nos termos do art. 132 da Lei nº 8.112/90. Com esse fundamento, e tendo em conta a natureza e a gravidade da infração, os danos causados ao serviço público, as circunstâncias atenuantes e agravantes e os antecedentes funcionais, conforme diretriz do art. 128 da Lei nº 8.112/90, o Órgão Especial, por maioria, conheceu do recurso em matéria administrativa e negou-lhe provimento. Vencido o Ministro Carlos Alberto Reis de Paula.</w:t>
      </w:r>
      <w:r w:rsidRPr="00161333">
        <w:rPr>
          <w:rFonts w:eastAsia="Calibri"/>
          <w:color w:val="000000"/>
          <w:sz w:val="24"/>
          <w:szCs w:val="24"/>
        </w:rPr>
        <w:t xml:space="preserve"> </w:t>
      </w:r>
      <w:hyperlink r:id="rId8" w:history="1">
        <w:r w:rsidRPr="00C80642">
          <w:rPr>
            <w:rStyle w:val="Hyperlink"/>
            <w:sz w:val="24"/>
            <w:szCs w:val="24"/>
          </w:rPr>
          <w:t>TST-PADServ-5181-40.2012.5.00.0000</w:t>
        </w:r>
      </w:hyperlink>
      <w:r w:rsidRPr="00161333">
        <w:rPr>
          <w:sz w:val="24"/>
          <w:szCs w:val="24"/>
          <w:u w:val="single"/>
        </w:rPr>
        <w:t>, Órgão Especial, rel. Min. Fernando Eizo Ono 14.11.2012</w:t>
      </w:r>
    </w:p>
    <w:p w:rsidR="000228E6" w:rsidRPr="00C80642" w:rsidRDefault="000228E6" w:rsidP="00EA29F5">
      <w:pPr>
        <w:pStyle w:val="Corpodetexto2"/>
        <w:jc w:val="center"/>
        <w:rPr>
          <w:b/>
          <w:bCs/>
          <w:emboss/>
          <w:sz w:val="24"/>
          <w:szCs w:val="24"/>
        </w:rPr>
      </w:pPr>
    </w:p>
    <w:p w:rsidR="00C80642" w:rsidRPr="004571C9" w:rsidRDefault="00C80642" w:rsidP="00C8064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ECT.  Serviços postais em municípios com poucos habitantes. Substituição dos convênios por servidores concursados em 90 dias. Dificuldades técnicas e operacionais. Restrição à população local. </w:t>
      </w:r>
      <w:r w:rsidRPr="004571C9">
        <w:rPr>
          <w:b/>
          <w:i/>
          <w:sz w:val="24"/>
          <w:szCs w:val="24"/>
        </w:rPr>
        <w:t>Su</w:t>
      </w:r>
      <w:r>
        <w:rPr>
          <w:b/>
          <w:i/>
          <w:sz w:val="24"/>
          <w:szCs w:val="24"/>
        </w:rPr>
        <w:t>s</w:t>
      </w:r>
      <w:r w:rsidRPr="004571C9">
        <w:rPr>
          <w:b/>
          <w:i/>
          <w:sz w:val="24"/>
          <w:szCs w:val="24"/>
        </w:rPr>
        <w:t>pensão d</w:t>
      </w:r>
      <w:r>
        <w:rPr>
          <w:b/>
          <w:i/>
          <w:sz w:val="24"/>
          <w:szCs w:val="24"/>
        </w:rPr>
        <w:t>a</w:t>
      </w:r>
      <w:r w:rsidRPr="004571C9">
        <w:rPr>
          <w:b/>
          <w:i/>
          <w:sz w:val="24"/>
          <w:szCs w:val="24"/>
        </w:rPr>
        <w:t xml:space="preserve"> antecipação de tutela.</w:t>
      </w:r>
      <w:r>
        <w:rPr>
          <w:b/>
          <w:i/>
          <w:sz w:val="24"/>
          <w:szCs w:val="24"/>
        </w:rPr>
        <w:t xml:space="preserve"> Deferimento.</w:t>
      </w:r>
    </w:p>
    <w:p w:rsidR="00C80642" w:rsidRDefault="00C80642" w:rsidP="00C806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Órgão Especial, por unanimidade, negou provimento ao agravo regimental, mantendo a decisão do Presidente desta Corte que deferiu a liminar requerida pela Empresa Brasileira de Correios e Telégrafos – ECT, para suspender a execução da antecipação de tutela concedida pelo TRT da 18ª Região até o julgamento do agravo de instrumento ou do recurso de revista, caso provido o agravo. Na espécie, o Tribunal Regional determinou a substituição dos convênios entre a ECT e os </w:t>
      </w:r>
      <w:r w:rsidR="00B66121">
        <w:rPr>
          <w:sz w:val="24"/>
          <w:szCs w:val="24"/>
        </w:rPr>
        <w:t>m</w:t>
      </w:r>
      <w:r>
        <w:rPr>
          <w:sz w:val="24"/>
          <w:szCs w:val="24"/>
        </w:rPr>
        <w:t>unicípios com poucos habitantes no interior do Estado de Goiás pelos serviços a serem prestados por servidores concursados, no prazo de 90 dias, sob pena de multa de R$ 5.000,00 por empregado que permanecer irregularmente na atividade-fim. Diante das dificuldades técnicas e operacionais para a realização da substituição no prazo determinado, entendeu-se que haveria a possibilidade concreta de interrupção, ao menos parcial, dos serviços postais nos municípios atingidos pela decisão do Regional, o que causaria severa restrição à população local. Ademais, a definição de “atividade-fim” para efeitos de regular terceirização é matéria controvertida, restando plenamente justificada, portanto, a intervenção excepcional da Presidência do TST em sede de suspensão de antecipação de tutela, nos termos dos arts. 4º, “caput” e § 1º, da Lei nº 8</w:t>
      </w:r>
      <w:r w:rsidR="00C13282">
        <w:rPr>
          <w:sz w:val="24"/>
          <w:szCs w:val="24"/>
        </w:rPr>
        <w:t>.</w:t>
      </w:r>
      <w:r>
        <w:rPr>
          <w:sz w:val="24"/>
          <w:szCs w:val="24"/>
        </w:rPr>
        <w:t>437/92 e 251 do RITST.</w:t>
      </w:r>
      <w:r w:rsidRPr="004571C9">
        <w:rPr>
          <w:sz w:val="24"/>
          <w:szCs w:val="24"/>
          <w:u w:val="single"/>
        </w:rPr>
        <w:t xml:space="preserve"> </w:t>
      </w:r>
      <w:hyperlink r:id="rId9" w:history="1">
        <w:r w:rsidRPr="00C80642">
          <w:rPr>
            <w:rStyle w:val="Hyperlink"/>
            <w:sz w:val="24"/>
            <w:szCs w:val="24"/>
          </w:rPr>
          <w:t>TST-AgRSS-4901-69.2012.5.00.0000</w:t>
        </w:r>
      </w:hyperlink>
      <w:r w:rsidRPr="001E650A">
        <w:rPr>
          <w:sz w:val="24"/>
          <w:szCs w:val="24"/>
          <w:u w:val="single"/>
        </w:rPr>
        <w:t>, Órgão Especial, rel. Min. João Oreste Dalazen, 14.11.2012</w:t>
      </w:r>
    </w:p>
    <w:p w:rsidR="00161333" w:rsidRPr="00C80642" w:rsidRDefault="00161333" w:rsidP="006145AC">
      <w:pPr>
        <w:pStyle w:val="Ementa"/>
        <w:ind w:left="0"/>
        <w:rPr>
          <w:rFonts w:ascii="Times New Roman" w:hAnsi="Times New Roman" w:cs="Times New Roman"/>
          <w:bCs/>
          <w:iCs/>
          <w:color w:val="000000"/>
          <w:u w:val="single"/>
          <w:lang w:val="pt-BR"/>
        </w:rPr>
      </w:pPr>
    </w:p>
    <w:p w:rsidR="00161333" w:rsidRDefault="00161333" w:rsidP="00C8064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Empresa de distribuição de energia elétrica. Atividade essencial. Imposição de obrigações complexas, custosas e definitivas. Exíguo lapso temporal. Potencial lesão ao interesse coletivo. Suspensão da antecipação de tutela. Deferimento. </w:t>
      </w:r>
    </w:p>
    <w:p w:rsidR="00161333" w:rsidRDefault="00161333" w:rsidP="00C80642">
      <w:pPr>
        <w:jc w:val="both"/>
        <w:rPr>
          <w:sz w:val="24"/>
          <w:szCs w:val="24"/>
          <w:u w:val="single"/>
        </w:rPr>
      </w:pPr>
      <w:r w:rsidRPr="0087570E">
        <w:rPr>
          <w:sz w:val="24"/>
          <w:szCs w:val="24"/>
        </w:rPr>
        <w:t xml:space="preserve">O Órgão Especial, </w:t>
      </w:r>
      <w:r>
        <w:rPr>
          <w:sz w:val="24"/>
          <w:szCs w:val="24"/>
        </w:rPr>
        <w:t>por unanimidade, negou provimento ao agravo regimental, mantendo decisão da Presidência do TST, que, com amparo n</w:t>
      </w:r>
      <w:r w:rsidRPr="0087570E">
        <w:rPr>
          <w:sz w:val="24"/>
          <w:szCs w:val="24"/>
        </w:rPr>
        <w:t>os arts. 4º</w:t>
      </w:r>
      <w:r>
        <w:rPr>
          <w:sz w:val="24"/>
          <w:szCs w:val="24"/>
        </w:rPr>
        <w:t>,</w:t>
      </w:r>
      <w:r w:rsidRPr="0087570E">
        <w:rPr>
          <w:sz w:val="24"/>
          <w:szCs w:val="24"/>
        </w:rPr>
        <w:t xml:space="preserve"> “caput” e § 1º</w:t>
      </w:r>
      <w:r>
        <w:rPr>
          <w:sz w:val="24"/>
          <w:szCs w:val="24"/>
        </w:rPr>
        <w:t>,</w:t>
      </w:r>
      <w:r w:rsidRPr="0087570E">
        <w:rPr>
          <w:sz w:val="24"/>
          <w:szCs w:val="24"/>
        </w:rPr>
        <w:t xml:space="preserve"> da Lei nº 8.437/92 e 251 do R</w:t>
      </w:r>
      <w:r>
        <w:rPr>
          <w:sz w:val="24"/>
          <w:szCs w:val="24"/>
        </w:rPr>
        <w:t xml:space="preserve">ITST, deferiu </w:t>
      </w:r>
      <w:r w:rsidRPr="0087570E">
        <w:rPr>
          <w:sz w:val="24"/>
          <w:szCs w:val="24"/>
        </w:rPr>
        <w:t xml:space="preserve">o pedido de suspensão da execução da tutela antecipatória concedida nos autos da </w:t>
      </w:r>
      <w:r>
        <w:rPr>
          <w:sz w:val="24"/>
          <w:szCs w:val="24"/>
        </w:rPr>
        <w:t>a</w:t>
      </w:r>
      <w:r w:rsidRPr="0087570E">
        <w:rPr>
          <w:sz w:val="24"/>
          <w:szCs w:val="24"/>
        </w:rPr>
        <w:t xml:space="preserve">ção </w:t>
      </w:r>
      <w:r>
        <w:rPr>
          <w:sz w:val="24"/>
          <w:szCs w:val="24"/>
        </w:rPr>
        <w:t>c</w:t>
      </w:r>
      <w:r w:rsidRPr="0087570E">
        <w:rPr>
          <w:sz w:val="24"/>
          <w:szCs w:val="24"/>
        </w:rPr>
        <w:t xml:space="preserve">ivil </w:t>
      </w:r>
      <w:r>
        <w:rPr>
          <w:sz w:val="24"/>
          <w:szCs w:val="24"/>
        </w:rPr>
        <w:t>p</w:t>
      </w:r>
      <w:r w:rsidRPr="0087570E">
        <w:rPr>
          <w:sz w:val="24"/>
          <w:szCs w:val="24"/>
        </w:rPr>
        <w:t>ública</w:t>
      </w:r>
      <w:r>
        <w:rPr>
          <w:sz w:val="24"/>
          <w:szCs w:val="24"/>
        </w:rPr>
        <w:t xml:space="preserve"> em que impostas obrigações complexas, custosas e definitivas a serem executadas em exíguo lapso temporal por empresa de distribuição de energia elétrica, sob pena de multa. No </w:t>
      </w:r>
      <w:r>
        <w:rPr>
          <w:sz w:val="24"/>
          <w:szCs w:val="24"/>
        </w:rPr>
        <w:lastRenderedPageBreak/>
        <w:t xml:space="preserve">caso, por se tratar de atividade essencial, vislumbrou-se que a execução da tutela concedida em segundo grau de jurisdição poderia acarretar risco de dano à ordem e à economia públicas, na medida em que estabelecida restrita forma de desenvolvimento dos serviços e apresentada tendência de diminuição da quantidade ou da qualidade dos serviços de atendimento ao público. Ademais, a aplicação da Lei Geral de Telecomunicações (Lei nº 9472/97), que autoriza a terceirização de atividades típicas das concessionárias, tem tratamento controvertido no TST, afastando, portanto, a verossimilhança em que fundada a decisão antecipatória. </w:t>
      </w:r>
      <w:hyperlink r:id="rId10" w:history="1">
        <w:r w:rsidRPr="00C80642">
          <w:rPr>
            <w:rStyle w:val="Hyperlink"/>
            <w:sz w:val="24"/>
            <w:szCs w:val="24"/>
          </w:rPr>
          <w:t>TST-AgRSLS-7021-85.2012.5.00.0000</w:t>
        </w:r>
      </w:hyperlink>
      <w:r w:rsidRPr="0050504C">
        <w:rPr>
          <w:sz w:val="24"/>
          <w:szCs w:val="24"/>
          <w:u w:val="single"/>
        </w:rPr>
        <w:t>, Órgão Especial, rel. Min. João Oreste Dalazen. 14.11.2012</w:t>
      </w:r>
    </w:p>
    <w:p w:rsidR="00631F1C" w:rsidRPr="00971E07" w:rsidRDefault="00631F1C" w:rsidP="00631F1C">
      <w:pPr>
        <w:pStyle w:val="Corp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SEÇÃO ESPECIALIZADA EM DISSÍDIOS COLETIVOS</w:t>
      </w:r>
    </w:p>
    <w:p w:rsidR="00C71A3B" w:rsidRPr="00C80642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lang w:val="pt-BR"/>
        </w:rPr>
      </w:pPr>
    </w:p>
    <w:p w:rsidR="00161333" w:rsidRPr="00161333" w:rsidRDefault="00161333" w:rsidP="00161333">
      <w:pPr>
        <w:pStyle w:val="Default"/>
        <w:jc w:val="both"/>
        <w:rPr>
          <w:b/>
          <w:i/>
        </w:rPr>
      </w:pPr>
      <w:r w:rsidRPr="00161333">
        <w:rPr>
          <w:b/>
          <w:bCs/>
          <w:i/>
          <w:iCs/>
        </w:rPr>
        <w:t>DC. Motoristas de transporte interno de mercadorias e de pessoas na área dos portos. Sindicato representante de motoristas rodoviários. Ilegitimidade ativa “ad causam”. Configuração.</w:t>
      </w:r>
    </w:p>
    <w:p w:rsidR="00161333" w:rsidRDefault="00161333" w:rsidP="00161333">
      <w:pPr>
        <w:jc w:val="both"/>
        <w:rPr>
          <w:sz w:val="24"/>
          <w:szCs w:val="24"/>
          <w:u w:val="single"/>
        </w:rPr>
      </w:pPr>
      <w:r w:rsidRPr="00161333">
        <w:rPr>
          <w:bCs/>
          <w:iCs/>
          <w:sz w:val="24"/>
          <w:szCs w:val="24"/>
        </w:rPr>
        <w:t xml:space="preserve">Não possui legitimidade para representar os motoristas de transporte interno de mercadorias e de pessoas na área dos portos o Sindicato dos Trabalhadores Rodoviários em Empresas de Transportes de Passageiros Municipais e Intermunicipais, Comércio e Trabalhadores em Empresas Sem Representação de Santos, Baixada Santista e Litoral, uma vez que, diante da disposição contida no art. 57, § 3º, I, da Lei 8.630/93, a atividade dos referidos trabalhadores se classifica como de capatazia. Ademais, esses profissionais não atuam fundamentalmente em rodovias, nem enfrentam rotineiros congestionamentos e riscos de acidentes fatais, condições próprias dos motoristas rodoviários, que constituem categoria diferenciada. Inteligência da Orientação Jurisprudencial nº 315 da SBDI-I. Com esse entendimento, a SDC, por maioria, deu provimento ao recurso ordinário do Sindicato dos Operadores Portuários do Estado de São Paulo - SOPESP, a fim de acolher a arguição de ilegitimidade ativa do Sindicato suscitante, e, em consequência, decretou a extinção do processo sem resolução do mérito, nos termos do art. 267, VI, do CPC. Vencido o Ministro João Oreste Dalazen. </w:t>
      </w:r>
      <w:hyperlink r:id="rId11" w:history="1">
        <w:r w:rsidRPr="00C80642">
          <w:rPr>
            <w:rStyle w:val="Hyperlink"/>
            <w:sz w:val="24"/>
            <w:szCs w:val="24"/>
          </w:rPr>
          <w:t>TST-RO-2004500-21.2008.5.02.0000</w:t>
        </w:r>
      </w:hyperlink>
      <w:r w:rsidRPr="00161333">
        <w:rPr>
          <w:sz w:val="24"/>
          <w:szCs w:val="24"/>
          <w:u w:val="single"/>
        </w:rPr>
        <w:t>, SDC, rel. Min. Fernando Eizo Ono, 13.11.2012</w:t>
      </w:r>
    </w:p>
    <w:p w:rsidR="00C80642" w:rsidRPr="00C80642" w:rsidRDefault="00C80642" w:rsidP="00161333">
      <w:pPr>
        <w:jc w:val="both"/>
        <w:rPr>
          <w:sz w:val="24"/>
          <w:szCs w:val="24"/>
          <w:u w:val="single"/>
        </w:rPr>
      </w:pPr>
    </w:p>
    <w:p w:rsidR="00C80642" w:rsidRPr="00A11397" w:rsidRDefault="00C80642" w:rsidP="00C80642">
      <w:pPr>
        <w:jc w:val="both"/>
        <w:rPr>
          <w:b/>
          <w:i/>
          <w:sz w:val="24"/>
          <w:szCs w:val="24"/>
        </w:rPr>
      </w:pPr>
      <w:r w:rsidRPr="00A11397">
        <w:rPr>
          <w:b/>
          <w:i/>
          <w:sz w:val="24"/>
          <w:szCs w:val="24"/>
        </w:rPr>
        <w:t>DC. Greve. Trabalhadores portuários avulsos. “Lockout”. Não configuração.</w:t>
      </w:r>
    </w:p>
    <w:p w:rsidR="00C80642" w:rsidRDefault="00C80642" w:rsidP="00C806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normas que regem o chamado “lockout” (arts. 722 da CLT e 17 da Lei nº 7.789/83) possuem natureza proibitiva e punitiva, não admitindo interpretação extensiva ou aplicação por analogia. Assim, tendo em conta que as referidas disposições de lei têm por destinatário inequívoco o empregador - a quem é vedado fechar de forma arbitrária o estabelecimento ou praticar ato injusto visando à paralisação total ou parcial das atividades, obstando o ingresso dos empregados na unidade produtiva com a finalidade de enfraquecer pleitos coletivos -, não se pode aplicá-las à relação entre o trabalhador portuário avulso e os operadores portuários, porque inexistente a figura do empregador. Ainda que assim não fosse, a interpretação extensiva do disposto nos arts. 722 da CLT e 17 da Lei nº 7.789/83 exigiria, na hipótese, que o ato praticado pelos operadores portuários, qual seja o de deixar de requisitar, a partir de 14.3.2005, Encarregados de Turma de Capatazia, pudesse ser enquadrado como conduta arbitrária e temporária a gerar pressão sobre os trabalhadores avulsos com a finalidade de frustrar negociação coletiva em curso. Todavia, infere-se dos autos que, até a data em que praticado o ato que se busca equiparar ao “lockout”, não havia negociação em curso ou conflito entre as partes. Ademais, a intenção dos operadores portuários foi a de substituir definitivamente os trabalhadores avulsos por aqueles com vínculo empregatício (arts. 16 e 26 da Lei nº 8.630/93), não restando preenchido o requisito da temporalidade. E ainda que a referida substituição decorresse de retaliação pelo renovado ajuizamento de ações de cumprimento objetivando o pagamento de passivos trabalhistas, conforme alegado pelo sindicato suscitante, não se vislumbra o intuito de frustrar negociações ou arrefecer reivindicações da categoria. Com esse entendimento, a SDC, por unanimidade, negou provimento ao recurso ordinário, no tópico. </w:t>
      </w:r>
      <w:hyperlink r:id="rId12" w:history="1">
        <w:r w:rsidRPr="00C80642">
          <w:rPr>
            <w:rStyle w:val="Hyperlink"/>
            <w:sz w:val="24"/>
            <w:szCs w:val="24"/>
          </w:rPr>
          <w:t>TST-RO-2006900-13.2005.5.02.0000</w:t>
        </w:r>
      </w:hyperlink>
      <w:r w:rsidRPr="003D032E">
        <w:rPr>
          <w:sz w:val="24"/>
          <w:szCs w:val="24"/>
          <w:u w:val="single"/>
        </w:rPr>
        <w:t>, S</w:t>
      </w:r>
      <w:r>
        <w:rPr>
          <w:sz w:val="24"/>
          <w:szCs w:val="24"/>
          <w:u w:val="single"/>
        </w:rPr>
        <w:t>DC</w:t>
      </w:r>
      <w:r w:rsidRPr="003D032E">
        <w:rPr>
          <w:sz w:val="24"/>
          <w:szCs w:val="24"/>
          <w:u w:val="single"/>
        </w:rPr>
        <w:t xml:space="preserve">, rel. Min. </w:t>
      </w:r>
      <w:r>
        <w:rPr>
          <w:sz w:val="24"/>
          <w:szCs w:val="24"/>
          <w:u w:val="single"/>
        </w:rPr>
        <w:t>Fernando Eizo Ono, 13.11.2012</w:t>
      </w:r>
    </w:p>
    <w:p w:rsidR="00C80642" w:rsidRDefault="00C80642" w:rsidP="00161333">
      <w:pPr>
        <w:jc w:val="both"/>
        <w:rPr>
          <w:sz w:val="24"/>
          <w:szCs w:val="24"/>
          <w:u w:val="single"/>
        </w:rPr>
      </w:pPr>
    </w:p>
    <w:p w:rsidR="00C80642" w:rsidRPr="00161333" w:rsidRDefault="00C80642" w:rsidP="00161333">
      <w:pPr>
        <w:jc w:val="both"/>
        <w:rPr>
          <w:sz w:val="24"/>
          <w:szCs w:val="24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05" w:rsidRDefault="003D0E05">
      <w:r>
        <w:separator/>
      </w:r>
    </w:p>
  </w:endnote>
  <w:endnote w:type="continuationSeparator" w:id="0">
    <w:p w:rsidR="003D0E05" w:rsidRDefault="003D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42" w:rsidRDefault="00C8064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647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0642" w:rsidRDefault="00C80642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42" w:rsidRDefault="00C80642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A6479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05" w:rsidRDefault="003D0E05">
      <w:r>
        <w:separator/>
      </w:r>
    </w:p>
  </w:footnote>
  <w:footnote w:type="continuationSeparator" w:id="0">
    <w:p w:rsidR="003D0E05" w:rsidRDefault="003D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42" w:rsidRPr="00971E07" w:rsidRDefault="00C80642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>
      <w:rPr>
        <w:shadow/>
        <w:sz w:val="24"/>
        <w:szCs w:val="24"/>
      </w:rPr>
      <w:t>30</w:t>
    </w:r>
  </w:p>
  <w:p w:rsidR="00C80642" w:rsidRPr="00971E07" w:rsidRDefault="00C80642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>
      <w:rPr>
        <w:sz w:val="20"/>
        <w:szCs w:val="20"/>
      </w:rPr>
      <w:t xml:space="preserve">Período: </w:t>
    </w:r>
    <w:r w:rsidRPr="00971E07">
      <w:rPr>
        <w:sz w:val="20"/>
        <w:szCs w:val="20"/>
      </w:rPr>
      <w:t>1</w:t>
    </w:r>
    <w:r>
      <w:rPr>
        <w:sz w:val="20"/>
        <w:szCs w:val="20"/>
      </w:rPr>
      <w:t>3</w:t>
    </w:r>
    <w:r w:rsidRPr="00971E07">
      <w:rPr>
        <w:sz w:val="20"/>
        <w:szCs w:val="20"/>
      </w:rPr>
      <w:t xml:space="preserve"> a </w:t>
    </w:r>
    <w:r>
      <w:rPr>
        <w:sz w:val="20"/>
        <w:szCs w:val="20"/>
      </w:rPr>
      <w:t>19</w:t>
    </w:r>
    <w:r w:rsidRPr="00971E07">
      <w:rPr>
        <w:sz w:val="20"/>
        <w:szCs w:val="20"/>
      </w:rPr>
      <w:t xml:space="preserve"> de </w:t>
    </w:r>
    <w:r>
      <w:rPr>
        <w:sz w:val="20"/>
        <w:szCs w:val="20"/>
      </w:rPr>
      <w:t>novembro</w:t>
    </w:r>
    <w:r w:rsidRPr="00971E07">
      <w:rPr>
        <w:sz w:val="20"/>
        <w:szCs w:val="20"/>
      </w:rPr>
      <w:t xml:space="preserve"> de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42" w:rsidRDefault="00C8064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4pt;height:77pt">
          <v:imagedata r:id="rId1" o:title="TST LOGO"/>
        </v:shape>
      </w:pict>
    </w:r>
  </w:p>
  <w:p w:rsidR="00C80642" w:rsidRPr="002168DE" w:rsidRDefault="00C80642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>
      <w:rPr>
        <w:b/>
        <w:sz w:val="40"/>
        <w:szCs w:val="40"/>
      </w:rPr>
      <w:t>30</w:t>
    </w:r>
  </w:p>
  <w:p w:rsidR="00C80642" w:rsidRPr="005D1DE4" w:rsidRDefault="00C80642">
    <w:pPr>
      <w:pStyle w:val="Cabealho"/>
      <w:jc w:val="right"/>
      <w:rPr>
        <w:i/>
        <w:iCs/>
        <w:sz w:val="10"/>
        <w:szCs w:val="10"/>
      </w:rPr>
    </w:pPr>
  </w:p>
  <w:p w:rsidR="00C80642" w:rsidRPr="005D1DE4" w:rsidRDefault="00C80642">
    <w:pPr>
      <w:pStyle w:val="Cabealho"/>
      <w:jc w:val="right"/>
    </w:pPr>
    <w:r>
      <w:rPr>
        <w:i/>
        <w:iCs/>
      </w:rPr>
      <w:t>Período:</w:t>
    </w:r>
    <w:r w:rsidRPr="005D1DE4">
      <w:rPr>
        <w:i/>
        <w:iCs/>
      </w:rPr>
      <w:t xml:space="preserve"> </w:t>
    </w:r>
    <w:r>
      <w:rPr>
        <w:i/>
        <w:iCs/>
      </w:rPr>
      <w:t>13</w:t>
    </w:r>
    <w:r w:rsidRPr="005D1DE4">
      <w:rPr>
        <w:i/>
        <w:iCs/>
      </w:rPr>
      <w:t xml:space="preserve"> a </w:t>
    </w:r>
    <w:r>
      <w:rPr>
        <w:i/>
        <w:iCs/>
      </w:rPr>
      <w:t>19</w:t>
    </w:r>
    <w:r w:rsidRPr="005D1DE4">
      <w:rPr>
        <w:i/>
        <w:iCs/>
      </w:rPr>
      <w:t xml:space="preserve"> de </w:t>
    </w:r>
    <w:r>
      <w:rPr>
        <w:i/>
        <w:iCs/>
      </w:rPr>
      <w:t>novembro</w:t>
    </w:r>
    <w:r w:rsidRPr="005D1DE4">
      <w:rPr>
        <w:i/>
        <w:iCs/>
      </w:rPr>
      <w:t xml:space="preserve"> de 2012</w:t>
    </w:r>
  </w:p>
  <w:p w:rsidR="00C80642" w:rsidRDefault="00C80642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5612D"/>
    <w:rsid w:val="00161333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176C5"/>
    <w:rsid w:val="00220264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1EBC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0E05"/>
    <w:rsid w:val="003D4205"/>
    <w:rsid w:val="003F207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A6479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1F54"/>
    <w:rsid w:val="009943EC"/>
    <w:rsid w:val="009A32D5"/>
    <w:rsid w:val="009B6012"/>
    <w:rsid w:val="009C102D"/>
    <w:rsid w:val="009C2A4F"/>
    <w:rsid w:val="009C47AA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66121"/>
    <w:rsid w:val="00B73FFA"/>
    <w:rsid w:val="00B874F1"/>
    <w:rsid w:val="00BC1DE7"/>
    <w:rsid w:val="00BC5AEE"/>
    <w:rsid w:val="00BD6029"/>
    <w:rsid w:val="00BE0541"/>
    <w:rsid w:val="00BE1ADB"/>
    <w:rsid w:val="00C070DE"/>
    <w:rsid w:val="00C13282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80642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1612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DE74BE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paragraph" w:customStyle="1" w:styleId="Default">
    <w:name w:val="Default"/>
    <w:rsid w:val="001613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5181&amp;digitoTst=40&amp;anoTst=2012&amp;orgaoTst=5&amp;tribunalTst=00&amp;varaTst=000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cacao5.tst.jus.br/consultaProcessual/consultaTstNumUnica.do?consulta=Consultar&amp;conscsjt=&amp;numeroTst=2006900&amp;digitoTst=13&amp;anoTst=2005&amp;orgaoTst=5&amp;tribunalTst=02&amp;varaTst=0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2004500&amp;digitoTst=21&amp;anoTst=2008&amp;orgaoTst=5&amp;tribunalTst=02&amp;varaTst=0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plicacao5.tst.jus.br/consultaProcessual/consultaTstNumUnica.do?consulta=Consultar&amp;conscsjt=&amp;numeroTst=7021&amp;digitoTst=85&amp;anoTst=2012&amp;orgaoTst=5&amp;tribunalTst=00&amp;varaTst=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4901&amp;digitoTst=69&amp;anoTst=2012&amp;orgaoTst=5&amp;tribunalTst=00&amp;varaTst=000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DEC5-551D-45C5-A7C0-03D66A9E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9158</CharactersWithSpaces>
  <SharedDoc>false</SharedDoc>
  <HLinks>
    <vt:vector size="30" baseType="variant">
      <vt:variant>
        <vt:i4>2949174</vt:i4>
      </vt:variant>
      <vt:variant>
        <vt:i4>12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https://aplicacao5.tst.jus.br/consultaProcessual/consultaTstNumUnica.do?consulta=Consultar&amp;conscsjt=&amp;numeroTst=2006900&amp;digitoTst=13&amp;anoTst=2005&amp;orgaoTst=5&amp;tribunalTst=02&amp;varaTst=0000</vt:lpwstr>
      </vt:variant>
      <vt:variant>
        <vt:lpwstr/>
      </vt:variant>
      <vt:variant>
        <vt:i4>2228283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https://aplicacao5.tst.jus.br/consultaProcessual/consultaTstNumUnica.do?consulta=Consultar&amp;conscsjt=&amp;numeroTst=2004500&amp;digitoTst=21&amp;anoTst=2008&amp;orgaoTst=5&amp;tribunalTst=02&amp;varaTst=0000</vt:lpwstr>
      </vt:variant>
      <vt:variant>
        <vt:lpwstr/>
      </vt:variant>
      <vt:variant>
        <vt:i4>6881392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https://aplicacao5.tst.jus.br/consultaProcessual/consultaTstNumUnica.do?consulta=Consultar&amp;conscsjt=&amp;numeroTst=7021&amp;digitoTst=85&amp;anoTst=2012&amp;orgaoTst=5&amp;tribunalTst=00&amp;varaTst=0000</vt:lpwstr>
      </vt:variant>
      <vt:variant>
        <vt:lpwstr/>
      </vt:variant>
      <vt:variant>
        <vt:i4>6553719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https://aplicacao5.tst.jus.br/consultaProcessual/consultaTstNumUnica.do?consulta=Consultar&amp;conscsjt=&amp;numeroTst=4901&amp;digitoTst=69&amp;anoTst=2012&amp;orgaoTst=5&amp;tribunalTst=00&amp;varaTst=0000</vt:lpwstr>
      </vt:variant>
      <vt:variant>
        <vt:lpwstr/>
      </vt:variant>
      <vt:variant>
        <vt:i4>6553725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https://aplicacao5.tst.jus.br/consultaProcessual/consultaTstNumUnica.do?consulta=Consultar&amp;conscsjt=&amp;numeroTst=5181&amp;digitoTst=40&amp;anoTst=2012&amp;orgaoTst=5&amp;tribunalTst=00&amp;varaTst=0000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2018-06-27T22:31:00Z</dcterms:created>
  <dcterms:modified xsi:type="dcterms:W3CDTF">2018-06-27T22:31:00Z</dcterms:modified>
</cp:coreProperties>
</file>