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749" w:rsidRDefault="00A51749">
      <w:bookmarkStart w:id="0" w:name="_GoBack"/>
      <w:bookmarkEnd w:id="0"/>
    </w:p>
    <w:tbl>
      <w:tblPr>
        <w:tblW w:w="9709" w:type="dxa"/>
        <w:tblInd w:w="70" w:type="dxa"/>
        <w:tblLayout w:type="fixed"/>
        <w:tblCellMar>
          <w:left w:w="70" w:type="dxa"/>
          <w:right w:w="70" w:type="dxa"/>
        </w:tblCellMar>
        <w:tblLook w:val="0000" w:firstRow="0" w:lastRow="0" w:firstColumn="0" w:lastColumn="0" w:noHBand="0" w:noVBand="0"/>
      </w:tblPr>
      <w:tblGrid>
        <w:gridCol w:w="9709"/>
      </w:tblGrid>
      <w:tr w:rsidR="00C26DFB" w:rsidRPr="00187A37" w:rsidTr="00631F1C">
        <w:tblPrEx>
          <w:tblCellMar>
            <w:top w:w="0" w:type="dxa"/>
            <w:bottom w:w="0" w:type="dxa"/>
          </w:tblCellMar>
        </w:tblPrEx>
        <w:trPr>
          <w:trHeight w:val="792"/>
        </w:trPr>
        <w:tc>
          <w:tcPr>
            <w:tcW w:w="9709" w:type="dxa"/>
          </w:tcPr>
          <w:p w:rsidR="00C26DFB" w:rsidRPr="00187A37" w:rsidRDefault="00C26DFB" w:rsidP="00DC50EB">
            <w:pPr>
              <w:pStyle w:val="Cabealho"/>
              <w:tabs>
                <w:tab w:val="clear" w:pos="4419"/>
                <w:tab w:val="clear" w:pos="8838"/>
              </w:tabs>
              <w:jc w:val="both"/>
              <w:rPr>
                <w:sz w:val="10"/>
                <w:szCs w:val="10"/>
              </w:rPr>
            </w:pPr>
            <w:r w:rsidRPr="00187A37">
              <w:rPr>
                <w:sz w:val="16"/>
                <w:szCs w:val="16"/>
              </w:rPr>
              <w:t>Este Informativo, elaborado a partir de notas tomadas nas sessões de julgamentos, contém resumos não</w:t>
            </w:r>
            <w:r w:rsidR="00DC50EB" w:rsidRPr="00187A37">
              <w:rPr>
                <w:sz w:val="16"/>
                <w:szCs w:val="16"/>
              </w:rPr>
              <w:t xml:space="preserve"> </w:t>
            </w:r>
            <w:r w:rsidRPr="00187A37">
              <w:rPr>
                <w:sz w:val="16"/>
                <w:szCs w:val="16"/>
              </w:rPr>
              <w:t>oficiais de decisões proferidas pelo Tribunal. A fidelidade dos resumos ao conteúdo efetivo das decisões, embora seja uma das metas perseguidas neste trabalho, somente poderá ser aferida após a sua publicação no Diário</w:t>
            </w:r>
            <w:r w:rsidR="00980944" w:rsidRPr="00187A37">
              <w:rPr>
                <w:sz w:val="16"/>
                <w:szCs w:val="16"/>
              </w:rPr>
              <w:t xml:space="preserve"> Eletrônico </w:t>
            </w:r>
            <w:r w:rsidRPr="00187A37">
              <w:rPr>
                <w:sz w:val="16"/>
                <w:szCs w:val="16"/>
              </w:rPr>
              <w:t>da Justiça</w:t>
            </w:r>
            <w:r w:rsidR="00980944" w:rsidRPr="00187A37">
              <w:rPr>
                <w:sz w:val="16"/>
                <w:szCs w:val="16"/>
              </w:rPr>
              <w:t xml:space="preserve"> do Trabalho</w:t>
            </w:r>
            <w:r w:rsidRPr="00187A37">
              <w:rPr>
                <w:sz w:val="16"/>
                <w:szCs w:val="16"/>
              </w:rPr>
              <w:t>.</w:t>
            </w:r>
          </w:p>
        </w:tc>
      </w:tr>
    </w:tbl>
    <w:p w:rsidR="00FE00AD" w:rsidRPr="001B3C80" w:rsidRDefault="00631F1C" w:rsidP="001B3C80">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2C2904" w:rsidRPr="005D1DE4" w:rsidRDefault="002C2904" w:rsidP="002C2904">
      <w:pPr>
        <w:ind w:right="-567"/>
        <w:jc w:val="both"/>
        <w:rPr>
          <w:sz w:val="10"/>
          <w:szCs w:val="10"/>
        </w:rPr>
      </w:pPr>
    </w:p>
    <w:p w:rsidR="007C3DC0" w:rsidRPr="00166F0F" w:rsidRDefault="007C3DC0" w:rsidP="008977A6">
      <w:pPr>
        <w:jc w:val="both"/>
        <w:rPr>
          <w:b/>
          <w:i/>
          <w:sz w:val="24"/>
          <w:szCs w:val="24"/>
        </w:rPr>
      </w:pPr>
      <w:r>
        <w:rPr>
          <w:b/>
          <w:i/>
          <w:sz w:val="24"/>
          <w:szCs w:val="24"/>
        </w:rPr>
        <w:t xml:space="preserve">Dano moral. Indenização indevida. Revista visual de bolsas, sacolas ou mochilas. Inexistência de ofensa à honra e à dignidade do empregado. Poder diretivo e de fiscalização do empregador. </w:t>
      </w:r>
    </w:p>
    <w:p w:rsidR="007C3DC0" w:rsidRDefault="007C3DC0" w:rsidP="008977A6">
      <w:pPr>
        <w:jc w:val="both"/>
        <w:rPr>
          <w:sz w:val="24"/>
          <w:szCs w:val="24"/>
          <w:u w:val="single"/>
        </w:rPr>
      </w:pPr>
      <w:r>
        <w:rPr>
          <w:sz w:val="24"/>
          <w:szCs w:val="24"/>
        </w:rPr>
        <w:t>A revista visual em bolsas, sacolas ou mochilas, realizada de modo impessoal e indiscriminado, sem contato físico ou exposição do trabalhador a situação constrangedora, decorre do poder diretivo e fiscalizador do empregador e, por isso, não possui caráter ilícito e não gera, por si só, violação à intimidade, à dignidade e à honra, a ponto de ensejar o pagamento de indenização a título de dano moral ao empregado.</w:t>
      </w:r>
      <w:r w:rsidRPr="00166F0F">
        <w:rPr>
          <w:sz w:val="24"/>
          <w:szCs w:val="24"/>
        </w:rPr>
        <w:t xml:space="preserve"> </w:t>
      </w:r>
      <w:r>
        <w:rPr>
          <w:sz w:val="24"/>
          <w:szCs w:val="24"/>
        </w:rPr>
        <w:t>Com base nessa premissa, a SBDI-I, por unanimidade, conheceu do recurso de embargos, por divergência jurisprudencial, e, no mérito, por maioria, negou-lhe provimento</w:t>
      </w:r>
      <w:r w:rsidRPr="00166F0F">
        <w:rPr>
          <w:sz w:val="24"/>
          <w:szCs w:val="24"/>
        </w:rPr>
        <w:t>. Vencido</w:t>
      </w:r>
      <w:r>
        <w:rPr>
          <w:sz w:val="24"/>
          <w:szCs w:val="24"/>
        </w:rPr>
        <w:t>s</w:t>
      </w:r>
      <w:r w:rsidRPr="00166F0F">
        <w:rPr>
          <w:sz w:val="24"/>
          <w:szCs w:val="24"/>
        </w:rPr>
        <w:t xml:space="preserve"> </w:t>
      </w:r>
      <w:r>
        <w:rPr>
          <w:sz w:val="24"/>
          <w:szCs w:val="24"/>
        </w:rPr>
        <w:t>os Ministros</w:t>
      </w:r>
      <w:r w:rsidRPr="00166F0F">
        <w:rPr>
          <w:sz w:val="24"/>
          <w:szCs w:val="24"/>
        </w:rPr>
        <w:t xml:space="preserve"> </w:t>
      </w:r>
      <w:r>
        <w:rPr>
          <w:sz w:val="24"/>
          <w:szCs w:val="24"/>
        </w:rPr>
        <w:t>Delaíde Miranda Arantes e Augusto César Leite de Carvalho</w:t>
      </w:r>
      <w:r w:rsidRPr="00166F0F">
        <w:rPr>
          <w:sz w:val="24"/>
          <w:szCs w:val="24"/>
        </w:rPr>
        <w:t>.</w:t>
      </w:r>
      <w:r>
        <w:rPr>
          <w:rFonts w:ascii="Courier New" w:hAnsi="Courier New" w:cs="Courier New"/>
          <w:sz w:val="24"/>
          <w:szCs w:val="24"/>
        </w:rPr>
        <w:t xml:space="preserve"> </w:t>
      </w:r>
      <w:hyperlink r:id="rId8" w:history="1">
        <w:r w:rsidRPr="00393677">
          <w:rPr>
            <w:rStyle w:val="Hyperlink"/>
            <w:sz w:val="24"/>
            <w:szCs w:val="24"/>
          </w:rPr>
          <w:t>TST-E-RR-306140-53.2003.5.09.0015</w:t>
        </w:r>
      </w:hyperlink>
      <w:r w:rsidRPr="00393677">
        <w:rPr>
          <w:sz w:val="24"/>
          <w:szCs w:val="24"/>
          <w:u w:val="single"/>
        </w:rPr>
        <w:t>, SBDI-I, rel. Min. Brito Pereira, 22.3.2012.</w:t>
      </w:r>
    </w:p>
    <w:p w:rsidR="00112EAC" w:rsidRPr="00112EAC" w:rsidRDefault="00112EAC" w:rsidP="007C3DC0">
      <w:pPr>
        <w:ind w:left="142" w:right="140"/>
        <w:jc w:val="both"/>
        <w:rPr>
          <w:sz w:val="10"/>
          <w:szCs w:val="10"/>
        </w:rPr>
      </w:pPr>
    </w:p>
    <w:p w:rsidR="00112EAC" w:rsidRDefault="00112EAC" w:rsidP="001B3C80">
      <w:pPr>
        <w:jc w:val="both"/>
        <w:rPr>
          <w:b/>
          <w:i/>
          <w:sz w:val="24"/>
          <w:szCs w:val="24"/>
        </w:rPr>
      </w:pPr>
      <w:r>
        <w:rPr>
          <w:b/>
          <w:i/>
          <w:sz w:val="24"/>
          <w:szCs w:val="24"/>
        </w:rPr>
        <w:t>Estabilidade provisória. Representante sindical e suplente eleitos para o Conselho de Representantes de federação ou confederação. Incidência dos arts. 8º, VIII, da CF e 543, § 3º, da CLT.</w:t>
      </w:r>
    </w:p>
    <w:p w:rsidR="00112EAC" w:rsidRDefault="00112EAC" w:rsidP="001B3C80">
      <w:pPr>
        <w:jc w:val="both"/>
        <w:rPr>
          <w:sz w:val="24"/>
          <w:szCs w:val="24"/>
          <w:u w:val="single"/>
        </w:rPr>
      </w:pPr>
      <w:r>
        <w:rPr>
          <w:sz w:val="24"/>
          <w:szCs w:val="24"/>
        </w:rPr>
        <w:t xml:space="preserve">A diretriz da Orientação Jurisprudencial n.º 369 da SBDI-I, que diz respeito a delegado sindical junto </w:t>
      </w:r>
      <w:r w:rsidR="00E916F9">
        <w:rPr>
          <w:sz w:val="24"/>
          <w:szCs w:val="24"/>
        </w:rPr>
        <w:t>a</w:t>
      </w:r>
      <w:r>
        <w:rPr>
          <w:sz w:val="24"/>
          <w:szCs w:val="24"/>
        </w:rPr>
        <w:t xml:space="preserve"> empresas, não se aplica ao representante sindical eleito, e ao seu suplente, junto ao Conselho </w:t>
      </w:r>
      <w:r w:rsidR="008E15B5">
        <w:rPr>
          <w:sz w:val="24"/>
          <w:szCs w:val="24"/>
        </w:rPr>
        <w:t>de Representantes de federação ou</w:t>
      </w:r>
      <w:r>
        <w:rPr>
          <w:sz w:val="24"/>
          <w:szCs w:val="24"/>
        </w:rPr>
        <w:t xml:space="preserve"> confederação (art. 538, “b”, da CLT), uma vez que estes últimos gozam da estabilidade provisória disposta no inciso VIII do art. 8º da CF e no § 3º do art. 543 da CLT. Ademais, não há falar na incidência do limite quantitativo previsto no art. 522 da CLT e na Súmula n.º 369, II, do TST, visto que aplicável tão somente aos cargos da Diretoria e do Conselho Fiscal da entidade sindical, pois o Conselho de Representantes </w:t>
      </w:r>
      <w:r w:rsidR="00F26E83">
        <w:rPr>
          <w:sz w:val="24"/>
          <w:szCs w:val="24"/>
        </w:rPr>
        <w:t>dispõe de</w:t>
      </w:r>
      <w:r>
        <w:rPr>
          <w:sz w:val="24"/>
          <w:szCs w:val="24"/>
        </w:rPr>
        <w:t xml:space="preserve"> número fixo de membros de cada sindicato ou federação, qua</w:t>
      </w:r>
      <w:r w:rsidR="00A52EB7">
        <w:rPr>
          <w:sz w:val="24"/>
          <w:szCs w:val="24"/>
        </w:rPr>
        <w:t>is</w:t>
      </w:r>
      <w:r>
        <w:rPr>
          <w:sz w:val="24"/>
          <w:szCs w:val="24"/>
        </w:rPr>
        <w:t xml:space="preserve"> seja</w:t>
      </w:r>
      <w:r w:rsidR="00A52EB7">
        <w:rPr>
          <w:sz w:val="24"/>
          <w:szCs w:val="24"/>
        </w:rPr>
        <w:t>m</w:t>
      </w:r>
      <w:r>
        <w:rPr>
          <w:sz w:val="24"/>
          <w:szCs w:val="24"/>
        </w:rPr>
        <w:t xml:space="preserve"> dois titulares e dois suplentes (CLT, art. 538, § 4º). Com esse entendimento, a </w:t>
      </w:r>
      <w:r w:rsidRPr="003D032E">
        <w:rPr>
          <w:sz w:val="24"/>
          <w:szCs w:val="24"/>
        </w:rPr>
        <w:t>S</w:t>
      </w:r>
      <w:r>
        <w:rPr>
          <w:sz w:val="24"/>
          <w:szCs w:val="24"/>
        </w:rPr>
        <w:t>BDI-I</w:t>
      </w:r>
      <w:r w:rsidRPr="003D032E">
        <w:rPr>
          <w:sz w:val="24"/>
          <w:szCs w:val="24"/>
        </w:rPr>
        <w:t xml:space="preserve">, por </w:t>
      </w:r>
      <w:r>
        <w:rPr>
          <w:sz w:val="24"/>
          <w:szCs w:val="24"/>
        </w:rPr>
        <w:t>maioria</w:t>
      </w:r>
      <w:r w:rsidRPr="003D032E">
        <w:rPr>
          <w:sz w:val="24"/>
          <w:szCs w:val="24"/>
        </w:rPr>
        <w:t xml:space="preserve">, conheceu </w:t>
      </w:r>
      <w:r>
        <w:rPr>
          <w:sz w:val="24"/>
          <w:szCs w:val="24"/>
        </w:rPr>
        <w:t xml:space="preserve">e deu provimento aos embargos para restabelecer a decisão do TRT que </w:t>
      </w:r>
      <w:r w:rsidRPr="00857623">
        <w:rPr>
          <w:bCs/>
          <w:sz w:val="24"/>
          <w:szCs w:val="24"/>
        </w:rPr>
        <w:t>reconhec</w:t>
      </w:r>
      <w:r>
        <w:rPr>
          <w:bCs/>
          <w:sz w:val="24"/>
          <w:szCs w:val="24"/>
        </w:rPr>
        <w:t>eu</w:t>
      </w:r>
      <w:r w:rsidRPr="00857623">
        <w:rPr>
          <w:bCs/>
          <w:sz w:val="24"/>
          <w:szCs w:val="24"/>
        </w:rPr>
        <w:t xml:space="preserve"> a</w:t>
      </w:r>
      <w:r w:rsidRPr="00857623">
        <w:rPr>
          <w:sz w:val="24"/>
          <w:szCs w:val="24"/>
        </w:rPr>
        <w:t xml:space="preserve"> esta</w:t>
      </w:r>
      <w:r>
        <w:rPr>
          <w:sz w:val="24"/>
          <w:szCs w:val="24"/>
        </w:rPr>
        <w:t>bilidade pleiteada e determinou</w:t>
      </w:r>
      <w:r w:rsidRPr="00857623">
        <w:rPr>
          <w:sz w:val="24"/>
          <w:szCs w:val="24"/>
        </w:rPr>
        <w:t xml:space="preserve"> a reintegração</w:t>
      </w:r>
      <w:r>
        <w:rPr>
          <w:sz w:val="24"/>
          <w:szCs w:val="24"/>
        </w:rPr>
        <w:t xml:space="preserve"> do reclamante</w:t>
      </w:r>
      <w:r w:rsidRPr="00857623">
        <w:rPr>
          <w:sz w:val="24"/>
          <w:szCs w:val="24"/>
        </w:rPr>
        <w:t xml:space="preserve"> com pagamento dos salários do período do afastamento.</w:t>
      </w:r>
      <w:r>
        <w:rPr>
          <w:sz w:val="24"/>
          <w:szCs w:val="24"/>
        </w:rPr>
        <w:t xml:space="preserve"> Vencida a Ministra Maria Cristina Irigoyen Peduzzi. </w:t>
      </w:r>
      <w:hyperlink r:id="rId9" w:history="1">
        <w:r w:rsidRPr="00AF61A5">
          <w:rPr>
            <w:rStyle w:val="Hyperlink"/>
            <w:sz w:val="24"/>
            <w:szCs w:val="24"/>
          </w:rPr>
          <w:t>TST-E-ED-RR-125600-83.2003.5.10.0014</w:t>
        </w:r>
      </w:hyperlink>
      <w:r w:rsidRPr="003D032E">
        <w:rPr>
          <w:sz w:val="24"/>
          <w:szCs w:val="24"/>
          <w:u w:val="single"/>
        </w:rPr>
        <w:t>, SBDI-</w:t>
      </w:r>
      <w:r>
        <w:rPr>
          <w:sz w:val="24"/>
          <w:szCs w:val="24"/>
          <w:u w:val="single"/>
        </w:rPr>
        <w:t>I</w:t>
      </w:r>
      <w:r w:rsidRPr="003D032E">
        <w:rPr>
          <w:sz w:val="24"/>
          <w:szCs w:val="24"/>
          <w:u w:val="single"/>
        </w:rPr>
        <w:t xml:space="preserve">, rel. Min. </w:t>
      </w:r>
      <w:r>
        <w:rPr>
          <w:sz w:val="24"/>
          <w:szCs w:val="24"/>
          <w:u w:val="single"/>
        </w:rPr>
        <w:t>Delaíde Miranda Arantes, 22.3.2012</w:t>
      </w:r>
      <w:r w:rsidRPr="003D032E">
        <w:rPr>
          <w:sz w:val="24"/>
          <w:szCs w:val="24"/>
          <w:u w:val="single"/>
        </w:rPr>
        <w:t>.</w:t>
      </w:r>
    </w:p>
    <w:p w:rsidR="001B3C80" w:rsidRPr="001B3C80" w:rsidRDefault="001B3C80" w:rsidP="00112EAC">
      <w:pPr>
        <w:ind w:left="142"/>
        <w:jc w:val="both"/>
        <w:rPr>
          <w:sz w:val="10"/>
          <w:szCs w:val="10"/>
          <w:u w:val="single"/>
        </w:rPr>
      </w:pPr>
    </w:p>
    <w:p w:rsidR="001B3C80" w:rsidRPr="00051E96" w:rsidRDefault="001B3C80" w:rsidP="001B3C80">
      <w:pPr>
        <w:pStyle w:val="Corpo"/>
        <w:spacing w:line="240" w:lineRule="auto"/>
        <w:ind w:firstLine="0"/>
        <w:rPr>
          <w:rFonts w:ascii="Times New Roman" w:hAnsi="Times New Roman"/>
          <w:b/>
          <w:bCs/>
          <w:i/>
          <w:iCs/>
          <w:lang w:val="pt-BR"/>
        </w:rPr>
      </w:pPr>
      <w:r>
        <w:rPr>
          <w:rFonts w:ascii="Times New Roman" w:hAnsi="Times New Roman" w:cs="Times New Roman"/>
          <w:sz w:val="10"/>
          <w:szCs w:val="10"/>
          <w:u w:val="single"/>
          <w:lang w:val="pt-BR" w:eastAsia="en-US"/>
        </w:rPr>
        <w:t xml:space="preserve"> </w:t>
      </w:r>
      <w:r>
        <w:rPr>
          <w:rFonts w:ascii="Times New Roman" w:hAnsi="Times New Roman"/>
          <w:b/>
          <w:bCs/>
          <w:i/>
          <w:iCs/>
          <w:lang w:val="pt-BR"/>
        </w:rPr>
        <w:t>Execução. Multa do art. 475-J do CPC. Incompatibilidade com o processo do trabalho. Conhecimento do recurso de revista por violação do art. 5º, LIV, da CF</w:t>
      </w:r>
      <w:r w:rsidR="002323B7">
        <w:rPr>
          <w:rFonts w:ascii="Times New Roman" w:hAnsi="Times New Roman"/>
          <w:b/>
          <w:bCs/>
          <w:i/>
          <w:iCs/>
          <w:lang w:val="pt-BR"/>
        </w:rPr>
        <w:t xml:space="preserve"> (</w:t>
      </w:r>
      <w:r>
        <w:rPr>
          <w:rFonts w:ascii="Times New Roman" w:hAnsi="Times New Roman"/>
          <w:b/>
          <w:bCs/>
          <w:i/>
          <w:iCs/>
          <w:lang w:val="pt-BR"/>
        </w:rPr>
        <w:t xml:space="preserve">desrespeito </w:t>
      </w:r>
      <w:r w:rsidR="002323B7">
        <w:rPr>
          <w:rFonts w:ascii="Times New Roman" w:hAnsi="Times New Roman"/>
          <w:b/>
          <w:bCs/>
          <w:i/>
          <w:iCs/>
          <w:lang w:val="pt-BR"/>
        </w:rPr>
        <w:t>ao princípio d</w:t>
      </w:r>
      <w:r>
        <w:rPr>
          <w:rFonts w:ascii="Times New Roman" w:hAnsi="Times New Roman"/>
          <w:b/>
          <w:bCs/>
          <w:i/>
          <w:iCs/>
          <w:lang w:val="pt-BR"/>
        </w:rPr>
        <w:t>o devido processo legal</w:t>
      </w:r>
      <w:r w:rsidR="002323B7">
        <w:rPr>
          <w:rFonts w:ascii="Times New Roman" w:hAnsi="Times New Roman"/>
          <w:b/>
          <w:bCs/>
          <w:i/>
          <w:iCs/>
          <w:lang w:val="pt-BR"/>
        </w:rPr>
        <w:t>)</w:t>
      </w:r>
      <w:r>
        <w:rPr>
          <w:rFonts w:ascii="Times New Roman" w:hAnsi="Times New Roman"/>
          <w:b/>
          <w:bCs/>
          <w:i/>
          <w:iCs/>
          <w:lang w:val="pt-BR"/>
        </w:rPr>
        <w:t>. Possibilidade.</w:t>
      </w:r>
    </w:p>
    <w:p w:rsidR="001B3C80" w:rsidRDefault="001B3C80" w:rsidP="001B3C80">
      <w:pPr>
        <w:pStyle w:val="Ementa"/>
        <w:ind w:left="0"/>
        <w:rPr>
          <w:rFonts w:ascii="Times New Roman" w:hAnsi="Times New Roman"/>
          <w:bCs/>
          <w:iCs/>
          <w:color w:val="000000"/>
          <w:u w:val="single"/>
          <w:lang w:val="pt-BR"/>
        </w:rPr>
      </w:pPr>
      <w:r w:rsidRPr="008E15B5">
        <w:rPr>
          <w:rFonts w:ascii="Times New Roman" w:hAnsi="Times New Roman"/>
          <w:bCs/>
          <w:iCs/>
          <w:color w:val="000000"/>
          <w:lang w:val="pt-BR"/>
        </w:rPr>
        <w:t>Tendo em conta que a multa prevista no art. 475-J do CPC é incompatível com o processo do trabalho, a SBDI-I, por unanimidade, conheceu dos embargos por divergência jurisprudencial e, no mérito, por maioria, negou-lhes provimento, mantendo a decisão da Turma que conheceu do recurso de revista em fase de execução, por ofensa frontal ao art. 5º, LIV, da CF (princípio do devido processo legal). Na espécie, destacou o relator que o procedimento de execução por quantia certa decorrente de título executivo judicial possui disciplina específica na legislação trabalhista, não havendo lacuna que justifique a incidência do direito processual civil na forma do comando estabelecido no art. 769 da CLT. Assim, a aplicação da multa atentaria contra o devido processo legal. Vencidos, no mérito, os Ministros Lelio Bentes Corrêa, José Roberto Freire</w:t>
      </w:r>
      <w:r w:rsidR="007D2992">
        <w:rPr>
          <w:rFonts w:ascii="Times New Roman" w:hAnsi="Times New Roman"/>
          <w:bCs/>
          <w:iCs/>
          <w:color w:val="000000"/>
          <w:lang w:val="pt-BR"/>
        </w:rPr>
        <w:t xml:space="preserve"> </w:t>
      </w:r>
      <w:r w:rsidRPr="008E15B5">
        <w:rPr>
          <w:rFonts w:ascii="Times New Roman" w:hAnsi="Times New Roman"/>
          <w:bCs/>
          <w:iCs/>
          <w:color w:val="000000"/>
          <w:lang w:val="pt-BR"/>
        </w:rPr>
        <w:lastRenderedPageBreak/>
        <w:t>Pimenta e Augusto César Leite de Carvalho.</w:t>
      </w:r>
      <w:r w:rsidRPr="008F4FE4">
        <w:rPr>
          <w:rFonts w:ascii="Times New Roman" w:hAnsi="Times New Roman"/>
          <w:iCs/>
          <w:color w:val="auto"/>
          <w:sz w:val="22"/>
          <w:szCs w:val="22"/>
          <w:lang w:val="pt-BR"/>
        </w:rPr>
        <w:t xml:space="preserve"> </w:t>
      </w:r>
      <w:hyperlink r:id="rId10" w:history="1">
        <w:r w:rsidRPr="00912A29">
          <w:rPr>
            <w:rStyle w:val="Hyperlink"/>
            <w:rFonts w:ascii="Times New Roman" w:hAnsi="Times New Roman" w:cs="Courier New"/>
            <w:bCs/>
            <w:iCs/>
            <w:lang w:val="pt-BR"/>
          </w:rPr>
          <w:t>TST-E-RR-201-52.2010.5.24.0000</w:t>
        </w:r>
      </w:hyperlink>
      <w:r w:rsidRPr="00A80B36">
        <w:rPr>
          <w:rFonts w:ascii="Times New Roman" w:hAnsi="Times New Roman"/>
          <w:bCs/>
          <w:iCs/>
          <w:color w:val="000000"/>
          <w:u w:val="single"/>
          <w:lang w:val="pt-BR"/>
        </w:rPr>
        <w:t>, SBDI-I, rel. Min. Horácio Raymundo de Senna Pires. 22.3.2012.</w:t>
      </w:r>
    </w:p>
    <w:p w:rsidR="008977A6" w:rsidRPr="00A80B36" w:rsidRDefault="008977A6" w:rsidP="001B3C80">
      <w:pPr>
        <w:pStyle w:val="Ementa"/>
        <w:ind w:left="0"/>
        <w:rPr>
          <w:rFonts w:ascii="Times New Roman" w:hAnsi="Times New Roman"/>
          <w:bCs/>
          <w:iCs/>
          <w:color w:val="000000"/>
          <w:u w:val="single"/>
          <w:lang w:val="pt-BR"/>
        </w:rPr>
      </w:pPr>
    </w:p>
    <w:p w:rsidR="005B0FB5" w:rsidRDefault="005B0FB5" w:rsidP="005B0FB5">
      <w:pPr>
        <w:ind w:right="-567"/>
        <w:jc w:val="both"/>
        <w:rPr>
          <w:b/>
          <w:i/>
          <w:sz w:val="24"/>
          <w:szCs w:val="24"/>
        </w:rPr>
      </w:pPr>
      <w:r>
        <w:rPr>
          <w:b/>
          <w:i/>
          <w:sz w:val="24"/>
          <w:szCs w:val="24"/>
        </w:rPr>
        <w:t>Desvio de função. Regimes jurídicos distintos. Diferenças salariais. Indevidas.</w:t>
      </w:r>
      <w:r w:rsidRPr="003D032E">
        <w:rPr>
          <w:b/>
          <w:i/>
          <w:sz w:val="24"/>
          <w:szCs w:val="24"/>
        </w:rPr>
        <w:t xml:space="preserve"> </w:t>
      </w:r>
    </w:p>
    <w:p w:rsidR="005B0FB5" w:rsidRDefault="005B0FB5" w:rsidP="006607E3">
      <w:pPr>
        <w:jc w:val="both"/>
        <w:rPr>
          <w:sz w:val="24"/>
          <w:szCs w:val="24"/>
          <w:u w:val="single"/>
        </w:rPr>
      </w:pPr>
      <w:r>
        <w:rPr>
          <w:sz w:val="24"/>
          <w:szCs w:val="24"/>
        </w:rPr>
        <w:t>A empregado público que exerce atividade típica de servidor público estatutário, em flagrante desvio de função para regime jurídico distinto, não é devido o pagamento de diferenças salariais a que alude a Orientação Jurisprudencial n.º 125 da SBDI-I, sob pena de haver aumento de vencimentos ou provimento de cargo público pela via transversa, ou seja, sem a prévia aprovação em concurso público específico (art. 37, II e XIII, da CF)</w:t>
      </w:r>
      <w:r w:rsidRPr="003D032E">
        <w:rPr>
          <w:sz w:val="24"/>
          <w:szCs w:val="24"/>
        </w:rPr>
        <w:t>.</w:t>
      </w:r>
      <w:r>
        <w:rPr>
          <w:sz w:val="24"/>
          <w:szCs w:val="24"/>
        </w:rPr>
        <w:t xml:space="preserve"> Com esse entendimento, a SBDI-I, por maioria, conheceu dos embargos por má</w:t>
      </w:r>
      <w:r w:rsidR="00173CFE">
        <w:rPr>
          <w:sz w:val="24"/>
          <w:szCs w:val="24"/>
        </w:rPr>
        <w:t xml:space="preserve"> </w:t>
      </w:r>
      <w:r>
        <w:rPr>
          <w:sz w:val="24"/>
          <w:szCs w:val="24"/>
        </w:rPr>
        <w:t>aplicação da Orientação Jurisprudencial n.º 125 da SBDI-I e, no mérito, deu-lhes provimento para restabelecer a decisão do Regional.</w:t>
      </w:r>
      <w:r w:rsidRPr="003D032E">
        <w:rPr>
          <w:sz w:val="24"/>
          <w:szCs w:val="24"/>
        </w:rPr>
        <w:t xml:space="preserve"> </w:t>
      </w:r>
      <w:r>
        <w:rPr>
          <w:sz w:val="24"/>
          <w:szCs w:val="24"/>
        </w:rPr>
        <w:t xml:space="preserve">Vencidos os Ministros João Oreste Dalazen, Lelio Bentes Corrêa, Augusto César Leite de Carvalho, José Roberto Freire Pimenta e Delaíde Miranda Arantes.  Na espécie, a reclamante era empregada do SERPRO, contratada em 1979 para o cargo de auxiliar, tendo exercido as funções de Técnico do Tesouro Nacional ao prestar serviços na Secretaria da Receita Federal. </w:t>
      </w:r>
      <w:hyperlink r:id="rId11" w:history="1">
        <w:r w:rsidRPr="00893006">
          <w:rPr>
            <w:rStyle w:val="Hyperlink"/>
            <w:sz w:val="24"/>
            <w:szCs w:val="24"/>
          </w:rPr>
          <w:t>TST-E-ED-RR-3800-54.2002.5.02.0432</w:t>
        </w:r>
      </w:hyperlink>
      <w:r w:rsidRPr="003D032E">
        <w:rPr>
          <w:sz w:val="24"/>
          <w:szCs w:val="24"/>
          <w:u w:val="single"/>
        </w:rPr>
        <w:t>, SBDI-</w:t>
      </w:r>
      <w:r>
        <w:rPr>
          <w:sz w:val="24"/>
          <w:szCs w:val="24"/>
          <w:u w:val="single"/>
        </w:rPr>
        <w:t>I</w:t>
      </w:r>
      <w:r w:rsidRPr="003D032E">
        <w:rPr>
          <w:sz w:val="24"/>
          <w:szCs w:val="24"/>
          <w:u w:val="single"/>
        </w:rPr>
        <w:t xml:space="preserve">, rel. Min. </w:t>
      </w:r>
      <w:r>
        <w:rPr>
          <w:sz w:val="24"/>
          <w:szCs w:val="24"/>
          <w:u w:val="single"/>
        </w:rPr>
        <w:t>Ives Gandra da Silva Martins Filho, 22.3.2012</w:t>
      </w:r>
      <w:r w:rsidRPr="003D032E">
        <w:rPr>
          <w:sz w:val="24"/>
          <w:szCs w:val="24"/>
          <w:u w:val="single"/>
        </w:rPr>
        <w:t>.</w:t>
      </w:r>
    </w:p>
    <w:p w:rsidR="005B0FB5" w:rsidRPr="005B0FB5" w:rsidRDefault="005B0FB5" w:rsidP="005B0FB5">
      <w:pPr>
        <w:ind w:right="-567"/>
        <w:jc w:val="both"/>
        <w:rPr>
          <w:sz w:val="10"/>
          <w:szCs w:val="10"/>
          <w:u w:val="single"/>
        </w:rPr>
      </w:pPr>
    </w:p>
    <w:p w:rsidR="005B0FB5" w:rsidRDefault="005B0FB5" w:rsidP="006607E3">
      <w:pPr>
        <w:jc w:val="both"/>
        <w:rPr>
          <w:b/>
          <w:i/>
          <w:sz w:val="24"/>
          <w:szCs w:val="24"/>
        </w:rPr>
      </w:pPr>
      <w:r>
        <w:rPr>
          <w:b/>
          <w:i/>
          <w:sz w:val="24"/>
          <w:szCs w:val="24"/>
        </w:rPr>
        <w:t>Empregado de banco. Advogado. Jornada de trabalho. Inaplicabilidade do art. 224 da CLT. Dedicação exclusiva. Horas extras. Sétima e oitava horas indevidas.</w:t>
      </w:r>
    </w:p>
    <w:p w:rsidR="005B0FB5" w:rsidRDefault="005B0FB5" w:rsidP="006607E3">
      <w:pPr>
        <w:jc w:val="both"/>
        <w:rPr>
          <w:sz w:val="24"/>
          <w:szCs w:val="24"/>
          <w:u w:val="single"/>
        </w:rPr>
      </w:pPr>
      <w:r>
        <w:rPr>
          <w:sz w:val="24"/>
          <w:szCs w:val="24"/>
        </w:rPr>
        <w:t xml:space="preserve">Inaplicável o art. 224 da CLT ao advogado empregado de instituição bancária que desempenha funções inerentes a advocacia, porquanto equiparado, no particular, aos membros de categoria diferenciada, uma vez que exerce atividade regulada em estatuto profissional próprio (Lei n.º 8.906/94, art. 20). Por outro lado, havendo expressa pactuação no contrato de trabalho acerca do regime de dedicação exclusiva, serão remuneradas como extraordinárias apenas as horas trabalhadas excedentes da jornada de oito horas diárias (art. 12, parágrafo único, do Regulamento Geral do Estatuto da Advocacia e da OAB).  Com esse entendimento, a SBDI-I, por unanimidade, conheceu dos embargos por divergência jurisprudencial, e, no mérito, por maioria, deu-lhes provimento para restabelecer a sentença no tópico, excluindo da condenação o pagamento das sétima e oitava horas diárias como extras e seus reflexos. </w:t>
      </w:r>
      <w:r w:rsidRPr="00230449">
        <w:rPr>
          <w:sz w:val="24"/>
          <w:szCs w:val="24"/>
        </w:rPr>
        <w:t>Vencidos os Ministros Lelio Bentes Corrêa e Delaíde Miranda Arantes.</w:t>
      </w:r>
      <w:r>
        <w:rPr>
          <w:sz w:val="24"/>
          <w:szCs w:val="24"/>
        </w:rPr>
        <w:t xml:space="preserve"> </w:t>
      </w:r>
      <w:hyperlink r:id="rId12" w:history="1">
        <w:r w:rsidRPr="00B526BC">
          <w:rPr>
            <w:rStyle w:val="Hyperlink"/>
            <w:sz w:val="24"/>
            <w:szCs w:val="24"/>
          </w:rPr>
          <w:t>TST-E-ED-RR-87700-74.2007.5.02.0038</w:t>
        </w:r>
      </w:hyperlink>
      <w:r w:rsidRPr="00BC6A61">
        <w:rPr>
          <w:sz w:val="24"/>
          <w:szCs w:val="24"/>
          <w:u w:val="single"/>
        </w:rPr>
        <w:t>, SBDI-I, rel. Min. Renato de Lacerda Paiva, 22.3.2012.</w:t>
      </w:r>
    </w:p>
    <w:p w:rsidR="006607E3" w:rsidRPr="006607E3" w:rsidRDefault="006607E3" w:rsidP="005B0FB5">
      <w:pPr>
        <w:ind w:right="-567"/>
        <w:jc w:val="both"/>
        <w:rPr>
          <w:sz w:val="10"/>
          <w:szCs w:val="10"/>
          <w:u w:val="single"/>
        </w:rPr>
      </w:pPr>
    </w:p>
    <w:p w:rsidR="006607E3" w:rsidRPr="00242D27" w:rsidRDefault="006607E3" w:rsidP="006607E3">
      <w:pPr>
        <w:jc w:val="both"/>
        <w:rPr>
          <w:b/>
          <w:i/>
          <w:sz w:val="24"/>
          <w:szCs w:val="24"/>
        </w:rPr>
      </w:pPr>
      <w:r w:rsidRPr="00242D27">
        <w:rPr>
          <w:b/>
          <w:i/>
          <w:sz w:val="24"/>
          <w:szCs w:val="24"/>
        </w:rPr>
        <w:t xml:space="preserve">Honorários advocatícios. Demanda proposta </w:t>
      </w:r>
      <w:r>
        <w:rPr>
          <w:b/>
          <w:i/>
          <w:sz w:val="24"/>
          <w:szCs w:val="24"/>
        </w:rPr>
        <w:t>por</w:t>
      </w:r>
      <w:r w:rsidRPr="00242D27">
        <w:rPr>
          <w:b/>
          <w:i/>
          <w:sz w:val="24"/>
          <w:szCs w:val="24"/>
        </w:rPr>
        <w:t xml:space="preserve"> </w:t>
      </w:r>
      <w:r>
        <w:rPr>
          <w:b/>
          <w:i/>
          <w:sz w:val="24"/>
          <w:szCs w:val="24"/>
        </w:rPr>
        <w:t xml:space="preserve">herdeiros </w:t>
      </w:r>
      <w:r w:rsidRPr="00242D27">
        <w:rPr>
          <w:b/>
          <w:i/>
          <w:sz w:val="24"/>
          <w:szCs w:val="24"/>
        </w:rPr>
        <w:t>d</w:t>
      </w:r>
      <w:r>
        <w:rPr>
          <w:b/>
          <w:i/>
          <w:sz w:val="24"/>
          <w:szCs w:val="24"/>
        </w:rPr>
        <w:t>e</w:t>
      </w:r>
      <w:r w:rsidRPr="00242D27">
        <w:rPr>
          <w:b/>
          <w:i/>
          <w:sz w:val="24"/>
          <w:szCs w:val="24"/>
        </w:rPr>
        <w:t xml:space="preserve"> empregado acidentado falecido. Deferimento condicionado à observância da Súmula n</w:t>
      </w:r>
      <w:r w:rsidR="00776BFC">
        <w:rPr>
          <w:b/>
          <w:i/>
          <w:sz w:val="24"/>
          <w:szCs w:val="24"/>
        </w:rPr>
        <w:t>.</w:t>
      </w:r>
      <w:r w:rsidRPr="00242D27">
        <w:rPr>
          <w:b/>
          <w:i/>
          <w:sz w:val="24"/>
          <w:szCs w:val="24"/>
        </w:rPr>
        <w:t>º 219 do TST e da O</w:t>
      </w:r>
      <w:r>
        <w:rPr>
          <w:b/>
          <w:i/>
          <w:sz w:val="24"/>
          <w:szCs w:val="24"/>
        </w:rPr>
        <w:t xml:space="preserve">rientação </w:t>
      </w:r>
      <w:r w:rsidRPr="00242D27">
        <w:rPr>
          <w:b/>
          <w:i/>
          <w:sz w:val="24"/>
          <w:szCs w:val="24"/>
        </w:rPr>
        <w:t>J</w:t>
      </w:r>
      <w:r>
        <w:rPr>
          <w:b/>
          <w:i/>
          <w:sz w:val="24"/>
          <w:szCs w:val="24"/>
        </w:rPr>
        <w:t>urisprudencial</w:t>
      </w:r>
      <w:r w:rsidRPr="00242D27">
        <w:rPr>
          <w:b/>
          <w:i/>
          <w:sz w:val="24"/>
          <w:szCs w:val="24"/>
        </w:rPr>
        <w:t xml:space="preserve"> n</w:t>
      </w:r>
      <w:r>
        <w:rPr>
          <w:b/>
          <w:i/>
          <w:sz w:val="24"/>
          <w:szCs w:val="24"/>
        </w:rPr>
        <w:t>.º</w:t>
      </w:r>
      <w:r w:rsidRPr="00242D27">
        <w:rPr>
          <w:b/>
          <w:i/>
          <w:sz w:val="24"/>
          <w:szCs w:val="24"/>
        </w:rPr>
        <w:t xml:space="preserve"> 305 da SBDI-1.</w:t>
      </w:r>
    </w:p>
    <w:p w:rsidR="006607E3" w:rsidRPr="00242D27" w:rsidRDefault="006607E3" w:rsidP="006607E3">
      <w:pPr>
        <w:jc w:val="both"/>
        <w:rPr>
          <w:sz w:val="24"/>
          <w:szCs w:val="24"/>
        </w:rPr>
      </w:pPr>
      <w:r w:rsidRPr="00242D27">
        <w:rPr>
          <w:sz w:val="24"/>
          <w:szCs w:val="24"/>
        </w:rPr>
        <w:t>Na Justiça do Trabalho, o deferimento de honorários advocatícios condiciona-se à comprovação de insuficiência econômica e d</w:t>
      </w:r>
      <w:r>
        <w:rPr>
          <w:sz w:val="24"/>
          <w:szCs w:val="24"/>
        </w:rPr>
        <w:t>e</w:t>
      </w:r>
      <w:r w:rsidRPr="00242D27">
        <w:rPr>
          <w:sz w:val="24"/>
          <w:szCs w:val="24"/>
        </w:rPr>
        <w:t xml:space="preserve"> assistência sindical, requisitos estabelecidos na Súmula n.º 219 do TST e na Orientação Jurisprudencial n.º 305 da SBDI-I, ainda que a ação</w:t>
      </w:r>
      <w:r>
        <w:rPr>
          <w:sz w:val="24"/>
          <w:szCs w:val="24"/>
        </w:rPr>
        <w:t xml:space="preserve"> de indenização por danos materiais e morais</w:t>
      </w:r>
      <w:r w:rsidRPr="00242D27">
        <w:rPr>
          <w:sz w:val="24"/>
          <w:szCs w:val="24"/>
        </w:rPr>
        <w:t xml:space="preserve"> seja proposta </w:t>
      </w:r>
      <w:r>
        <w:rPr>
          <w:sz w:val="24"/>
          <w:szCs w:val="24"/>
        </w:rPr>
        <w:t>por</w:t>
      </w:r>
      <w:r w:rsidRPr="00242D27">
        <w:rPr>
          <w:sz w:val="24"/>
          <w:szCs w:val="24"/>
        </w:rPr>
        <w:t xml:space="preserve"> </w:t>
      </w:r>
      <w:r>
        <w:rPr>
          <w:sz w:val="24"/>
          <w:szCs w:val="24"/>
        </w:rPr>
        <w:t>herdeiros</w:t>
      </w:r>
      <w:r w:rsidRPr="00242D27">
        <w:rPr>
          <w:sz w:val="24"/>
          <w:szCs w:val="24"/>
        </w:rPr>
        <w:t xml:space="preserve"> de trabalhador falecido em decorrência de acidente de trabalho. Com esse entendimento, a SBDI-I, por </w:t>
      </w:r>
      <w:r>
        <w:rPr>
          <w:sz w:val="24"/>
          <w:szCs w:val="24"/>
        </w:rPr>
        <w:t xml:space="preserve">unanimidade, conheceu de embargos por divergência jurisprudencial e, no mérito, por </w:t>
      </w:r>
      <w:r w:rsidRPr="00242D27">
        <w:rPr>
          <w:sz w:val="24"/>
          <w:szCs w:val="24"/>
        </w:rPr>
        <w:t xml:space="preserve">maioria, </w:t>
      </w:r>
      <w:r>
        <w:rPr>
          <w:sz w:val="24"/>
          <w:szCs w:val="24"/>
        </w:rPr>
        <w:t>negou-lhes</w:t>
      </w:r>
      <w:r w:rsidRPr="00242D27">
        <w:rPr>
          <w:sz w:val="24"/>
          <w:szCs w:val="24"/>
        </w:rPr>
        <w:t xml:space="preserve"> provimento</w:t>
      </w:r>
      <w:r>
        <w:rPr>
          <w:sz w:val="24"/>
          <w:szCs w:val="24"/>
        </w:rPr>
        <w:t xml:space="preserve">. Vencidos os Ministros Horácio Raymundo de Senna Pires, relator, Ives Gandra Martins Filho e Delaíde Miranda Arantes, que conheciam e davam provimento ao recurso para, aplicando o entendimento consagrado na parte final do item III da Súmula n.º 219 do TST, condenar a reclamada ao pagamento de honorários advocatícios pela mera sucumbência, por não se tratar de demanda de empregado. </w:t>
      </w:r>
      <w:hyperlink r:id="rId13" w:history="1">
        <w:r w:rsidRPr="0007182F">
          <w:rPr>
            <w:rStyle w:val="Hyperlink"/>
            <w:sz w:val="24"/>
            <w:szCs w:val="24"/>
          </w:rPr>
          <w:t>TST-E-ED-RR-25300-43.2008.5.03.0076</w:t>
        </w:r>
      </w:hyperlink>
      <w:r w:rsidRPr="003D032E">
        <w:rPr>
          <w:sz w:val="24"/>
          <w:szCs w:val="24"/>
          <w:u w:val="single"/>
        </w:rPr>
        <w:t>, SBDI-</w:t>
      </w:r>
      <w:r>
        <w:rPr>
          <w:sz w:val="24"/>
          <w:szCs w:val="24"/>
          <w:u w:val="single"/>
        </w:rPr>
        <w:t>I, rel. Min</w:t>
      </w:r>
      <w:r w:rsidRPr="003D032E">
        <w:rPr>
          <w:sz w:val="24"/>
          <w:szCs w:val="24"/>
          <w:u w:val="single"/>
        </w:rPr>
        <w:t>.</w:t>
      </w:r>
      <w:r>
        <w:rPr>
          <w:sz w:val="24"/>
          <w:szCs w:val="24"/>
          <w:u w:val="single"/>
        </w:rPr>
        <w:t xml:space="preserve"> Horácio Raymundo de Senna Pires, red. p/ acórdão </w:t>
      </w:r>
      <w:r w:rsidRPr="003D032E">
        <w:rPr>
          <w:sz w:val="24"/>
          <w:szCs w:val="24"/>
          <w:u w:val="single"/>
        </w:rPr>
        <w:t xml:space="preserve">Min. </w:t>
      </w:r>
      <w:r>
        <w:rPr>
          <w:sz w:val="24"/>
          <w:szCs w:val="24"/>
          <w:u w:val="single"/>
        </w:rPr>
        <w:t>Renato de Lacerda Paiva, 22.3.2012</w:t>
      </w:r>
      <w:r w:rsidRPr="003D032E">
        <w:rPr>
          <w:sz w:val="24"/>
          <w:szCs w:val="24"/>
          <w:u w:val="single"/>
        </w:rPr>
        <w:t>.</w:t>
      </w:r>
    </w:p>
    <w:p w:rsidR="001B3C80" w:rsidRDefault="001B3C80" w:rsidP="00C71A3B">
      <w:pPr>
        <w:pStyle w:val="Corpo"/>
        <w:spacing w:line="240" w:lineRule="auto"/>
        <w:ind w:firstLine="0"/>
        <w:rPr>
          <w:rFonts w:ascii="Times New Roman" w:hAnsi="Times New Roman" w:cs="Times New Roman"/>
          <w:sz w:val="10"/>
          <w:szCs w:val="10"/>
          <w:u w:val="single"/>
          <w:lang w:val="pt-BR" w:eastAsia="en-US"/>
        </w:rPr>
      </w:pPr>
    </w:p>
    <w:p w:rsidR="00AC4ECD" w:rsidRPr="005D1DE4" w:rsidRDefault="00AC4ECD" w:rsidP="00C71A3B">
      <w:pPr>
        <w:pStyle w:val="Corpo"/>
        <w:spacing w:line="240" w:lineRule="auto"/>
        <w:ind w:firstLine="0"/>
        <w:rPr>
          <w:rFonts w:ascii="Times New Roman" w:hAnsi="Times New Roman" w:cs="Times New Roman"/>
          <w:sz w:val="10"/>
          <w:szCs w:val="10"/>
          <w:u w:val="single"/>
          <w:lang w:val="pt-BR" w:eastAsia="en-US"/>
        </w:rPr>
      </w:pPr>
    </w:p>
    <w:p w:rsidR="00631F1C" w:rsidRPr="00971E07" w:rsidRDefault="00631F1C"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9027C8" w:rsidRPr="005D1DE4" w:rsidRDefault="009027C8" w:rsidP="009027C8">
      <w:pPr>
        <w:pStyle w:val="tema"/>
        <w:tabs>
          <w:tab w:val="left" w:pos="11482"/>
          <w:tab w:val="left" w:pos="11624"/>
        </w:tabs>
        <w:ind w:left="0"/>
        <w:rPr>
          <w:rFonts w:ascii="Times New Roman" w:hAnsi="Times New Roman" w:cs="Times New Roman"/>
          <w:i/>
          <w:caps w:val="0"/>
          <w:color w:val="auto"/>
          <w:sz w:val="10"/>
          <w:szCs w:val="10"/>
        </w:rPr>
      </w:pPr>
    </w:p>
    <w:p w:rsidR="007046D8" w:rsidRPr="006607E3" w:rsidRDefault="007046D8" w:rsidP="007046D8">
      <w:pPr>
        <w:pStyle w:val="Corpo"/>
        <w:spacing w:line="240" w:lineRule="auto"/>
        <w:ind w:firstLine="0"/>
        <w:rPr>
          <w:rFonts w:ascii="Times New Roman" w:hAnsi="Times New Roman"/>
          <w:b/>
          <w:bCs/>
          <w:i/>
          <w:iCs/>
          <w:lang w:val="pt-BR"/>
        </w:rPr>
      </w:pPr>
      <w:r>
        <w:rPr>
          <w:rFonts w:ascii="Times New Roman" w:hAnsi="Times New Roman"/>
          <w:b/>
          <w:bCs/>
          <w:i/>
          <w:iCs/>
          <w:lang w:val="pt-BR"/>
        </w:rPr>
        <w:t xml:space="preserve">MS. Interpretação e alcance de decisão transitada em julgado. Não cabimento. Existência de </w:t>
      </w:r>
      <w:r w:rsidRPr="006607E3">
        <w:rPr>
          <w:rFonts w:ascii="Times New Roman" w:hAnsi="Times New Roman"/>
          <w:b/>
          <w:bCs/>
          <w:i/>
          <w:iCs/>
          <w:lang w:val="pt-BR"/>
        </w:rPr>
        <w:t>recurso próprio. Incidência da Orientação Jurisprudencial n</w:t>
      </w:r>
      <w:r w:rsidR="008E15B5">
        <w:rPr>
          <w:rFonts w:ascii="Times New Roman" w:hAnsi="Times New Roman"/>
          <w:b/>
          <w:bCs/>
          <w:i/>
          <w:iCs/>
          <w:lang w:val="pt-BR"/>
        </w:rPr>
        <w:t>.</w:t>
      </w:r>
      <w:r w:rsidRPr="006607E3">
        <w:rPr>
          <w:rFonts w:ascii="Times New Roman" w:hAnsi="Times New Roman"/>
          <w:b/>
          <w:bCs/>
          <w:i/>
          <w:iCs/>
          <w:lang w:val="pt-BR"/>
        </w:rPr>
        <w:t>º 92 da SBDI-II.</w:t>
      </w:r>
    </w:p>
    <w:p w:rsidR="007D2992" w:rsidRDefault="007046D8" w:rsidP="007046D8">
      <w:pPr>
        <w:pStyle w:val="Ementa"/>
        <w:ind w:left="0"/>
        <w:rPr>
          <w:rFonts w:ascii="Times New Roman" w:hAnsi="Times New Roman"/>
          <w:bCs/>
          <w:iCs/>
          <w:color w:val="000000"/>
          <w:lang w:val="pt-BR"/>
        </w:rPr>
      </w:pPr>
      <w:r w:rsidRPr="006607E3">
        <w:rPr>
          <w:rFonts w:ascii="Times New Roman" w:hAnsi="Times New Roman"/>
          <w:bCs/>
          <w:iCs/>
          <w:color w:val="000000"/>
          <w:lang w:val="pt-BR"/>
        </w:rPr>
        <w:t>O mandado de segurança, como ação autônoma que é, destinada a corrigir ato ilegal ou praticado</w:t>
      </w:r>
    </w:p>
    <w:p w:rsidR="007D2992" w:rsidRDefault="007D2992" w:rsidP="007046D8">
      <w:pPr>
        <w:pStyle w:val="Ementa"/>
        <w:ind w:left="0"/>
        <w:rPr>
          <w:rFonts w:ascii="Times New Roman" w:hAnsi="Times New Roman"/>
          <w:bCs/>
          <w:iCs/>
          <w:color w:val="000000"/>
          <w:lang w:val="pt-BR"/>
        </w:rPr>
      </w:pPr>
    </w:p>
    <w:p w:rsidR="008E15B5" w:rsidRDefault="007046D8" w:rsidP="007046D8">
      <w:pPr>
        <w:pStyle w:val="Ementa"/>
        <w:ind w:left="0"/>
        <w:rPr>
          <w:rFonts w:ascii="Times New Roman" w:hAnsi="Times New Roman"/>
          <w:bCs/>
          <w:iCs/>
          <w:color w:val="000000"/>
          <w:lang w:val="pt-BR"/>
        </w:rPr>
      </w:pPr>
      <w:r w:rsidRPr="006607E3">
        <w:rPr>
          <w:rFonts w:ascii="Times New Roman" w:hAnsi="Times New Roman"/>
          <w:bCs/>
          <w:iCs/>
          <w:color w:val="000000"/>
          <w:lang w:val="pt-BR"/>
        </w:rPr>
        <w:t>com abuso de autoridade, não configura o meio adequado para dar real sentido e alcance a decisão</w:t>
      </w:r>
    </w:p>
    <w:p w:rsidR="007046D8" w:rsidRPr="006607E3" w:rsidRDefault="007046D8" w:rsidP="007046D8">
      <w:pPr>
        <w:pStyle w:val="Ementa"/>
        <w:ind w:left="0"/>
        <w:rPr>
          <w:rFonts w:ascii="Times New Roman" w:hAnsi="Times New Roman"/>
          <w:bCs/>
          <w:iCs/>
          <w:color w:val="000000"/>
          <w:u w:val="single"/>
          <w:lang w:val="pt-BR"/>
        </w:rPr>
      </w:pPr>
      <w:r w:rsidRPr="006607E3">
        <w:rPr>
          <w:rFonts w:ascii="Times New Roman" w:hAnsi="Times New Roman"/>
          <w:bCs/>
          <w:iCs/>
          <w:color w:val="000000"/>
          <w:lang w:val="pt-BR"/>
        </w:rPr>
        <w:t>transitada em julgado. Sob esse fundamento, e com amparo na Orientação Jurisprudencial n</w:t>
      </w:r>
      <w:r w:rsidR="008E15B5">
        <w:rPr>
          <w:rFonts w:ascii="Times New Roman" w:hAnsi="Times New Roman"/>
          <w:bCs/>
          <w:iCs/>
          <w:color w:val="000000"/>
          <w:lang w:val="pt-BR"/>
        </w:rPr>
        <w:t>.</w:t>
      </w:r>
      <w:r w:rsidRPr="006607E3">
        <w:rPr>
          <w:rFonts w:ascii="Times New Roman" w:hAnsi="Times New Roman"/>
          <w:bCs/>
          <w:iCs/>
          <w:color w:val="000000"/>
          <w:lang w:val="pt-BR"/>
        </w:rPr>
        <w:t xml:space="preserve">º 92 da SBDI-II, a referida Subseção, por maioria, negou provimento ao recurso ordinário em mandado de segurança do </w:t>
      </w:r>
      <w:r w:rsidRPr="006607E3">
        <w:rPr>
          <w:rFonts w:ascii="Times New Roman" w:hAnsi="Times New Roman"/>
          <w:bCs/>
          <w:color w:val="auto"/>
          <w:lang w:val="pt-BR"/>
        </w:rPr>
        <w:t>Sport Club Corinthians Alagoano, o qual se insurgi</w:t>
      </w:r>
      <w:r w:rsidR="00154E17">
        <w:rPr>
          <w:rFonts w:ascii="Times New Roman" w:hAnsi="Times New Roman"/>
          <w:bCs/>
          <w:color w:val="auto"/>
          <w:lang w:val="pt-BR"/>
        </w:rPr>
        <w:t>u</w:t>
      </w:r>
      <w:r w:rsidRPr="006607E3">
        <w:rPr>
          <w:rFonts w:ascii="Times New Roman" w:hAnsi="Times New Roman"/>
          <w:bCs/>
          <w:color w:val="auto"/>
          <w:lang w:val="pt-BR"/>
        </w:rPr>
        <w:t xml:space="preserve"> contra ato praticado pelo Juiz da 2ª Vara do Trabalho de Maceió que, diante da reforma, pelo TST, da decisão que liberara o passe do jogador de futebol Elder Granja, limitou-se a expedir ofícios comunicando o resultado do julgamento, sem determinar </w:t>
      </w:r>
      <w:r w:rsidR="008E15B5">
        <w:rPr>
          <w:rFonts w:ascii="Times New Roman" w:hAnsi="Times New Roman"/>
          <w:bCs/>
          <w:color w:val="auto"/>
          <w:lang w:val="pt-BR"/>
        </w:rPr>
        <w:t xml:space="preserve">que </w:t>
      </w:r>
      <w:r w:rsidRPr="006607E3">
        <w:rPr>
          <w:rFonts w:ascii="Times New Roman" w:hAnsi="Times New Roman"/>
          <w:bCs/>
          <w:color w:val="auto"/>
          <w:lang w:val="pt-BR"/>
        </w:rPr>
        <w:t>fosse dado pleno cumprimento ao contrato de trabalho outrora firmado, com rescisão de qualquer avença existente entre o atleta e outra agremiação</w:t>
      </w:r>
      <w:r w:rsidRPr="006607E3">
        <w:rPr>
          <w:rFonts w:ascii="Times New Roman" w:hAnsi="Times New Roman"/>
          <w:bCs/>
          <w:iCs/>
          <w:color w:val="000000"/>
          <w:lang w:val="pt-BR"/>
        </w:rPr>
        <w:t>. Na espécie, o suposto direito líquido e certo estaria atrelado à interpretação da decisão proferida pelo TST no que tange à restauração, ou não, do contrato de trabalho antes mantido entre o clube impetrante e o jogador. Assim, a Subseção entendeu que, conquanto não se tratasse de ato propriamente de execução, mas de negativa de sua instauração em face do indeferimento do pedido objeto da reclamação trabalhista, tal circunstância não desautorizaria o clube a interpor agravo de petição para elidir o arquivamento do feito determinado pela autoridade coatora e discutir qual seria o correto cumprimento do título judicial. Vencidos os Ministros João Oreste Dalazen, Maria Cristina Irigoyen Peduzzi e Emmanoel Pereira.</w:t>
      </w:r>
      <w:r w:rsidRPr="006607E3">
        <w:rPr>
          <w:rFonts w:ascii="Times New Roman" w:hAnsi="Times New Roman"/>
          <w:iCs/>
          <w:color w:val="auto"/>
          <w:lang w:val="pt-BR"/>
        </w:rPr>
        <w:t xml:space="preserve"> </w:t>
      </w:r>
      <w:hyperlink r:id="rId14" w:history="1">
        <w:r w:rsidRPr="00D53551">
          <w:rPr>
            <w:rStyle w:val="Hyperlink"/>
            <w:rFonts w:ascii="Times New Roman" w:hAnsi="Times New Roman" w:cs="Courier New"/>
            <w:bCs/>
            <w:iCs/>
            <w:lang w:val="pt-BR"/>
          </w:rPr>
          <w:t>TST-ROMS-13500-08.2008.5.19.0000</w:t>
        </w:r>
      </w:hyperlink>
      <w:r w:rsidRPr="006607E3">
        <w:rPr>
          <w:rFonts w:ascii="Times New Roman" w:hAnsi="Times New Roman"/>
          <w:bCs/>
          <w:iCs/>
          <w:color w:val="000000"/>
          <w:u w:val="single"/>
          <w:lang w:val="pt-BR"/>
        </w:rPr>
        <w:t>, SBDI-II, rel. Min. Maria de Assis Calsing. 20.3.2012.</w:t>
      </w:r>
    </w:p>
    <w:p w:rsidR="005B0FB5" w:rsidRPr="00A80B36" w:rsidRDefault="005B0FB5" w:rsidP="007046D8">
      <w:pPr>
        <w:pStyle w:val="Ementa"/>
        <w:ind w:left="0"/>
        <w:rPr>
          <w:rFonts w:ascii="Times New Roman" w:hAnsi="Times New Roman"/>
          <w:bCs/>
          <w:iCs/>
          <w:color w:val="000000"/>
          <w:lang w:val="pt-BR"/>
        </w:rPr>
      </w:pPr>
    </w:p>
    <w:p w:rsidR="00EA29F5" w:rsidRPr="005D1DE4" w:rsidRDefault="00EA29F5" w:rsidP="004B21AD">
      <w:pPr>
        <w:pStyle w:val="EXPLICAO"/>
        <w:ind w:left="0"/>
        <w:rPr>
          <w:rFonts w:ascii="Times New Roman" w:hAnsi="Times New Roman" w:cs="Times New Roman"/>
          <w:b/>
          <w:color w:val="auto"/>
          <w:sz w:val="10"/>
          <w:szCs w:val="10"/>
        </w:rPr>
      </w:pPr>
    </w:p>
    <w:p w:rsidR="004B21AD" w:rsidRPr="005D1DE4" w:rsidRDefault="004B21AD" w:rsidP="009027C8">
      <w:pPr>
        <w:pStyle w:val="tema"/>
        <w:tabs>
          <w:tab w:val="left" w:pos="11482"/>
          <w:tab w:val="left" w:pos="11624"/>
        </w:tabs>
        <w:ind w:left="0"/>
        <w:rPr>
          <w:rFonts w:ascii="Times New Roman" w:hAnsi="Times New Roman" w:cs="Times New Roman"/>
          <w:bCs w:val="0"/>
          <w:i/>
          <w:iCs/>
          <w:caps w:val="0"/>
          <w:color w:val="auto"/>
        </w:rPr>
      </w:pPr>
    </w:p>
    <w:p w:rsidR="004B21AD" w:rsidRPr="005D1DE4" w:rsidRDefault="004B21AD" w:rsidP="009027C8">
      <w:pPr>
        <w:pStyle w:val="tema"/>
        <w:tabs>
          <w:tab w:val="left" w:pos="11482"/>
          <w:tab w:val="left" w:pos="11624"/>
        </w:tabs>
        <w:ind w:left="0"/>
        <w:rPr>
          <w:rFonts w:ascii="Times New Roman" w:hAnsi="Times New Roman" w:cs="Times New Roman"/>
          <w:bCs w:val="0"/>
          <w:i/>
          <w:iCs/>
          <w:caps w:val="0"/>
          <w:color w:val="auto"/>
        </w:rPr>
      </w:pPr>
    </w:p>
    <w:p w:rsidR="006456B1" w:rsidRPr="005D1DE4" w:rsidRDefault="006456B1" w:rsidP="004C2612">
      <w:pPr>
        <w:pStyle w:val="EXPLICAO"/>
        <w:ind w:left="0"/>
        <w:rPr>
          <w:rFonts w:ascii="Times New Roman" w:hAnsi="Times New Roman" w:cs="Times New Roman"/>
          <w:b/>
          <w:color w:val="auto"/>
        </w:rPr>
      </w:pPr>
    </w:p>
    <w:p w:rsidR="00C26DFB" w:rsidRPr="005D1DE4" w:rsidRDefault="00C26DFB">
      <w:pPr>
        <w:jc w:val="both"/>
        <w:rPr>
          <w:sz w:val="22"/>
          <w:szCs w:val="22"/>
          <w:u w:val="single"/>
        </w:rPr>
      </w:pPr>
    </w:p>
    <w:p w:rsidR="00C26DFB" w:rsidRPr="005D1DE4" w:rsidRDefault="00C26DFB">
      <w:pPr>
        <w:jc w:val="both"/>
        <w:rPr>
          <w:sz w:val="22"/>
          <w:szCs w:val="22"/>
          <w:u w:val="single"/>
        </w:rPr>
      </w:pP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0"/>
          <w:szCs w:val="20"/>
        </w:rPr>
      </w:pPr>
      <w:r w:rsidRPr="005D1DE4">
        <w:rPr>
          <w:b w:val="0"/>
          <w:bCs w:val="0"/>
          <w:snapToGrid w:val="0"/>
          <w:sz w:val="20"/>
          <w:szCs w:val="20"/>
        </w:rPr>
        <w:t xml:space="preserve">Informativo TST é mantido pela </w:t>
      </w: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0"/>
          <w:szCs w:val="20"/>
        </w:rPr>
      </w:pPr>
      <w:r w:rsidRPr="005D1DE4">
        <w:rPr>
          <w:b w:val="0"/>
          <w:bCs w:val="0"/>
          <w:snapToGrid w:val="0"/>
          <w:sz w:val="20"/>
          <w:szCs w:val="20"/>
        </w:rPr>
        <w:t>Coordenadoria de Jurisprudência – CJUR</w:t>
      </w:r>
    </w:p>
    <w:p w:rsidR="00184590"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rPr>
      </w:pPr>
      <w:r w:rsidRPr="005D1DE4">
        <w:rPr>
          <w:snapToGrid w:val="0"/>
        </w:rPr>
        <w:t>Informações/Sugestões/Críticas</w:t>
      </w:r>
      <w:r w:rsidRPr="005D1DE4">
        <w:rPr>
          <w:snapToGrid w:val="0"/>
          <w:sz w:val="22"/>
          <w:szCs w:val="22"/>
        </w:rPr>
        <w:t xml:space="preserve">: </w:t>
      </w:r>
      <w:r w:rsidRPr="005D1DE4">
        <w:rPr>
          <w:snapToGrid w:val="0"/>
        </w:rPr>
        <w:t>(61)3043</w:t>
      </w:r>
      <w:r w:rsidR="00352B27">
        <w:rPr>
          <w:snapToGrid w:val="0"/>
        </w:rPr>
        <w:t>-</w:t>
      </w:r>
      <w:r w:rsidRPr="005D1DE4">
        <w:rPr>
          <w:snapToGrid w:val="0"/>
        </w:rPr>
        <w:t>4</w:t>
      </w:r>
      <w:r w:rsidR="00D72C05" w:rsidRPr="005D1DE4">
        <w:rPr>
          <w:snapToGrid w:val="0"/>
        </w:rPr>
        <w:t>417</w:t>
      </w:r>
    </w:p>
    <w:p w:rsidR="007614F1"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2"/>
          <w:szCs w:val="22"/>
        </w:rPr>
      </w:pPr>
      <w:r w:rsidRPr="005D1DE4">
        <w:rPr>
          <w:snapToGrid w:val="0"/>
        </w:rPr>
        <w:t>cjur@tst.jus.br</w:t>
      </w:r>
    </w:p>
    <w:sectPr w:rsidR="007614F1" w:rsidRPr="005D1DE4" w:rsidSect="00112EAC">
      <w:headerReference w:type="default" r:id="rId15"/>
      <w:footerReference w:type="default" r:id="rId16"/>
      <w:headerReference w:type="first" r:id="rId17"/>
      <w:footerReference w:type="first" r:id="rId18"/>
      <w:type w:val="continuous"/>
      <w:pgSz w:w="11907" w:h="16839" w:code="9"/>
      <w:pgMar w:top="1304" w:right="1275"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2D0" w:rsidRDefault="00FD72D0">
      <w:r>
        <w:separator/>
      </w:r>
    </w:p>
  </w:endnote>
  <w:endnote w:type="continuationSeparator" w:id="0">
    <w:p w:rsidR="00FD72D0" w:rsidRDefault="00FD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5B5" w:rsidRDefault="008E15B5">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D2992">
      <w:rPr>
        <w:rStyle w:val="Nmerodepgina"/>
        <w:noProof/>
      </w:rPr>
      <w:t>3</w:t>
    </w:r>
    <w:r>
      <w:rPr>
        <w:rStyle w:val="Nmerodepgina"/>
      </w:rPr>
      <w:fldChar w:fldCharType="end"/>
    </w:r>
  </w:p>
  <w:p w:rsidR="008E15B5" w:rsidRDefault="008E15B5">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5B5" w:rsidRDefault="008E15B5">
    <w:pPr>
      <w:pStyle w:val="Rodap"/>
      <w:jc w:val="right"/>
    </w:pPr>
    <w:r>
      <w:rPr>
        <w:noProof/>
      </w:rPr>
      <w:pict>
        <v:line id="_x0000_s2054" style="position:absolute;left:0;text-align:left;flip:y;z-index:251659264" from=".9pt,-3.55pt" to="497.7pt,-3.4pt" o:allowincell="f" strokecolor="#969696"/>
      </w:pict>
    </w:r>
    <w:r>
      <w:rPr>
        <w:rStyle w:val="Nmerodepgina"/>
      </w:rPr>
      <w:fldChar w:fldCharType="begin"/>
    </w:r>
    <w:r>
      <w:rPr>
        <w:rStyle w:val="Nmerodepgina"/>
      </w:rPr>
      <w:instrText xml:space="preserve"> PAGE </w:instrText>
    </w:r>
    <w:r>
      <w:rPr>
        <w:rStyle w:val="Nmerodepgina"/>
      </w:rPr>
      <w:fldChar w:fldCharType="separate"/>
    </w:r>
    <w:r w:rsidR="00424528">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2D0" w:rsidRDefault="00FD72D0">
      <w:r>
        <w:separator/>
      </w:r>
    </w:p>
  </w:footnote>
  <w:footnote w:type="continuationSeparator" w:id="0">
    <w:p w:rsidR="00FD72D0" w:rsidRDefault="00FD7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5B5" w:rsidRPr="00971E07" w:rsidRDefault="008E15B5">
    <w:pPr>
      <w:pStyle w:val="Corpodetexto"/>
      <w:jc w:val="right"/>
      <w:rPr>
        <w:shadow/>
        <w:sz w:val="24"/>
        <w:szCs w:val="24"/>
      </w:rPr>
    </w:pPr>
    <w:r w:rsidRPr="00971E07">
      <w:rPr>
        <w:shadow/>
        <w:sz w:val="24"/>
        <w:szCs w:val="24"/>
      </w:rPr>
      <w:t xml:space="preserve">Informativo TST - </w:t>
    </w:r>
    <w:r>
      <w:rPr>
        <w:shadow/>
        <w:sz w:val="24"/>
        <w:szCs w:val="24"/>
      </w:rPr>
      <w:t>n</w:t>
    </w:r>
    <w:r w:rsidRPr="00971E07">
      <w:rPr>
        <w:shadow/>
        <w:sz w:val="24"/>
        <w:szCs w:val="24"/>
      </w:rPr>
      <w:t xml:space="preserve">º </w:t>
    </w:r>
    <w:r>
      <w:rPr>
        <w:shadow/>
        <w:sz w:val="24"/>
        <w:szCs w:val="24"/>
      </w:rPr>
      <w:t>3</w:t>
    </w:r>
  </w:p>
  <w:p w:rsidR="008E15B5" w:rsidRPr="00971E07" w:rsidRDefault="008E15B5">
    <w:pPr>
      <w:pStyle w:val="Ttulo6"/>
      <w:spacing w:line="360" w:lineRule="auto"/>
      <w:jc w:val="right"/>
      <w:rPr>
        <w:i/>
        <w:iCs/>
        <w:sz w:val="20"/>
        <w:szCs w:val="20"/>
      </w:rPr>
    </w:pPr>
    <w:r>
      <w:rPr>
        <w:noProof/>
      </w:rPr>
      <w:pict>
        <v:line id="_x0000_s2049" style="position:absolute;left:0;text-align:left;flip:x;z-index:251657216" from=".9pt,10.15pt" to="497.7pt,10.15pt" o:allowincell="f" strokecolor="#969696"/>
      </w:pict>
    </w:r>
    <w:r>
      <w:rPr>
        <w:sz w:val="20"/>
        <w:szCs w:val="20"/>
      </w:rPr>
      <w:t>Período: 22 a 28</w:t>
    </w:r>
    <w:r w:rsidRPr="00971E07">
      <w:rPr>
        <w:sz w:val="20"/>
        <w:szCs w:val="20"/>
      </w:rPr>
      <w:t xml:space="preserve"> de março de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5B5" w:rsidRDefault="008E15B5">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35pt;height:77pt">
          <v:imagedata r:id="rId1" o:title="TST LOGO"/>
        </v:shape>
      </w:pict>
    </w:r>
  </w:p>
  <w:p w:rsidR="008E15B5" w:rsidRPr="002168DE" w:rsidRDefault="008E15B5" w:rsidP="00075BDB">
    <w:pPr>
      <w:pStyle w:val="Cabealho"/>
      <w:tabs>
        <w:tab w:val="clear" w:pos="4419"/>
        <w:tab w:val="clear" w:pos="8838"/>
        <w:tab w:val="left" w:pos="2793"/>
      </w:tabs>
      <w:jc w:val="right"/>
      <w:rPr>
        <w:b/>
        <w:sz w:val="40"/>
        <w:szCs w:val="40"/>
      </w:rPr>
    </w:pPr>
    <w:r>
      <w:tab/>
    </w:r>
    <w:r>
      <w:tab/>
    </w:r>
    <w:r>
      <w:tab/>
    </w:r>
    <w:r>
      <w:tab/>
    </w:r>
    <w:r>
      <w:tab/>
    </w:r>
    <w:r>
      <w:tab/>
    </w:r>
    <w:r w:rsidRPr="002168DE">
      <w:rPr>
        <w:b/>
        <w:sz w:val="40"/>
        <w:szCs w:val="40"/>
      </w:rPr>
      <w:t xml:space="preserve">Nº </w:t>
    </w:r>
    <w:r>
      <w:rPr>
        <w:b/>
        <w:sz w:val="40"/>
        <w:szCs w:val="40"/>
      </w:rPr>
      <w:t>3</w:t>
    </w:r>
  </w:p>
  <w:p w:rsidR="008E15B5" w:rsidRPr="005D1DE4" w:rsidRDefault="008E15B5">
    <w:pPr>
      <w:pStyle w:val="Cabealho"/>
      <w:jc w:val="right"/>
      <w:rPr>
        <w:i/>
        <w:iCs/>
        <w:sz w:val="10"/>
        <w:szCs w:val="10"/>
      </w:rPr>
    </w:pPr>
  </w:p>
  <w:p w:rsidR="008E15B5" w:rsidRPr="005D1DE4" w:rsidRDefault="008E15B5">
    <w:pPr>
      <w:pStyle w:val="Cabealho"/>
      <w:jc w:val="right"/>
    </w:pPr>
    <w:r>
      <w:rPr>
        <w:i/>
        <w:iCs/>
      </w:rPr>
      <w:t>Período:</w:t>
    </w:r>
    <w:r w:rsidRPr="005D1DE4">
      <w:rPr>
        <w:i/>
        <w:iCs/>
      </w:rPr>
      <w:t xml:space="preserve"> </w:t>
    </w:r>
    <w:r>
      <w:rPr>
        <w:i/>
        <w:iCs/>
      </w:rPr>
      <w:t>22</w:t>
    </w:r>
    <w:r w:rsidRPr="005D1DE4">
      <w:rPr>
        <w:i/>
        <w:iCs/>
      </w:rPr>
      <w:t xml:space="preserve"> </w:t>
    </w:r>
    <w:r>
      <w:rPr>
        <w:i/>
        <w:iCs/>
      </w:rPr>
      <w:t xml:space="preserve">a 28 </w:t>
    </w:r>
    <w:r w:rsidRPr="005D1DE4">
      <w:rPr>
        <w:i/>
        <w:iCs/>
      </w:rPr>
      <w:t>de março de 2012</w:t>
    </w:r>
  </w:p>
  <w:p w:rsidR="008E15B5" w:rsidRDefault="008E15B5"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colormenu v:ext="edit" fillcolor="none [3213]"/>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228E6"/>
    <w:rsid w:val="00032056"/>
    <w:rsid w:val="000322FB"/>
    <w:rsid w:val="000425FC"/>
    <w:rsid w:val="00050E85"/>
    <w:rsid w:val="00056752"/>
    <w:rsid w:val="00057B87"/>
    <w:rsid w:val="0006020E"/>
    <w:rsid w:val="0007182F"/>
    <w:rsid w:val="000733B4"/>
    <w:rsid w:val="00073880"/>
    <w:rsid w:val="00075BDB"/>
    <w:rsid w:val="00080F10"/>
    <w:rsid w:val="0009237D"/>
    <w:rsid w:val="00093AE9"/>
    <w:rsid w:val="00093BA8"/>
    <w:rsid w:val="000A04E6"/>
    <w:rsid w:val="000B4D41"/>
    <w:rsid w:val="000B67DF"/>
    <w:rsid w:val="000B7CDE"/>
    <w:rsid w:val="000C3022"/>
    <w:rsid w:val="000C672B"/>
    <w:rsid w:val="000E0A91"/>
    <w:rsid w:val="00106843"/>
    <w:rsid w:val="00112EAC"/>
    <w:rsid w:val="0011575C"/>
    <w:rsid w:val="0011692E"/>
    <w:rsid w:val="00137564"/>
    <w:rsid w:val="00137DC1"/>
    <w:rsid w:val="00154E17"/>
    <w:rsid w:val="0015612D"/>
    <w:rsid w:val="00173CFE"/>
    <w:rsid w:val="00176435"/>
    <w:rsid w:val="00176D15"/>
    <w:rsid w:val="00184590"/>
    <w:rsid w:val="00187A37"/>
    <w:rsid w:val="0019151D"/>
    <w:rsid w:val="00193208"/>
    <w:rsid w:val="001B3C80"/>
    <w:rsid w:val="001C04D2"/>
    <w:rsid w:val="001C271F"/>
    <w:rsid w:val="001C6C93"/>
    <w:rsid w:val="001D4CF9"/>
    <w:rsid w:val="001D5AB0"/>
    <w:rsid w:val="001D757D"/>
    <w:rsid w:val="001E14BB"/>
    <w:rsid w:val="001E4B57"/>
    <w:rsid w:val="001E5BD1"/>
    <w:rsid w:val="001E713B"/>
    <w:rsid w:val="001F030F"/>
    <w:rsid w:val="00206810"/>
    <w:rsid w:val="002168DE"/>
    <w:rsid w:val="00224AC2"/>
    <w:rsid w:val="002323B7"/>
    <w:rsid w:val="0023559D"/>
    <w:rsid w:val="002402B0"/>
    <w:rsid w:val="002449F9"/>
    <w:rsid w:val="002635ED"/>
    <w:rsid w:val="002662BA"/>
    <w:rsid w:val="00266D49"/>
    <w:rsid w:val="00271C5C"/>
    <w:rsid w:val="00271E67"/>
    <w:rsid w:val="002730B5"/>
    <w:rsid w:val="00280594"/>
    <w:rsid w:val="00285064"/>
    <w:rsid w:val="002A219D"/>
    <w:rsid w:val="002A546D"/>
    <w:rsid w:val="002B4738"/>
    <w:rsid w:val="002B6377"/>
    <w:rsid w:val="002C2904"/>
    <w:rsid w:val="002C4583"/>
    <w:rsid w:val="002E78CB"/>
    <w:rsid w:val="0033397A"/>
    <w:rsid w:val="00352B27"/>
    <w:rsid w:val="0036325E"/>
    <w:rsid w:val="003671FE"/>
    <w:rsid w:val="003708FD"/>
    <w:rsid w:val="0037667D"/>
    <w:rsid w:val="00384075"/>
    <w:rsid w:val="003908C5"/>
    <w:rsid w:val="00393677"/>
    <w:rsid w:val="00396053"/>
    <w:rsid w:val="003A4086"/>
    <w:rsid w:val="003A5E5B"/>
    <w:rsid w:val="003B045C"/>
    <w:rsid w:val="003B0A59"/>
    <w:rsid w:val="003B3EB5"/>
    <w:rsid w:val="003B4E23"/>
    <w:rsid w:val="003B767E"/>
    <w:rsid w:val="003C6FE7"/>
    <w:rsid w:val="003D032E"/>
    <w:rsid w:val="003D4205"/>
    <w:rsid w:val="003F2078"/>
    <w:rsid w:val="00424528"/>
    <w:rsid w:val="0042772A"/>
    <w:rsid w:val="004323B0"/>
    <w:rsid w:val="00444E88"/>
    <w:rsid w:val="0045657C"/>
    <w:rsid w:val="004655CC"/>
    <w:rsid w:val="00466DB9"/>
    <w:rsid w:val="00486521"/>
    <w:rsid w:val="00486DFC"/>
    <w:rsid w:val="004922D6"/>
    <w:rsid w:val="004A14FC"/>
    <w:rsid w:val="004A5264"/>
    <w:rsid w:val="004B21AD"/>
    <w:rsid w:val="004C011C"/>
    <w:rsid w:val="004C14EA"/>
    <w:rsid w:val="004C2118"/>
    <w:rsid w:val="004C2612"/>
    <w:rsid w:val="004D6000"/>
    <w:rsid w:val="004D6415"/>
    <w:rsid w:val="004D71E8"/>
    <w:rsid w:val="004E393E"/>
    <w:rsid w:val="004E4507"/>
    <w:rsid w:val="004E4619"/>
    <w:rsid w:val="004F0A7D"/>
    <w:rsid w:val="0051538E"/>
    <w:rsid w:val="00517E01"/>
    <w:rsid w:val="00521EEC"/>
    <w:rsid w:val="005460BD"/>
    <w:rsid w:val="0055304E"/>
    <w:rsid w:val="00553197"/>
    <w:rsid w:val="0055409E"/>
    <w:rsid w:val="00556367"/>
    <w:rsid w:val="00556B35"/>
    <w:rsid w:val="00573E13"/>
    <w:rsid w:val="00584F82"/>
    <w:rsid w:val="00591DFA"/>
    <w:rsid w:val="005A5695"/>
    <w:rsid w:val="005B0FB5"/>
    <w:rsid w:val="005B2F00"/>
    <w:rsid w:val="005B57DE"/>
    <w:rsid w:val="005C1886"/>
    <w:rsid w:val="005C761E"/>
    <w:rsid w:val="005D0E5F"/>
    <w:rsid w:val="005D1DE4"/>
    <w:rsid w:val="005E35BD"/>
    <w:rsid w:val="005E3D4D"/>
    <w:rsid w:val="005E7FD1"/>
    <w:rsid w:val="005F2858"/>
    <w:rsid w:val="006002E3"/>
    <w:rsid w:val="006145AC"/>
    <w:rsid w:val="00615F98"/>
    <w:rsid w:val="00621F9C"/>
    <w:rsid w:val="00631166"/>
    <w:rsid w:val="00631F1C"/>
    <w:rsid w:val="006366A4"/>
    <w:rsid w:val="006456B1"/>
    <w:rsid w:val="006564EC"/>
    <w:rsid w:val="006607E3"/>
    <w:rsid w:val="0066084C"/>
    <w:rsid w:val="00672CF9"/>
    <w:rsid w:val="00672E11"/>
    <w:rsid w:val="0068273B"/>
    <w:rsid w:val="00691234"/>
    <w:rsid w:val="006931CC"/>
    <w:rsid w:val="006947F2"/>
    <w:rsid w:val="00697919"/>
    <w:rsid w:val="006B3FCF"/>
    <w:rsid w:val="006B46CA"/>
    <w:rsid w:val="006C0391"/>
    <w:rsid w:val="006C28B3"/>
    <w:rsid w:val="006D1F66"/>
    <w:rsid w:val="006D306E"/>
    <w:rsid w:val="006D4497"/>
    <w:rsid w:val="006F2F74"/>
    <w:rsid w:val="006F6C15"/>
    <w:rsid w:val="007046D8"/>
    <w:rsid w:val="0070727E"/>
    <w:rsid w:val="00710D3A"/>
    <w:rsid w:val="0071315F"/>
    <w:rsid w:val="00721942"/>
    <w:rsid w:val="00722BE7"/>
    <w:rsid w:val="00732DF2"/>
    <w:rsid w:val="007614F1"/>
    <w:rsid w:val="007618C5"/>
    <w:rsid w:val="00764066"/>
    <w:rsid w:val="00776118"/>
    <w:rsid w:val="00776BFC"/>
    <w:rsid w:val="007B0F83"/>
    <w:rsid w:val="007C3DC0"/>
    <w:rsid w:val="007D2992"/>
    <w:rsid w:val="007D29A1"/>
    <w:rsid w:val="007E0EA7"/>
    <w:rsid w:val="007E3F23"/>
    <w:rsid w:val="007F142E"/>
    <w:rsid w:val="007F7B5E"/>
    <w:rsid w:val="00802B1A"/>
    <w:rsid w:val="0080615C"/>
    <w:rsid w:val="0081027F"/>
    <w:rsid w:val="0081742D"/>
    <w:rsid w:val="00821F4D"/>
    <w:rsid w:val="00823906"/>
    <w:rsid w:val="008409D3"/>
    <w:rsid w:val="00845559"/>
    <w:rsid w:val="00854DB8"/>
    <w:rsid w:val="00854EF2"/>
    <w:rsid w:val="00871F69"/>
    <w:rsid w:val="008842D0"/>
    <w:rsid w:val="00884AC4"/>
    <w:rsid w:val="0088579D"/>
    <w:rsid w:val="00893006"/>
    <w:rsid w:val="008977A6"/>
    <w:rsid w:val="008A7953"/>
    <w:rsid w:val="008B3081"/>
    <w:rsid w:val="008B32D4"/>
    <w:rsid w:val="008D0020"/>
    <w:rsid w:val="008D3C38"/>
    <w:rsid w:val="008D6A05"/>
    <w:rsid w:val="008E15B5"/>
    <w:rsid w:val="008E2AE5"/>
    <w:rsid w:val="008E3F89"/>
    <w:rsid w:val="008F26CB"/>
    <w:rsid w:val="008F6509"/>
    <w:rsid w:val="008F79D9"/>
    <w:rsid w:val="009027C8"/>
    <w:rsid w:val="00912A29"/>
    <w:rsid w:val="0093467A"/>
    <w:rsid w:val="0094155C"/>
    <w:rsid w:val="00946485"/>
    <w:rsid w:val="00951531"/>
    <w:rsid w:val="00960A3B"/>
    <w:rsid w:val="00967DE0"/>
    <w:rsid w:val="00971E07"/>
    <w:rsid w:val="00980944"/>
    <w:rsid w:val="00986D77"/>
    <w:rsid w:val="009943EC"/>
    <w:rsid w:val="009A32D5"/>
    <w:rsid w:val="009B6012"/>
    <w:rsid w:val="009C102D"/>
    <w:rsid w:val="009C2A4F"/>
    <w:rsid w:val="009D4C59"/>
    <w:rsid w:val="009D7F91"/>
    <w:rsid w:val="009E20EF"/>
    <w:rsid w:val="009E26EE"/>
    <w:rsid w:val="009F21A2"/>
    <w:rsid w:val="00A32FBF"/>
    <w:rsid w:val="00A407EA"/>
    <w:rsid w:val="00A51749"/>
    <w:rsid w:val="00A521B6"/>
    <w:rsid w:val="00A52EB7"/>
    <w:rsid w:val="00A56962"/>
    <w:rsid w:val="00A6412C"/>
    <w:rsid w:val="00A75419"/>
    <w:rsid w:val="00A76661"/>
    <w:rsid w:val="00A76D2A"/>
    <w:rsid w:val="00A80B36"/>
    <w:rsid w:val="00A82081"/>
    <w:rsid w:val="00A8557E"/>
    <w:rsid w:val="00A91181"/>
    <w:rsid w:val="00A935AC"/>
    <w:rsid w:val="00AB299E"/>
    <w:rsid w:val="00AB507C"/>
    <w:rsid w:val="00AC4ECD"/>
    <w:rsid w:val="00AD6E76"/>
    <w:rsid w:val="00AE3EAA"/>
    <w:rsid w:val="00AE5EDF"/>
    <w:rsid w:val="00AF61A5"/>
    <w:rsid w:val="00B14F7F"/>
    <w:rsid w:val="00B16EB9"/>
    <w:rsid w:val="00B22F24"/>
    <w:rsid w:val="00B22F53"/>
    <w:rsid w:val="00B24DBE"/>
    <w:rsid w:val="00B34EB2"/>
    <w:rsid w:val="00B517C3"/>
    <w:rsid w:val="00B518B2"/>
    <w:rsid w:val="00B526BC"/>
    <w:rsid w:val="00B526EA"/>
    <w:rsid w:val="00B536FE"/>
    <w:rsid w:val="00B73FFA"/>
    <w:rsid w:val="00B874F1"/>
    <w:rsid w:val="00BC1DE7"/>
    <w:rsid w:val="00BC5AEE"/>
    <w:rsid w:val="00BD6029"/>
    <w:rsid w:val="00BE0541"/>
    <w:rsid w:val="00BE1ADB"/>
    <w:rsid w:val="00C070DE"/>
    <w:rsid w:val="00C26DFB"/>
    <w:rsid w:val="00C273FA"/>
    <w:rsid w:val="00C30D06"/>
    <w:rsid w:val="00C42067"/>
    <w:rsid w:val="00C432D0"/>
    <w:rsid w:val="00C4398E"/>
    <w:rsid w:val="00C60B4A"/>
    <w:rsid w:val="00C65BDB"/>
    <w:rsid w:val="00C71A3B"/>
    <w:rsid w:val="00C76CFA"/>
    <w:rsid w:val="00C963F8"/>
    <w:rsid w:val="00C96BB1"/>
    <w:rsid w:val="00CA2F80"/>
    <w:rsid w:val="00CB0C2A"/>
    <w:rsid w:val="00CC4B2B"/>
    <w:rsid w:val="00CC579C"/>
    <w:rsid w:val="00CC5F5F"/>
    <w:rsid w:val="00CD3460"/>
    <w:rsid w:val="00CD4B61"/>
    <w:rsid w:val="00CD5043"/>
    <w:rsid w:val="00CE2928"/>
    <w:rsid w:val="00CE314A"/>
    <w:rsid w:val="00D01C50"/>
    <w:rsid w:val="00D11B24"/>
    <w:rsid w:val="00D133C8"/>
    <w:rsid w:val="00D14DB8"/>
    <w:rsid w:val="00D244D5"/>
    <w:rsid w:val="00D2776A"/>
    <w:rsid w:val="00D413DB"/>
    <w:rsid w:val="00D420E2"/>
    <w:rsid w:val="00D4459D"/>
    <w:rsid w:val="00D53551"/>
    <w:rsid w:val="00D573F9"/>
    <w:rsid w:val="00D6058B"/>
    <w:rsid w:val="00D63EC5"/>
    <w:rsid w:val="00D72C05"/>
    <w:rsid w:val="00D847CF"/>
    <w:rsid w:val="00DA0A99"/>
    <w:rsid w:val="00DA7603"/>
    <w:rsid w:val="00DA7E39"/>
    <w:rsid w:val="00DA7EDE"/>
    <w:rsid w:val="00DC0AB5"/>
    <w:rsid w:val="00DC50EB"/>
    <w:rsid w:val="00DD3FA0"/>
    <w:rsid w:val="00DE5B2D"/>
    <w:rsid w:val="00DE5CE9"/>
    <w:rsid w:val="00E03064"/>
    <w:rsid w:val="00E04BD5"/>
    <w:rsid w:val="00E070D2"/>
    <w:rsid w:val="00E1539C"/>
    <w:rsid w:val="00E162B6"/>
    <w:rsid w:val="00E16E01"/>
    <w:rsid w:val="00E24A50"/>
    <w:rsid w:val="00E35639"/>
    <w:rsid w:val="00E432CC"/>
    <w:rsid w:val="00E50711"/>
    <w:rsid w:val="00E60EDA"/>
    <w:rsid w:val="00E62BBC"/>
    <w:rsid w:val="00E916F9"/>
    <w:rsid w:val="00E9503C"/>
    <w:rsid w:val="00E956D9"/>
    <w:rsid w:val="00EA1958"/>
    <w:rsid w:val="00EA29F5"/>
    <w:rsid w:val="00EA482D"/>
    <w:rsid w:val="00EB5FE6"/>
    <w:rsid w:val="00EB61A5"/>
    <w:rsid w:val="00EB7A09"/>
    <w:rsid w:val="00EC5AF4"/>
    <w:rsid w:val="00ED661C"/>
    <w:rsid w:val="00EE41B5"/>
    <w:rsid w:val="00EE66C9"/>
    <w:rsid w:val="00EF11A9"/>
    <w:rsid w:val="00EF38E1"/>
    <w:rsid w:val="00EF749A"/>
    <w:rsid w:val="00EF771E"/>
    <w:rsid w:val="00F02565"/>
    <w:rsid w:val="00F05542"/>
    <w:rsid w:val="00F17A2C"/>
    <w:rsid w:val="00F26708"/>
    <w:rsid w:val="00F26E83"/>
    <w:rsid w:val="00F511EE"/>
    <w:rsid w:val="00F558E7"/>
    <w:rsid w:val="00F62016"/>
    <w:rsid w:val="00F63F44"/>
    <w:rsid w:val="00F6746D"/>
    <w:rsid w:val="00F811CD"/>
    <w:rsid w:val="00F82D8F"/>
    <w:rsid w:val="00F83F62"/>
    <w:rsid w:val="00F9711D"/>
    <w:rsid w:val="00FA75E0"/>
    <w:rsid w:val="00FB3AB4"/>
    <w:rsid w:val="00FC56A4"/>
    <w:rsid w:val="00FD3D06"/>
    <w:rsid w:val="00FD5662"/>
    <w:rsid w:val="00FD72B6"/>
    <w:rsid w:val="00FD72D0"/>
    <w:rsid w:val="00FE00AD"/>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enu v:ext="edit" fill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Pr>
      <w:rFonts w:ascii="Cambria" w:hAnsi="Cambria" w:cs="Cambria"/>
      <w:b/>
      <w:bCs/>
      <w:kern w:val="32"/>
      <w:sz w:val="32"/>
      <w:szCs w:val="32"/>
    </w:rPr>
  </w:style>
  <w:style w:type="character" w:customStyle="1" w:styleId="Ttulo5Char">
    <w:name w:val="Título 5 Char"/>
    <w:basedOn w:val="Fontepargpadro"/>
    <w:link w:val="Ttulo5"/>
    <w:uiPriority w:val="99"/>
    <w:locked/>
    <w:rPr>
      <w:rFonts w:ascii="Calibri" w:hAnsi="Calibri" w:cs="Calibri"/>
      <w:b/>
      <w:bCs/>
      <w:i/>
      <w:iCs/>
      <w:sz w:val="26"/>
      <w:szCs w:val="26"/>
    </w:rPr>
  </w:style>
  <w:style w:type="character" w:customStyle="1" w:styleId="Ttulo6Char">
    <w:name w:val="Título 6 Char"/>
    <w:basedOn w:val="Fontepargpadro"/>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basedOn w:val="Fontepargpadro"/>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basedOn w:val="Fontepargpadro"/>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basedOn w:val="Fontepargpadro"/>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basedOn w:val="Fontepargpadro"/>
    <w:link w:val="Corpodetexto3"/>
    <w:uiPriority w:val="99"/>
    <w:locked/>
    <w:rPr>
      <w:rFonts w:cs="Times New Roman"/>
      <w:sz w:val="16"/>
      <w:szCs w:val="16"/>
    </w:rPr>
  </w:style>
  <w:style w:type="character" w:styleId="Nmerodepgina">
    <w:name w:val="page number"/>
    <w:basedOn w:val="Fontepargpadro"/>
    <w:uiPriority w:val="99"/>
    <w:rPr>
      <w:rFonts w:cs="Times New Roman"/>
    </w:rPr>
  </w:style>
  <w:style w:type="character" w:styleId="Hyperlink">
    <w:name w:val="Hyperlink"/>
    <w:basedOn w:val="Fontepargpadro"/>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basedOn w:val="Fontepargpadro"/>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basedOn w:val="Fontepargpadro"/>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basedOn w:val="Fontepargpadro"/>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basedOn w:val="Fontepargpadro"/>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basedOn w:val="Fontepargpadro"/>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basedOn w:val="Fontepargpadro"/>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basedOn w:val="Fontepargpadro"/>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basedOn w:val="Fontepargpadro"/>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basedOn w:val="Fontepargpadro"/>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basedOn w:val="Fontepargpadro"/>
    <w:link w:val="Corpo"/>
    <w:locked/>
    <w:rsid w:val="008D3C38"/>
    <w:rPr>
      <w:rFonts w:ascii="Courier New" w:hAnsi="Courier New" w:cs="Courier New"/>
      <w:color w:val="000000"/>
      <w:sz w:val="24"/>
      <w:szCs w:val="24"/>
      <w:lang w:val="en-US" w:eastAsia="pt-BR" w:bidi="ar-SA"/>
    </w:rPr>
  </w:style>
  <w:style w:type="character" w:styleId="HiperlinkVisitado">
    <w:name w:val="FollowedHyperlink"/>
    <w:basedOn w:val="Fontepargpadro"/>
    <w:uiPriority w:val="99"/>
    <w:semiHidden/>
    <w:unhideWhenUsed/>
    <w:rsid w:val="008977A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xt02.tst.jus.br/pls/ap01/ap_red100.resumo?num_int=234250&amp;ano_int=2006&amp;qtd_acesso=5768373&amp;novoportal=1" TargetMode="External"/><Relationship Id="rId13" Type="http://schemas.openxmlformats.org/officeDocument/2006/relationships/hyperlink" Target="http://ext02.tst.jus.br/pls/ap01/ap_red100.resumo?num_int=717942&amp;ano_int=2009&amp;qtd_acesso=14474865&amp;novoporta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xt02.tst.jus.br/pls/ap01/ap_red100.resumo?num_int=11332&amp;ano_int=2011&amp;qtd_acesso=1755909&amp;novoporta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xt02.tst.jus.br/pls/ap01/ap_red100.resumo?num_int=109895&amp;ano_int=2005&amp;qtd_acesso=3793563&amp;novoporta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xt02.tst.jus.br/pls/ap01/ap_red100.resumo?num_int=79669&amp;ano_int=2010&amp;qtd_acesso=3249555&amp;novoport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xt02.tst.jus.br/pls/ap01/ap_red100.resumo?num_int=71964&amp;ano_int=2005&amp;qtd_acesso=2847213&amp;novoportal=" TargetMode="External"/><Relationship Id="rId14" Type="http://schemas.openxmlformats.org/officeDocument/2006/relationships/hyperlink" Target="http://ext02.tst.jus.br/pls/ap01/ap_red100.resumo?num_int=716089&amp;ano_int=2009&amp;qtd_acesso=14705103&amp;novoporta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0F010-20DE-434F-8B77-3683B31D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1642</Words>
  <Characters>8868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10490</CharactersWithSpaces>
  <SharedDoc>false</SharedDoc>
  <HLinks>
    <vt:vector size="42" baseType="variant">
      <vt:variant>
        <vt:i4>2555945</vt:i4>
      </vt:variant>
      <vt:variant>
        <vt:i4>18</vt:i4>
      </vt:variant>
      <vt:variant>
        <vt:i4>0</vt:i4>
      </vt:variant>
      <vt:variant>
        <vt:i4>5</vt:i4>
      </vt:variant>
      <vt:variant>
        <vt:lpwstr>http://ext02.tst.jus.br/pls/ap01/ap_red100.resumo?num_int=716089&amp;ano_int=2009&amp;qtd_acesso=14705103&amp;novoportal=</vt:lpwstr>
      </vt:variant>
      <vt:variant>
        <vt:lpwstr/>
      </vt:variant>
      <vt:variant>
        <vt:i4>2162732</vt:i4>
      </vt:variant>
      <vt:variant>
        <vt:i4>15</vt:i4>
      </vt:variant>
      <vt:variant>
        <vt:i4>0</vt:i4>
      </vt:variant>
      <vt:variant>
        <vt:i4>5</vt:i4>
      </vt:variant>
      <vt:variant>
        <vt:lpwstr>http://ext02.tst.jus.br/pls/ap01/ap_red100.resumo?num_int=717942&amp;ano_int=2009&amp;qtd_acesso=14474865&amp;novoportal=</vt:lpwstr>
      </vt:variant>
      <vt:variant>
        <vt:lpwstr/>
      </vt:variant>
      <vt:variant>
        <vt:i4>5570642</vt:i4>
      </vt:variant>
      <vt:variant>
        <vt:i4>12</vt:i4>
      </vt:variant>
      <vt:variant>
        <vt:i4>0</vt:i4>
      </vt:variant>
      <vt:variant>
        <vt:i4>5</vt:i4>
      </vt:variant>
      <vt:variant>
        <vt:lpwstr>http://ext02.tst.jus.br/pls/ap01/ap_red100.resumo?num_int=11332&amp;ano_int=2011&amp;qtd_acesso=1755909&amp;novoportal=</vt:lpwstr>
      </vt:variant>
      <vt:variant>
        <vt:lpwstr/>
      </vt:variant>
      <vt:variant>
        <vt:i4>3801139</vt:i4>
      </vt:variant>
      <vt:variant>
        <vt:i4>9</vt:i4>
      </vt:variant>
      <vt:variant>
        <vt:i4>0</vt:i4>
      </vt:variant>
      <vt:variant>
        <vt:i4>5</vt:i4>
      </vt:variant>
      <vt:variant>
        <vt:lpwstr>http://ext02.tst.jus.br/pls/ap01/ap_red100.resumo?num_int=109895&amp;ano_int=2005&amp;qtd_acesso=3793563&amp;novoportal=</vt:lpwstr>
      </vt:variant>
      <vt:variant>
        <vt:lpwstr/>
      </vt:variant>
      <vt:variant>
        <vt:i4>5570649</vt:i4>
      </vt:variant>
      <vt:variant>
        <vt:i4>6</vt:i4>
      </vt:variant>
      <vt:variant>
        <vt:i4>0</vt:i4>
      </vt:variant>
      <vt:variant>
        <vt:i4>5</vt:i4>
      </vt:variant>
      <vt:variant>
        <vt:lpwstr>http://ext02.tst.jus.br/pls/ap01/ap_red100.resumo?num_int=79669&amp;ano_int=2010&amp;qtd_acesso=3249555&amp;novoportal=</vt:lpwstr>
      </vt:variant>
      <vt:variant>
        <vt:lpwstr/>
      </vt:variant>
      <vt:variant>
        <vt:i4>5767258</vt:i4>
      </vt:variant>
      <vt:variant>
        <vt:i4>3</vt:i4>
      </vt:variant>
      <vt:variant>
        <vt:i4>0</vt:i4>
      </vt:variant>
      <vt:variant>
        <vt:i4>5</vt:i4>
      </vt:variant>
      <vt:variant>
        <vt:lpwstr>http://ext02.tst.jus.br/pls/ap01/ap_red100.resumo?num_int=71964&amp;ano_int=2005&amp;qtd_acesso=2847213&amp;novoportal=</vt:lpwstr>
      </vt:variant>
      <vt:variant>
        <vt:lpwstr/>
      </vt:variant>
      <vt:variant>
        <vt:i4>3735608</vt:i4>
      </vt:variant>
      <vt:variant>
        <vt:i4>0</vt:i4>
      </vt:variant>
      <vt:variant>
        <vt:i4>0</vt:i4>
      </vt:variant>
      <vt:variant>
        <vt:i4>5</vt:i4>
      </vt:variant>
      <vt:variant>
        <vt:lpwstr>http://ext02.tst.jus.br/pls/ap01/ap_red100.resumo?num_int=234250&amp;ano_int=2006&amp;qtd_acesso=5768373&amp;novoportal=1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dc:description/>
  <cp:lastModifiedBy>c041658</cp:lastModifiedBy>
  <cp:revision>2</cp:revision>
  <cp:lastPrinted>2012-03-09T15:01:00Z</cp:lastPrinted>
  <dcterms:created xsi:type="dcterms:W3CDTF">2018-06-27T22:31:00Z</dcterms:created>
  <dcterms:modified xsi:type="dcterms:W3CDTF">2018-06-27T22:31:00Z</dcterms:modified>
</cp:coreProperties>
</file>