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7F2F9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5D1DE4" w:rsidRDefault="002C2904" w:rsidP="002C2904">
      <w:pPr>
        <w:ind w:right="-567"/>
        <w:jc w:val="both"/>
        <w:rPr>
          <w:sz w:val="10"/>
          <w:szCs w:val="10"/>
        </w:rPr>
      </w:pPr>
    </w:p>
    <w:p w:rsidR="007F2F97" w:rsidRDefault="007F2F97" w:rsidP="007F2F97">
      <w:pPr>
        <w:ind w:right="-142"/>
        <w:jc w:val="both"/>
        <w:rPr>
          <w:b/>
          <w:i/>
          <w:sz w:val="24"/>
          <w:szCs w:val="24"/>
        </w:rPr>
      </w:pPr>
      <w:r>
        <w:rPr>
          <w:b/>
          <w:i/>
          <w:sz w:val="24"/>
          <w:szCs w:val="24"/>
        </w:rPr>
        <w:t xml:space="preserve">Empresa de telecomunicações. “Call center”. Terceirização. Impossibilidade. Atividade-fim. </w:t>
      </w:r>
    </w:p>
    <w:p w:rsidR="007F2F97" w:rsidRDefault="007F2F97" w:rsidP="007F2F97">
      <w:pPr>
        <w:ind w:right="-142"/>
        <w:jc w:val="both"/>
        <w:rPr>
          <w:sz w:val="24"/>
          <w:szCs w:val="24"/>
          <w:u w:val="single"/>
        </w:rPr>
      </w:pPr>
      <w:r>
        <w:rPr>
          <w:sz w:val="24"/>
          <w:szCs w:val="24"/>
        </w:rPr>
        <w:t>A terceirização dos serviços de “</w:t>
      </w:r>
      <w:r w:rsidRPr="001A7CCC">
        <w:rPr>
          <w:sz w:val="24"/>
          <w:szCs w:val="24"/>
        </w:rPr>
        <w:t>call center</w:t>
      </w:r>
      <w:r>
        <w:rPr>
          <w:sz w:val="24"/>
          <w:szCs w:val="24"/>
        </w:rPr>
        <w:t>” em empresas de telecomunicações configura intermediação ilícita de mão de obra, gerando vínculo direto com o tomador dos serviços, nos termos da Súmula nº 331, I e III, do TST. Os arts. 25 da Lei nº 8.987/95 e 94, II, da Lei nº 9.472/97 devem ser interpretados de forma sistemática e harmônica com o Direito do Trabalho, cujo núcleo central é o princípio da proteção, de modo que a expressão “atividades inerentes”, adotada pela legislação que rege o setor de telecomunicações - de cunho administrativo e econômico, voltada à relação entre as concessionárias e os usuários ou o Poder Público -, não pode servir de sinônimo de atividades-fim. Noutro giro, esse sentido que se confere aos dispositivos de lei acima mencionados não viola a Súmula Vinculante 10 do STF, na medida em que não implica declaração de inconstitucionalidade dos referidos preceitos ou afastamento de sua aplicação, mas apenas interpretação de normas de natureza infraconstitucional. Outrossim, não há como afastar a condição de atividade-fim dos serviços de atendimento telefônico prestados pelas empresas de telecomunicações, pois é por meio da central de atendimento que o consumidor solicita ou, até mesmo, obtém reparos e manutenção em sua linha telefônica, recebe informações acerca dos serviços prestados pela concessionária e faz reclamações, não sendo possível distinguir ou desvincular o “call center” da atividade precípua da prestação dos serviços de telefonia.</w:t>
      </w:r>
      <w:r w:rsidRPr="000F7913">
        <w:rPr>
          <w:sz w:val="24"/>
          <w:szCs w:val="24"/>
        </w:rPr>
        <w:t xml:space="preserve"> </w:t>
      </w:r>
      <w:r>
        <w:rPr>
          <w:sz w:val="24"/>
          <w:szCs w:val="24"/>
        </w:rPr>
        <w:t xml:space="preserve">Com esse entendimento, a SBDI-I, em sua composição plena, por unanimidade, conheceu dos embargos, por divergência jurisprudencial, e, no mérito, por maioria, negou-lhes provimento. Vencidos os Ministros Ives Gandra Martins, relator, Brito Pereira, Maria Cristina Irigoyen Peduzzi, Renato de Lacerda Paiva, Aloysio Corrêa da Veiga e Dora Maria da Costa, que entendiam possível a terceirização dos serviços de “call center”, pois, ao englobar  diversas modalidades de intermediação da comunicação com os clientes, sendo utilizados com o mesmo objetivo por empresas que desempenham as mais diversas atividades econômicas, configuram atividade-meio, a par de o art. 94, II, da Lei nº 9.472/97 autorizar a contratação de terceiros para atividades inerentes à telefonia e não ter sido declarado inconstitucional pelo Plenário da Corte. </w:t>
      </w:r>
      <w:hyperlink r:id="rId8" w:history="1">
        <w:r w:rsidRPr="000D096D">
          <w:rPr>
            <w:rStyle w:val="Hyperlink"/>
            <w:sz w:val="24"/>
            <w:szCs w:val="24"/>
          </w:rPr>
          <w:t>TST-E-ED-RR-2938-13.2010.5.12.0016</w:t>
        </w:r>
      </w:hyperlink>
      <w:r w:rsidRPr="003D032E">
        <w:rPr>
          <w:sz w:val="24"/>
          <w:szCs w:val="24"/>
          <w:u w:val="single"/>
        </w:rPr>
        <w:t xml:space="preserve">, </w:t>
      </w:r>
      <w:r>
        <w:rPr>
          <w:sz w:val="24"/>
          <w:szCs w:val="24"/>
          <w:u w:val="single"/>
        </w:rPr>
        <w:t xml:space="preserve">SBDI-I, rel. Min. Ives Gandra da Silva Martins Filho, red. p/ acórdão </w:t>
      </w:r>
      <w:r w:rsidRPr="003D032E">
        <w:rPr>
          <w:sz w:val="24"/>
          <w:szCs w:val="24"/>
          <w:u w:val="single"/>
        </w:rPr>
        <w:t>Min.</w:t>
      </w:r>
      <w:r>
        <w:rPr>
          <w:sz w:val="24"/>
          <w:szCs w:val="24"/>
          <w:u w:val="single"/>
        </w:rPr>
        <w:t xml:space="preserve"> José Roberto Freire Pimenta, 8.11.2012</w:t>
      </w:r>
    </w:p>
    <w:p w:rsidR="007F2F97" w:rsidRPr="0046625D" w:rsidRDefault="007F2F97" w:rsidP="007F2F97">
      <w:pPr>
        <w:ind w:right="-142"/>
        <w:jc w:val="both"/>
        <w:rPr>
          <w:u w:val="single"/>
        </w:rPr>
      </w:pPr>
    </w:p>
    <w:p w:rsidR="007F2F97" w:rsidRPr="006A52A4" w:rsidRDefault="007F2F97" w:rsidP="007F2F97">
      <w:pPr>
        <w:jc w:val="both"/>
        <w:rPr>
          <w:b/>
          <w:i/>
          <w:sz w:val="24"/>
          <w:szCs w:val="24"/>
        </w:rPr>
      </w:pPr>
      <w:r w:rsidRPr="006A52A4">
        <w:rPr>
          <w:b/>
          <w:i/>
          <w:sz w:val="24"/>
          <w:szCs w:val="24"/>
        </w:rPr>
        <w:t xml:space="preserve">ECT. Plano de Cargos e Salários. Progressão horizontal por merecimento. Deliberação da diretoria. Requisito essencial. </w:t>
      </w:r>
      <w:r>
        <w:rPr>
          <w:b/>
          <w:i/>
          <w:sz w:val="24"/>
          <w:szCs w:val="24"/>
        </w:rPr>
        <w:t>Não caracterização de c</w:t>
      </w:r>
      <w:r w:rsidRPr="006A52A4">
        <w:rPr>
          <w:b/>
          <w:i/>
          <w:sz w:val="24"/>
          <w:szCs w:val="24"/>
        </w:rPr>
        <w:t xml:space="preserve">ondição </w:t>
      </w:r>
      <w:r>
        <w:rPr>
          <w:b/>
          <w:i/>
          <w:sz w:val="24"/>
          <w:szCs w:val="24"/>
        </w:rPr>
        <w:t>puramente</w:t>
      </w:r>
      <w:r w:rsidRPr="006A52A4">
        <w:rPr>
          <w:b/>
          <w:i/>
          <w:sz w:val="24"/>
          <w:szCs w:val="24"/>
        </w:rPr>
        <w:t xml:space="preserve"> potestativa. </w:t>
      </w:r>
    </w:p>
    <w:p w:rsidR="007F2F97" w:rsidRDefault="007F2F97" w:rsidP="007F2F97">
      <w:pPr>
        <w:jc w:val="both"/>
        <w:rPr>
          <w:sz w:val="24"/>
          <w:szCs w:val="24"/>
          <w:u w:val="single"/>
        </w:rPr>
      </w:pPr>
      <w:r w:rsidRPr="006A52A4">
        <w:rPr>
          <w:sz w:val="24"/>
          <w:szCs w:val="24"/>
        </w:rPr>
        <w:t>A deliberação da diretoria a que se refere o Plano de Cargos e Salários da Empresa de Correios e Telégrafos – ECT constitui requisito essencial à concessão de progressão horizontal por merecimento, na medida em que esta envolve critérios subjetivos e comparativos inerentes à excelência profissional do empregado, os quais somente podem ser avaliados pela empregadora</w:t>
      </w:r>
      <w:r>
        <w:rPr>
          <w:sz w:val="24"/>
          <w:szCs w:val="24"/>
        </w:rPr>
        <w:t>, não cabendo ao julgador substituí-la</w:t>
      </w:r>
      <w:r w:rsidRPr="006A52A4">
        <w:rPr>
          <w:sz w:val="24"/>
          <w:szCs w:val="24"/>
        </w:rPr>
        <w:t>.</w:t>
      </w:r>
      <w:r>
        <w:rPr>
          <w:sz w:val="24"/>
          <w:szCs w:val="24"/>
        </w:rPr>
        <w:t xml:space="preserve"> Ademais, trata-se de</w:t>
      </w:r>
      <w:r w:rsidRPr="006A52A4">
        <w:rPr>
          <w:sz w:val="24"/>
          <w:szCs w:val="24"/>
        </w:rPr>
        <w:t xml:space="preserve"> condição simplesmente potestativa, pois dependente não apenas da vontade da empregadora, mas também de fatores alheios ao desígnio do instituidor dos critérios de pro</w:t>
      </w:r>
      <w:r>
        <w:rPr>
          <w:sz w:val="24"/>
          <w:szCs w:val="24"/>
        </w:rPr>
        <w:t>gressão</w:t>
      </w:r>
      <w:r w:rsidRPr="006A52A4">
        <w:rPr>
          <w:sz w:val="24"/>
          <w:szCs w:val="24"/>
        </w:rPr>
        <w:t xml:space="preserve"> (desempenho funcional</w:t>
      </w:r>
      <w:r>
        <w:rPr>
          <w:sz w:val="24"/>
          <w:szCs w:val="24"/>
        </w:rPr>
        <w:t xml:space="preserve"> e</w:t>
      </w:r>
      <w:r w:rsidRPr="006A52A4">
        <w:rPr>
          <w:sz w:val="24"/>
          <w:szCs w:val="24"/>
        </w:rPr>
        <w:t xml:space="preserve"> existência de recursos financeiros), distinguindo-se, portanto, da promoção por antiguidade, cujo critério de avaliação é meramente objetivo, decorrente do decurso do tempo. Com esse entendimento, a SBDI-I, em sua composição plena, por maioria, vencido o Ministro Lelio Bentes Corrêa, conheceu dos embargos, no tópico, por divergência jurisprudencial. No mérito, ainda por maioria, a Subseção negou provimento ao </w:t>
      </w:r>
      <w:r w:rsidRPr="006A52A4">
        <w:rPr>
          <w:sz w:val="24"/>
          <w:szCs w:val="24"/>
        </w:rPr>
        <w:lastRenderedPageBreak/>
        <w:t xml:space="preserve">recurso, vencidos os Ministros Aloysio Corrêa da Veiga, relator, Lelio Bentes Corrêa, Alberto Luiz Bresciani de Fontan Pereira, Augusto César Leite de Carvalho, José Roberto Freire Pimenta e Delaíde Miranda Arantes, que entendiam </w:t>
      </w:r>
      <w:r>
        <w:rPr>
          <w:sz w:val="24"/>
          <w:szCs w:val="24"/>
        </w:rPr>
        <w:t xml:space="preserve">caracterizada a </w:t>
      </w:r>
      <w:r w:rsidRPr="006A52A4">
        <w:rPr>
          <w:sz w:val="24"/>
          <w:szCs w:val="24"/>
        </w:rPr>
        <w:t>condição puramente potestativa</w:t>
      </w:r>
      <w:r>
        <w:rPr>
          <w:sz w:val="24"/>
          <w:szCs w:val="24"/>
        </w:rPr>
        <w:t xml:space="preserve">, e, como tal, </w:t>
      </w:r>
      <w:r w:rsidRPr="006A52A4">
        <w:rPr>
          <w:sz w:val="24"/>
          <w:szCs w:val="24"/>
        </w:rPr>
        <w:t xml:space="preserve">inválida, nos termos do art. 122 do CC, </w:t>
      </w:r>
      <w:r>
        <w:rPr>
          <w:sz w:val="24"/>
          <w:szCs w:val="24"/>
        </w:rPr>
        <w:t xml:space="preserve">uma vez </w:t>
      </w:r>
      <w:r w:rsidRPr="006A52A4">
        <w:rPr>
          <w:sz w:val="24"/>
          <w:szCs w:val="24"/>
        </w:rPr>
        <w:t>que</w:t>
      </w:r>
      <w:r>
        <w:rPr>
          <w:sz w:val="24"/>
          <w:szCs w:val="24"/>
        </w:rPr>
        <w:t xml:space="preserve">, ao vincular a progressão por merecimento </w:t>
      </w:r>
      <w:r w:rsidRPr="006A52A4">
        <w:rPr>
          <w:sz w:val="24"/>
          <w:szCs w:val="24"/>
        </w:rPr>
        <w:t>à deliberação da diretoria, estabelece</w:t>
      </w:r>
      <w:r>
        <w:rPr>
          <w:sz w:val="24"/>
          <w:szCs w:val="24"/>
        </w:rPr>
        <w:t>u-se</w:t>
      </w:r>
      <w:r w:rsidRPr="006A52A4">
        <w:rPr>
          <w:sz w:val="24"/>
          <w:szCs w:val="24"/>
        </w:rPr>
        <w:t xml:space="preserve"> critério subjetivo ligado exclusivamente ao arbítrio da empresa,  privando</w:t>
      </w:r>
      <w:r>
        <w:rPr>
          <w:sz w:val="24"/>
          <w:szCs w:val="24"/>
        </w:rPr>
        <w:t xml:space="preserve"> </w:t>
      </w:r>
      <w:r w:rsidRPr="006A52A4">
        <w:rPr>
          <w:sz w:val="24"/>
          <w:szCs w:val="24"/>
        </w:rPr>
        <w:t>os trabalhadores da obtenção da referida promoção.</w:t>
      </w:r>
      <w:r w:rsidRPr="006A52A4">
        <w:t xml:space="preserve"> </w:t>
      </w:r>
      <w:hyperlink r:id="rId9" w:history="1">
        <w:r w:rsidRPr="00D40FE6">
          <w:rPr>
            <w:rStyle w:val="Hyperlink"/>
            <w:sz w:val="24"/>
            <w:szCs w:val="24"/>
          </w:rPr>
          <w:t>TST-E-</w:t>
        </w:r>
        <w:r w:rsidRPr="00D40FE6">
          <w:rPr>
            <w:rStyle w:val="Hyperlink"/>
            <w:sz w:val="24"/>
            <w:szCs w:val="24"/>
          </w:rPr>
          <w:t>R</w:t>
        </w:r>
        <w:r w:rsidRPr="00D40FE6">
          <w:rPr>
            <w:rStyle w:val="Hyperlink"/>
            <w:sz w:val="24"/>
            <w:szCs w:val="24"/>
          </w:rPr>
          <w:t>R-5</w:t>
        </w:r>
        <w:r w:rsidRPr="00D40FE6">
          <w:rPr>
            <w:rStyle w:val="Hyperlink"/>
            <w:sz w:val="24"/>
            <w:szCs w:val="24"/>
          </w:rPr>
          <w:t>1</w:t>
        </w:r>
        <w:r w:rsidRPr="00D40FE6">
          <w:rPr>
            <w:rStyle w:val="Hyperlink"/>
            <w:sz w:val="24"/>
            <w:szCs w:val="24"/>
          </w:rPr>
          <w:t>-16.2011.5.24.0007</w:t>
        </w:r>
      </w:hyperlink>
      <w:r w:rsidRPr="000D096D">
        <w:rPr>
          <w:sz w:val="24"/>
          <w:szCs w:val="24"/>
          <w:u w:val="single"/>
        </w:rPr>
        <w:t>, SB</w:t>
      </w:r>
      <w:r w:rsidRPr="006A52A4">
        <w:rPr>
          <w:sz w:val="24"/>
          <w:szCs w:val="24"/>
          <w:u w:val="single"/>
        </w:rPr>
        <w:t>DI-</w:t>
      </w:r>
      <w:r>
        <w:rPr>
          <w:sz w:val="24"/>
          <w:szCs w:val="24"/>
          <w:u w:val="single"/>
        </w:rPr>
        <w:t>I</w:t>
      </w:r>
      <w:r w:rsidRPr="006A52A4">
        <w:rPr>
          <w:sz w:val="24"/>
          <w:szCs w:val="24"/>
          <w:u w:val="single"/>
        </w:rPr>
        <w:t>, rel. Min. Aloysio Corrêa da Veiga, red. p/ acórdão Min. Renato de Lacerda Paiva, 8.11.2012</w:t>
      </w:r>
    </w:p>
    <w:p w:rsidR="0046625D" w:rsidRPr="0046625D" w:rsidRDefault="0046625D" w:rsidP="007F2F97">
      <w:pPr>
        <w:jc w:val="both"/>
        <w:rPr>
          <w:u w:val="single"/>
        </w:rPr>
      </w:pPr>
    </w:p>
    <w:p w:rsidR="0046625D" w:rsidRPr="0046625D" w:rsidRDefault="0046625D" w:rsidP="00CC7F82">
      <w:pPr>
        <w:pStyle w:val="Default"/>
        <w:jc w:val="both"/>
        <w:rPr>
          <w:b/>
          <w:i/>
        </w:rPr>
      </w:pPr>
      <w:r w:rsidRPr="0046625D">
        <w:rPr>
          <w:b/>
          <w:bCs/>
          <w:i/>
          <w:iCs/>
        </w:rPr>
        <w:t xml:space="preserve">CEF. Complementação de aposentadoria.  Salário de contribuição. Integração da CTVA. Prescrição parcial. Súmula nº 294. Não incidência. </w:t>
      </w:r>
    </w:p>
    <w:p w:rsidR="0046625D" w:rsidRPr="0046625D" w:rsidRDefault="0046625D" w:rsidP="0046625D">
      <w:pPr>
        <w:jc w:val="both"/>
        <w:rPr>
          <w:sz w:val="24"/>
          <w:szCs w:val="24"/>
          <w:u w:val="single"/>
        </w:rPr>
      </w:pPr>
      <w:r w:rsidRPr="0046625D">
        <w:rPr>
          <w:sz w:val="24"/>
          <w:szCs w:val="24"/>
        </w:rPr>
        <w:t xml:space="preserve">É parcial a prescrição aplicável ao pleito de integração da parcela Complemento Temporário Variável de Ajuste de Piso de Mercado – CTVA, instituída pela Caixa Econômica Federal – CEF, ao salário de contribuição à previdência complementar, com o objetivo de garantir o recebimento de aposentadoria em valor igual ao da remuneração percebida antes da jubilação. No caso, não há falar em incidência da Súmula nº 294 do TST, porquanto não houve alteração da norma empresarial que rege o pagamento do benefício previdenciário e, consequentemente, sua base de contribuição, sendo irrelevante para a fixação do prazo prescricional a data em que introduzida a CTVA no mundo jurídico. Ademais, a referida parcela foi recebida pelo empregado durante toda a contratualidade, e a pretensão deduzida repousa na alegação de inobservância de normas internas que supostamente determinavam a inclusão da CTVA no cálculo do salário de contribuição, o que causaria lesões de trato sucessivo, que se renovam mês a mês, a atrair, portanto, a prescrição parcial. Com esse entendimento, a SBDI-I, em sua composição plena, por maioria, conheceu dos embargos, por divergência jurisprudencial, no tópico, vencidos, em parte, os Ministros Brito Pereira, relator, Antônio José de Barros Levenhagen, Ives Gandra Martins Filho e Maria Cristina Irigoyen Peduzzi, que conheciam do recurso também por contrariedade à Súmula nº 294 do TST, e, totalmente, os Ministros Augusto César Leite de Carvalho, Renato de Lacerda Paiva, Lelio Bentes Corrêa, Luiz Philippe Vieira de Mello Filho, José Roberto Freire Pimenta e Delaíde Miranda Arantes. No mérito, também por maioria, a Subseção negou provimento aos embargos, vencidos os Ministros Brito Pereira, relator, Antônio José de Barros Levenhagen, Ives Gandra Martins Filho e Maria Cristina Irigoyen Peduzzi, que davam provimento ao recurso por contrariedade à Súmula n.º 294 do TST, ao entendimento de ser incidente a prescrição total, uma vez que a criação da CTVA e a sua não inclusão no cálculo da complementação de aposentadoria decorreu de alteração do pactuado por meio de ato único do empregador, consubstanciado na implantação do PCS de 1998. </w:t>
      </w:r>
      <w:hyperlink r:id="rId10" w:history="1">
        <w:r w:rsidRPr="00D40FE6">
          <w:rPr>
            <w:rStyle w:val="Hyperlink"/>
            <w:sz w:val="24"/>
            <w:szCs w:val="24"/>
          </w:rPr>
          <w:t>TS</w:t>
        </w:r>
        <w:r w:rsidRPr="00D40FE6">
          <w:rPr>
            <w:rStyle w:val="Hyperlink"/>
            <w:sz w:val="24"/>
            <w:szCs w:val="24"/>
          </w:rPr>
          <w:t>T</w:t>
        </w:r>
        <w:r w:rsidRPr="00D40FE6">
          <w:rPr>
            <w:rStyle w:val="Hyperlink"/>
            <w:sz w:val="24"/>
            <w:szCs w:val="24"/>
          </w:rPr>
          <w:t>-E</w:t>
        </w:r>
        <w:r w:rsidRPr="00D40FE6">
          <w:rPr>
            <w:rStyle w:val="Hyperlink"/>
            <w:sz w:val="24"/>
            <w:szCs w:val="24"/>
          </w:rPr>
          <w:t>-</w:t>
        </w:r>
        <w:r w:rsidRPr="00D40FE6">
          <w:rPr>
            <w:rStyle w:val="Hyperlink"/>
            <w:sz w:val="24"/>
            <w:szCs w:val="24"/>
          </w:rPr>
          <w:t>RR-400-89.2007.5.16.0004</w:t>
        </w:r>
      </w:hyperlink>
      <w:r w:rsidRPr="0046625D">
        <w:rPr>
          <w:sz w:val="24"/>
          <w:szCs w:val="24"/>
          <w:u w:val="single"/>
        </w:rPr>
        <w:t>, SBDI-I, rel. Min. Brito Pereira, red. p/ acórdão Min. Lelio Bentes Côrrea, 8.11.2012</w:t>
      </w:r>
    </w:p>
    <w:p w:rsidR="007F2F97" w:rsidRPr="0046625D" w:rsidRDefault="007F2F97" w:rsidP="007F2F97">
      <w:pPr>
        <w:ind w:right="-142"/>
        <w:jc w:val="both"/>
        <w:rPr>
          <w:u w:val="single"/>
        </w:rPr>
      </w:pPr>
    </w:p>
    <w:p w:rsidR="007F2F97" w:rsidRPr="00396833" w:rsidRDefault="007F2F97" w:rsidP="007F2F97">
      <w:pPr>
        <w:jc w:val="both"/>
        <w:rPr>
          <w:b/>
          <w:i/>
          <w:sz w:val="24"/>
          <w:szCs w:val="24"/>
        </w:rPr>
      </w:pPr>
      <w:r w:rsidRPr="00396833">
        <w:rPr>
          <w:b/>
          <w:i/>
          <w:sz w:val="24"/>
          <w:szCs w:val="24"/>
        </w:rPr>
        <w:t>Horas “in itinere”.</w:t>
      </w:r>
      <w:r>
        <w:rPr>
          <w:b/>
          <w:i/>
          <w:sz w:val="24"/>
          <w:szCs w:val="24"/>
        </w:rPr>
        <w:t xml:space="preserve"> Lei nº 10.243/01.</w:t>
      </w:r>
      <w:r w:rsidRPr="00396833">
        <w:rPr>
          <w:b/>
          <w:i/>
          <w:sz w:val="24"/>
          <w:szCs w:val="24"/>
        </w:rPr>
        <w:t xml:space="preserve"> Limitação por norma coletiva. Possibilidade. </w:t>
      </w:r>
    </w:p>
    <w:p w:rsidR="007F2F97" w:rsidRDefault="007F2F97" w:rsidP="007F2F97">
      <w:pPr>
        <w:jc w:val="both"/>
        <w:rPr>
          <w:sz w:val="24"/>
          <w:szCs w:val="24"/>
          <w:u w:val="single"/>
        </w:rPr>
      </w:pPr>
      <w:r w:rsidRPr="00396833">
        <w:rPr>
          <w:sz w:val="24"/>
          <w:szCs w:val="24"/>
        </w:rPr>
        <w:t xml:space="preserve">É válida cláusula coletiva que prevê a limitação do pagamento das horas </w:t>
      </w:r>
      <w:r>
        <w:rPr>
          <w:sz w:val="24"/>
          <w:szCs w:val="24"/>
        </w:rPr>
        <w:t>“</w:t>
      </w:r>
      <w:r w:rsidRPr="004275A5">
        <w:rPr>
          <w:sz w:val="24"/>
          <w:szCs w:val="24"/>
        </w:rPr>
        <w:t>in itinere”</w:t>
      </w:r>
      <w:r w:rsidRPr="00396833">
        <w:rPr>
          <w:i/>
          <w:sz w:val="24"/>
          <w:szCs w:val="24"/>
        </w:rPr>
        <w:t xml:space="preserve">, </w:t>
      </w:r>
      <w:r w:rsidRPr="00396833">
        <w:rPr>
          <w:sz w:val="24"/>
          <w:szCs w:val="24"/>
        </w:rPr>
        <w:t>em atenção ao previsto no art. 7º, XXVI, da CF</w:t>
      </w:r>
      <w:r w:rsidRPr="00396833">
        <w:rPr>
          <w:i/>
          <w:sz w:val="24"/>
          <w:szCs w:val="24"/>
        </w:rPr>
        <w:t xml:space="preserve">. </w:t>
      </w:r>
      <w:r w:rsidRPr="00396833">
        <w:rPr>
          <w:sz w:val="24"/>
          <w:szCs w:val="24"/>
        </w:rPr>
        <w:t>Com esse entendimento, a SBDI-I,</w:t>
      </w:r>
      <w:r>
        <w:rPr>
          <w:sz w:val="24"/>
          <w:szCs w:val="24"/>
        </w:rPr>
        <w:t xml:space="preserve"> em sua composição plena, </w:t>
      </w:r>
      <w:r w:rsidRPr="00396833">
        <w:rPr>
          <w:sz w:val="24"/>
          <w:szCs w:val="24"/>
        </w:rPr>
        <w:t>por maioria,</w:t>
      </w:r>
      <w:r>
        <w:rPr>
          <w:sz w:val="24"/>
          <w:szCs w:val="24"/>
        </w:rPr>
        <w:t xml:space="preserve"> vencido o Ministro Antônio José de Barros Levenhagen, </w:t>
      </w:r>
      <w:r w:rsidRPr="00396833">
        <w:rPr>
          <w:sz w:val="24"/>
          <w:szCs w:val="24"/>
        </w:rPr>
        <w:t>conheceu dos embargos por divergência jurisprudencial</w:t>
      </w:r>
      <w:r w:rsidR="00160889">
        <w:rPr>
          <w:sz w:val="24"/>
          <w:szCs w:val="24"/>
        </w:rPr>
        <w:t>,</w:t>
      </w:r>
      <w:r w:rsidRPr="00396833">
        <w:rPr>
          <w:sz w:val="24"/>
          <w:szCs w:val="24"/>
        </w:rPr>
        <w:t xml:space="preserve"> e, no mérito,</w:t>
      </w:r>
      <w:r>
        <w:rPr>
          <w:sz w:val="24"/>
          <w:szCs w:val="24"/>
        </w:rPr>
        <w:t xml:space="preserve"> pelo voto prevalente da Presidência, deu</w:t>
      </w:r>
      <w:r w:rsidRPr="00396833">
        <w:rPr>
          <w:sz w:val="24"/>
          <w:szCs w:val="24"/>
        </w:rPr>
        <w:t>-lhes provimento</w:t>
      </w:r>
      <w:r>
        <w:rPr>
          <w:sz w:val="24"/>
          <w:szCs w:val="24"/>
        </w:rPr>
        <w:t xml:space="preserve"> para restabelecer a sentença que reconheceu a validade da cláusula de acordo coletivo, firmado após a Lei nº 10.243/01, a qual fixou o pagamento de uma hora diária a título de horas “in itinere”, não obstante o tempo gasto pelo reclamante no percurso de ida e volta ao trabalho fosse de duas horas e vinte minutos.</w:t>
      </w:r>
      <w:r w:rsidRPr="00396833">
        <w:rPr>
          <w:sz w:val="24"/>
          <w:szCs w:val="24"/>
        </w:rPr>
        <w:t xml:space="preserve"> Vencidos os Ministros</w:t>
      </w:r>
      <w:r>
        <w:rPr>
          <w:sz w:val="24"/>
          <w:szCs w:val="24"/>
        </w:rPr>
        <w:t xml:space="preserve"> Renato de Lacerda Paiva, relator,</w:t>
      </w:r>
      <w:r w:rsidRPr="00396833">
        <w:rPr>
          <w:sz w:val="24"/>
          <w:szCs w:val="24"/>
        </w:rPr>
        <w:t xml:space="preserve"> Lelio Bentes Corrêa, </w:t>
      </w:r>
      <w:r>
        <w:rPr>
          <w:sz w:val="24"/>
          <w:szCs w:val="24"/>
        </w:rPr>
        <w:t>Aloysio Corrêa da Veiga, Luiz Philippe Vieira de Mello Filho, Augusto César Leite de Carvalho</w:t>
      </w:r>
      <w:r w:rsidRPr="00396833">
        <w:rPr>
          <w:sz w:val="24"/>
          <w:szCs w:val="24"/>
        </w:rPr>
        <w:t xml:space="preserve">, José Roberto Freire Pimenta e Delaíde Miranda Arantes, </w:t>
      </w:r>
      <w:r>
        <w:rPr>
          <w:sz w:val="24"/>
          <w:szCs w:val="24"/>
        </w:rPr>
        <w:t xml:space="preserve">os quais negavam provimento ao recurso, sob o argumento de que, na hipótese de flagrante disparidade entre o tempo de percurso efetivamente utilizado e aquele atribuído pela norma coletiva, há subversão do direito à livre negociação, restando caracterizada, portanto, a renúncia do reclamante ao direito de recebimento das horas “in itinere”, o que é vedado pela Lei nº 10.243/01. </w:t>
      </w:r>
      <w:hyperlink r:id="rId11" w:history="1">
        <w:r w:rsidRPr="00E435F4">
          <w:rPr>
            <w:rStyle w:val="Hyperlink"/>
            <w:sz w:val="24"/>
            <w:szCs w:val="24"/>
          </w:rPr>
          <w:t>TST-E-RR-2200-43</w:t>
        </w:r>
        <w:r w:rsidRPr="00E435F4">
          <w:rPr>
            <w:rStyle w:val="Hyperlink"/>
            <w:sz w:val="24"/>
            <w:szCs w:val="24"/>
          </w:rPr>
          <w:t>.</w:t>
        </w:r>
        <w:r w:rsidRPr="00E435F4">
          <w:rPr>
            <w:rStyle w:val="Hyperlink"/>
            <w:sz w:val="24"/>
            <w:szCs w:val="24"/>
          </w:rPr>
          <w:t>2005.5.15.0072</w:t>
        </w:r>
      </w:hyperlink>
      <w:r w:rsidRPr="00396833">
        <w:rPr>
          <w:sz w:val="24"/>
          <w:szCs w:val="24"/>
          <w:u w:val="single"/>
        </w:rPr>
        <w:t xml:space="preserve">, </w:t>
      </w:r>
      <w:r w:rsidRPr="00396833">
        <w:rPr>
          <w:sz w:val="24"/>
          <w:szCs w:val="24"/>
          <w:u w:val="single"/>
        </w:rPr>
        <w:lastRenderedPageBreak/>
        <w:t xml:space="preserve">SBDI-I, rel. Min. </w:t>
      </w:r>
      <w:r>
        <w:rPr>
          <w:sz w:val="24"/>
          <w:szCs w:val="24"/>
          <w:u w:val="single"/>
        </w:rPr>
        <w:t xml:space="preserve">Renato de Lacerda Paiva, </w:t>
      </w:r>
      <w:r w:rsidRPr="00396833">
        <w:rPr>
          <w:sz w:val="24"/>
          <w:szCs w:val="24"/>
          <w:u w:val="single"/>
        </w:rPr>
        <w:t xml:space="preserve">red. p/ acórdão Min. </w:t>
      </w:r>
      <w:r>
        <w:rPr>
          <w:sz w:val="24"/>
          <w:szCs w:val="24"/>
          <w:u w:val="single"/>
        </w:rPr>
        <w:t>Maria Cristina Irigoyen Peduzzi, 8.11.</w:t>
      </w:r>
      <w:r w:rsidRPr="00396833">
        <w:rPr>
          <w:sz w:val="24"/>
          <w:szCs w:val="24"/>
          <w:u w:val="single"/>
        </w:rPr>
        <w:t>2012</w:t>
      </w:r>
    </w:p>
    <w:p w:rsidR="0046625D" w:rsidRPr="0046625D" w:rsidRDefault="0046625D" w:rsidP="007F2F97">
      <w:pPr>
        <w:jc w:val="both"/>
        <w:rPr>
          <w:u w:val="single"/>
        </w:rPr>
      </w:pPr>
    </w:p>
    <w:p w:rsidR="0046625D" w:rsidRDefault="0046625D" w:rsidP="0046625D">
      <w:pPr>
        <w:ind w:right="-1"/>
        <w:jc w:val="both"/>
        <w:rPr>
          <w:b/>
          <w:i/>
          <w:sz w:val="24"/>
          <w:szCs w:val="24"/>
        </w:rPr>
      </w:pPr>
      <w:r>
        <w:rPr>
          <w:b/>
          <w:i/>
          <w:sz w:val="24"/>
          <w:szCs w:val="24"/>
        </w:rPr>
        <w:t xml:space="preserve">Comissão de Conciliação Prévia. Acordo firmado sem ressalvas. Eficácia liberatória geral. Parágrafo único do art. 625-E da CLT.  </w:t>
      </w:r>
    </w:p>
    <w:p w:rsidR="0046625D" w:rsidRDefault="0046625D" w:rsidP="0046625D">
      <w:pPr>
        <w:jc w:val="both"/>
        <w:rPr>
          <w:sz w:val="24"/>
          <w:szCs w:val="24"/>
          <w:u w:val="single"/>
        </w:rPr>
      </w:pPr>
      <w:r>
        <w:rPr>
          <w:sz w:val="24"/>
          <w:szCs w:val="24"/>
        </w:rPr>
        <w:t>N</w:t>
      </w:r>
      <w:r w:rsidRPr="009935B8">
        <w:rPr>
          <w:sz w:val="24"/>
          <w:szCs w:val="24"/>
        </w:rPr>
        <w:t xml:space="preserve">os termos do parágrafo único do art. 625-E da CLT, </w:t>
      </w:r>
      <w:r>
        <w:rPr>
          <w:sz w:val="24"/>
          <w:szCs w:val="24"/>
        </w:rPr>
        <w:t xml:space="preserve">o </w:t>
      </w:r>
      <w:r w:rsidRPr="009935B8">
        <w:rPr>
          <w:sz w:val="24"/>
          <w:szCs w:val="24"/>
        </w:rPr>
        <w:t>termo de conciliação</w:t>
      </w:r>
      <w:r w:rsidR="00160889">
        <w:rPr>
          <w:sz w:val="24"/>
          <w:szCs w:val="24"/>
        </w:rPr>
        <w:t>,</w:t>
      </w:r>
      <w:r w:rsidRPr="009935B8">
        <w:rPr>
          <w:sz w:val="24"/>
          <w:szCs w:val="24"/>
        </w:rPr>
        <w:t xml:space="preserve"> lavrado perante a Comissão de Conciliação Prévia regularmente constituída</w:t>
      </w:r>
      <w:r>
        <w:rPr>
          <w:sz w:val="24"/>
          <w:szCs w:val="24"/>
        </w:rPr>
        <w:t xml:space="preserve">, possui </w:t>
      </w:r>
      <w:r w:rsidRPr="009935B8">
        <w:rPr>
          <w:sz w:val="24"/>
          <w:szCs w:val="24"/>
        </w:rPr>
        <w:t xml:space="preserve">eficácia liberatória </w:t>
      </w:r>
      <w:r>
        <w:rPr>
          <w:sz w:val="24"/>
          <w:szCs w:val="24"/>
        </w:rPr>
        <w:t xml:space="preserve">geral, exceto quanto às parcelas ressalvadas expressamente. Em outras palavras, não há limitação dos efeitos liberatórios do acordo firmado sem ressalvas, pois o termo de conciliação constitui título executivo extrajudicial, com força de coisa julgada entre as partes, equivalendo a uma transação e abrangendo todas as parcelas oriundas do vínculo de emprego. Com esse posicionamento, a SBDI-I, em sua composição plena, por unanimidade, conheceu dos embargos, por divergência jurisprudencial, e, no mérito, pelo voto prevalente da Presidência, deu-lhes provimento para julgar extinto o processo sem resolução de mérito, na forma do art. 267, IV, do CPC. Vencidos os Ministros </w:t>
      </w:r>
      <w:r w:rsidRPr="006A22C8">
        <w:rPr>
          <w:sz w:val="24"/>
          <w:szCs w:val="24"/>
        </w:rPr>
        <w:t>Horácio Raymundo de Senna Pires</w:t>
      </w:r>
      <w:r>
        <w:rPr>
          <w:sz w:val="24"/>
          <w:szCs w:val="24"/>
        </w:rPr>
        <w:t xml:space="preserve">, </w:t>
      </w:r>
      <w:r w:rsidRPr="006A22C8">
        <w:rPr>
          <w:sz w:val="24"/>
          <w:szCs w:val="24"/>
        </w:rPr>
        <w:t>Rosa Maria Weber, L</w:t>
      </w:r>
      <w:r>
        <w:rPr>
          <w:sz w:val="24"/>
          <w:szCs w:val="24"/>
        </w:rPr>
        <w:t>e</w:t>
      </w:r>
      <w:r w:rsidRPr="006A22C8">
        <w:rPr>
          <w:sz w:val="24"/>
          <w:szCs w:val="24"/>
        </w:rPr>
        <w:t>lio Bentes Corrêa</w:t>
      </w:r>
      <w:r>
        <w:rPr>
          <w:sz w:val="24"/>
          <w:szCs w:val="24"/>
        </w:rPr>
        <w:t xml:space="preserve">, </w:t>
      </w:r>
      <w:r w:rsidRPr="006A22C8">
        <w:rPr>
          <w:sz w:val="24"/>
          <w:szCs w:val="24"/>
        </w:rPr>
        <w:t>Luiz Philippe Vieira de Melo Filho</w:t>
      </w:r>
      <w:r>
        <w:rPr>
          <w:sz w:val="24"/>
          <w:szCs w:val="24"/>
        </w:rPr>
        <w:t xml:space="preserve">, </w:t>
      </w:r>
      <w:r w:rsidRPr="00AC57D4">
        <w:rPr>
          <w:color w:val="000000"/>
          <w:sz w:val="24"/>
          <w:szCs w:val="24"/>
        </w:rPr>
        <w:t>Augusto César Leite de Carvalho</w:t>
      </w:r>
      <w:r>
        <w:rPr>
          <w:color w:val="000000"/>
          <w:sz w:val="24"/>
          <w:szCs w:val="24"/>
        </w:rPr>
        <w:t xml:space="preserve">, </w:t>
      </w:r>
      <w:r w:rsidRPr="00AC57D4">
        <w:rPr>
          <w:sz w:val="24"/>
          <w:szCs w:val="24"/>
        </w:rPr>
        <w:t>José Roberto Freire Pimenta</w:t>
      </w:r>
      <w:r>
        <w:rPr>
          <w:sz w:val="24"/>
          <w:szCs w:val="24"/>
        </w:rPr>
        <w:t xml:space="preserve"> e </w:t>
      </w:r>
      <w:r w:rsidRPr="00990265">
        <w:rPr>
          <w:sz w:val="24"/>
          <w:szCs w:val="24"/>
        </w:rPr>
        <w:t>Delaíde Miranda Arantes</w:t>
      </w:r>
      <w:r>
        <w:rPr>
          <w:sz w:val="24"/>
          <w:szCs w:val="24"/>
        </w:rPr>
        <w:t>, por entenderem que a quitação passada perante a Comissão de Conciliação Prévia não pode abranger parcela não inserida no correlato recibo.</w:t>
      </w:r>
      <w:r w:rsidRPr="00CC287B">
        <w:t xml:space="preserve"> </w:t>
      </w:r>
      <w:hyperlink r:id="rId12" w:history="1">
        <w:r w:rsidRPr="00D40FE6">
          <w:rPr>
            <w:rStyle w:val="Hyperlink"/>
            <w:sz w:val="24"/>
            <w:szCs w:val="24"/>
          </w:rPr>
          <w:t>TST-E-RR-17400-43.2</w:t>
        </w:r>
        <w:r w:rsidRPr="00D40FE6">
          <w:rPr>
            <w:rStyle w:val="Hyperlink"/>
            <w:sz w:val="24"/>
            <w:szCs w:val="24"/>
          </w:rPr>
          <w:t>0</w:t>
        </w:r>
        <w:r w:rsidRPr="00D40FE6">
          <w:rPr>
            <w:rStyle w:val="Hyperlink"/>
            <w:sz w:val="24"/>
            <w:szCs w:val="24"/>
          </w:rPr>
          <w:t>0</w:t>
        </w:r>
        <w:r w:rsidRPr="00D40FE6">
          <w:rPr>
            <w:rStyle w:val="Hyperlink"/>
            <w:sz w:val="24"/>
            <w:szCs w:val="24"/>
          </w:rPr>
          <w:t>6</w:t>
        </w:r>
        <w:r w:rsidRPr="00D40FE6">
          <w:rPr>
            <w:rStyle w:val="Hyperlink"/>
            <w:sz w:val="24"/>
            <w:szCs w:val="24"/>
          </w:rPr>
          <w:t>.5.01.0073</w:t>
        </w:r>
      </w:hyperlink>
      <w:r w:rsidRPr="00CC287B">
        <w:rPr>
          <w:sz w:val="24"/>
          <w:szCs w:val="24"/>
          <w:u w:val="single"/>
        </w:rPr>
        <w:t>, SBDI-I, rel. Min. Aloysio Corrêa da Veiga, 8.11.2012</w:t>
      </w:r>
    </w:p>
    <w:p w:rsidR="0046625D" w:rsidRDefault="0046625D" w:rsidP="0046625D">
      <w:pPr>
        <w:jc w:val="both"/>
        <w:rPr>
          <w:b/>
          <w:i/>
          <w:sz w:val="32"/>
          <w:szCs w:val="32"/>
        </w:rPr>
      </w:pPr>
    </w:p>
    <w:p w:rsidR="0046625D" w:rsidRPr="00396833" w:rsidRDefault="0046625D" w:rsidP="007F2F97">
      <w:pPr>
        <w:jc w:val="both"/>
        <w:rPr>
          <w:sz w:val="24"/>
          <w:szCs w:val="24"/>
        </w:rPr>
      </w:pPr>
    </w:p>
    <w:p w:rsidR="007F2F97" w:rsidRPr="009120B2" w:rsidRDefault="007F2F97" w:rsidP="007F2F97">
      <w:pPr>
        <w:ind w:right="-142"/>
        <w:jc w:val="both"/>
        <w:rPr>
          <w:sz w:val="24"/>
          <w:szCs w:val="24"/>
          <w:u w:val="single"/>
        </w:rPr>
      </w:pPr>
    </w:p>
    <w:p w:rsidR="007F2F97" w:rsidRPr="005D1DE4" w:rsidRDefault="007F2F97"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87" w:rsidRDefault="004E5C87">
      <w:r>
        <w:separator/>
      </w:r>
    </w:p>
  </w:endnote>
  <w:endnote w:type="continuationSeparator" w:id="0">
    <w:p w:rsidR="004E5C87" w:rsidRDefault="004E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F41">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54F41">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87" w:rsidRDefault="004E5C87">
      <w:r>
        <w:separator/>
      </w:r>
    </w:p>
  </w:footnote>
  <w:footnote w:type="continuationSeparator" w:id="0">
    <w:p w:rsidR="004E5C87" w:rsidRDefault="004E5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6625D">
      <w:rPr>
        <w:shadow/>
        <w:sz w:val="24"/>
        <w:szCs w:val="24"/>
      </w:rPr>
      <w:t>29</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46625D">
      <w:rPr>
        <w:sz w:val="20"/>
        <w:szCs w:val="20"/>
      </w:rPr>
      <w:t>6</w:t>
    </w:r>
    <w:r w:rsidR="00E16E01" w:rsidRPr="00971E07">
      <w:rPr>
        <w:sz w:val="20"/>
        <w:szCs w:val="20"/>
      </w:rPr>
      <w:t xml:space="preserve"> a</w:t>
    </w:r>
    <w:r w:rsidR="00FE00AD" w:rsidRPr="00971E07">
      <w:rPr>
        <w:sz w:val="20"/>
        <w:szCs w:val="20"/>
      </w:rPr>
      <w:t xml:space="preserve"> </w:t>
    </w:r>
    <w:r w:rsidR="0046625D">
      <w:rPr>
        <w:sz w:val="20"/>
        <w:szCs w:val="20"/>
      </w:rPr>
      <w:t>12</w:t>
    </w:r>
    <w:r w:rsidR="00FE00AD" w:rsidRPr="00971E07">
      <w:rPr>
        <w:sz w:val="20"/>
        <w:szCs w:val="20"/>
      </w:rPr>
      <w:t xml:space="preserve"> de </w:t>
    </w:r>
    <w:r w:rsidR="0046625D">
      <w:rPr>
        <w:sz w:val="20"/>
        <w:szCs w:val="20"/>
      </w:rPr>
      <w:t>novembro</w:t>
    </w:r>
    <w:r w:rsidR="00FE00AD" w:rsidRPr="00971E07">
      <w:rPr>
        <w:sz w:val="20"/>
        <w:szCs w:val="20"/>
      </w:rPr>
      <w:t xml:space="preserve"> de 20</w:t>
    </w:r>
    <w:r w:rsidR="00E16E01" w:rsidRPr="00971E07">
      <w:rPr>
        <w:sz w:val="20"/>
        <w:szCs w:val="20"/>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FA1A9A">
      <w:rPr>
        <w:b/>
        <w:sz w:val="40"/>
        <w:szCs w:val="40"/>
      </w:rPr>
      <w:t>29</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7F2F97">
      <w:rPr>
        <w:i/>
        <w:iCs/>
      </w:rPr>
      <w:t>6</w:t>
    </w:r>
    <w:r w:rsidR="00FE00AD" w:rsidRPr="005D1DE4">
      <w:rPr>
        <w:i/>
        <w:iCs/>
      </w:rPr>
      <w:t xml:space="preserve"> a </w:t>
    </w:r>
    <w:r w:rsidR="007F2F97">
      <w:rPr>
        <w:i/>
        <w:iCs/>
      </w:rPr>
      <w:t>12</w:t>
    </w:r>
    <w:r w:rsidR="00FE00AD" w:rsidRPr="005D1DE4">
      <w:rPr>
        <w:i/>
        <w:iCs/>
      </w:rPr>
      <w:t xml:space="preserve"> de </w:t>
    </w:r>
    <w:r w:rsidR="007F2F97">
      <w:rPr>
        <w:i/>
        <w:iCs/>
      </w:rPr>
      <w:t>novembro</w:t>
    </w:r>
    <w:r w:rsidR="00FE00AD" w:rsidRPr="005D1DE4">
      <w:rPr>
        <w:i/>
        <w:iCs/>
      </w:rPr>
      <w:t xml:space="preserve"> de 2012</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D096D"/>
    <w:rsid w:val="000E0A91"/>
    <w:rsid w:val="0011575C"/>
    <w:rsid w:val="0011692E"/>
    <w:rsid w:val="00137564"/>
    <w:rsid w:val="00137DC1"/>
    <w:rsid w:val="0015612D"/>
    <w:rsid w:val="00160889"/>
    <w:rsid w:val="00176D15"/>
    <w:rsid w:val="00184590"/>
    <w:rsid w:val="00187A37"/>
    <w:rsid w:val="0019151D"/>
    <w:rsid w:val="00193208"/>
    <w:rsid w:val="001B4224"/>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25D"/>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E5C87"/>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76B98"/>
    <w:rsid w:val="0068273B"/>
    <w:rsid w:val="00691234"/>
    <w:rsid w:val="006931CC"/>
    <w:rsid w:val="006947F2"/>
    <w:rsid w:val="00697919"/>
    <w:rsid w:val="006B3FCF"/>
    <w:rsid w:val="006B46CA"/>
    <w:rsid w:val="006C0391"/>
    <w:rsid w:val="006C28B3"/>
    <w:rsid w:val="006D1F66"/>
    <w:rsid w:val="006D306E"/>
    <w:rsid w:val="006D4497"/>
    <w:rsid w:val="006F6C15"/>
    <w:rsid w:val="0070191F"/>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2F97"/>
    <w:rsid w:val="007F7B5E"/>
    <w:rsid w:val="00802B1A"/>
    <w:rsid w:val="0080615C"/>
    <w:rsid w:val="0081027F"/>
    <w:rsid w:val="0081742D"/>
    <w:rsid w:val="00821F4D"/>
    <w:rsid w:val="00823906"/>
    <w:rsid w:val="008409D3"/>
    <w:rsid w:val="00845559"/>
    <w:rsid w:val="00854DB8"/>
    <w:rsid w:val="00854EF2"/>
    <w:rsid w:val="00863B86"/>
    <w:rsid w:val="00871F69"/>
    <w:rsid w:val="008737E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54F41"/>
    <w:rsid w:val="00C60B4A"/>
    <w:rsid w:val="00C65BDB"/>
    <w:rsid w:val="00C71A3B"/>
    <w:rsid w:val="00C76CFA"/>
    <w:rsid w:val="00C963F8"/>
    <w:rsid w:val="00C96BB1"/>
    <w:rsid w:val="00CA2F80"/>
    <w:rsid w:val="00CB0C2A"/>
    <w:rsid w:val="00CC4B2B"/>
    <w:rsid w:val="00CC579C"/>
    <w:rsid w:val="00CC5F5F"/>
    <w:rsid w:val="00CC7F82"/>
    <w:rsid w:val="00CD3460"/>
    <w:rsid w:val="00CD4B61"/>
    <w:rsid w:val="00CD5043"/>
    <w:rsid w:val="00CE2928"/>
    <w:rsid w:val="00CE314A"/>
    <w:rsid w:val="00D01C50"/>
    <w:rsid w:val="00D11B24"/>
    <w:rsid w:val="00D133C8"/>
    <w:rsid w:val="00D14DB8"/>
    <w:rsid w:val="00D244D5"/>
    <w:rsid w:val="00D2776A"/>
    <w:rsid w:val="00D40FE6"/>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0D5"/>
    <w:rsid w:val="00DE5B2D"/>
    <w:rsid w:val="00DE5CE9"/>
    <w:rsid w:val="00E03064"/>
    <w:rsid w:val="00E04BD5"/>
    <w:rsid w:val="00E070D2"/>
    <w:rsid w:val="00E1539C"/>
    <w:rsid w:val="00E162B6"/>
    <w:rsid w:val="00E16E01"/>
    <w:rsid w:val="00E24A50"/>
    <w:rsid w:val="00E35639"/>
    <w:rsid w:val="00E432CC"/>
    <w:rsid w:val="00E435F4"/>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1A9A"/>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paragraph" w:customStyle="1" w:styleId="Default">
    <w:name w:val="Default"/>
    <w:rsid w:val="0046625D"/>
    <w:pPr>
      <w:autoSpaceDE w:val="0"/>
      <w:autoSpaceDN w:val="0"/>
      <w:adjustRightInd w:val="0"/>
    </w:pPr>
    <w:rPr>
      <w:rFonts w:ascii="Times New Roman" w:hAnsi="Times New Roman"/>
      <w:color w:val="000000"/>
      <w:sz w:val="24"/>
      <w:szCs w:val="24"/>
    </w:rPr>
  </w:style>
  <w:style w:type="character" w:styleId="HiperlinkVisitado">
    <w:name w:val="FollowedHyperlink"/>
    <w:uiPriority w:val="99"/>
    <w:semiHidden/>
    <w:unhideWhenUsed/>
    <w:rsid w:val="00D40F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938&amp;digitoTst=13&amp;anoTst=2010&amp;orgaoTst=5&amp;tribunalTst=12&amp;varaTst=00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7400&amp;digitoTst=43&amp;anoTst=2006&amp;orgaoTst=5&amp;tribunalTst=01&amp;varaTst=00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2200&amp;digitoTst=43&amp;anoTst=2005&amp;orgaoTst=5&amp;tribunalTst=15&amp;varaTst=00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400&amp;digitoTst=89&amp;anoTst=2007&amp;orgaoTst=5&amp;tribunalTst=16&amp;varaTst=0004"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51&amp;digitoTst=16&amp;anoTst=2011&amp;orgaoTst=5&amp;tribunalTst=24&amp;varaTst=000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B569-A298-42F4-B8C1-8C23E720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11331</CharactersWithSpaces>
  <SharedDoc>false</SharedDoc>
  <HLinks>
    <vt:vector size="30" baseType="variant">
      <vt:variant>
        <vt:i4>1376256</vt:i4>
      </vt:variant>
      <vt:variant>
        <vt:i4>12</vt:i4>
      </vt:variant>
      <vt:variant>
        <vt:i4>0</vt:i4>
      </vt:variant>
      <vt:variant>
        <vt:i4>5</vt:i4>
      </vt:variant>
      <vt:variant>
        <vt:lpwstr>https://aplicacao5.tst.jus.br/consultaProcessual/consultaTstNumUnica.do?consulta=Consultar&amp;conscsjt=&amp;numeroTst=17400&amp;digitoTst=43&amp;anoTst=2006&amp;orgaoTst=5&amp;tribunalTst=01&amp;varaTst=0073</vt:lpwstr>
      </vt:variant>
      <vt:variant>
        <vt:lpwstr/>
      </vt:variant>
      <vt:variant>
        <vt:i4>7143551</vt:i4>
      </vt:variant>
      <vt:variant>
        <vt:i4>9</vt:i4>
      </vt:variant>
      <vt:variant>
        <vt:i4>0</vt:i4>
      </vt:variant>
      <vt:variant>
        <vt:i4>5</vt:i4>
      </vt:variant>
      <vt:variant>
        <vt:lpwstr>https://aplicacao5.tst.jus.br/consultaProcessual/consultaTstNumUnica.do?consulta=Consultar&amp;conscsjt=&amp;numeroTst=2200&amp;digitoTst=43&amp;anoTst=2005&amp;orgaoTst=5&amp;tribunalTst=15&amp;varaTst=0072</vt:lpwstr>
      </vt:variant>
      <vt:variant>
        <vt:lpwstr/>
      </vt:variant>
      <vt:variant>
        <vt:i4>3014716</vt:i4>
      </vt:variant>
      <vt:variant>
        <vt:i4>6</vt:i4>
      </vt:variant>
      <vt:variant>
        <vt:i4>0</vt:i4>
      </vt:variant>
      <vt:variant>
        <vt:i4>5</vt:i4>
      </vt:variant>
      <vt:variant>
        <vt:lpwstr>https://aplicacao5.tst.jus.br/consultaProcessual/consultaTstNumUnica.do?consulta=Consultar&amp;conscsjt=&amp;numeroTst=400&amp;digitoTst=89&amp;anoTst=2007&amp;orgaoTst=5&amp;tribunalTst=16&amp;varaTst=0004</vt:lpwstr>
      </vt:variant>
      <vt:variant>
        <vt:lpwstr/>
      </vt:variant>
      <vt:variant>
        <vt:i4>6094923</vt:i4>
      </vt:variant>
      <vt:variant>
        <vt:i4>3</vt:i4>
      </vt:variant>
      <vt:variant>
        <vt:i4>0</vt:i4>
      </vt:variant>
      <vt:variant>
        <vt:i4>5</vt:i4>
      </vt:variant>
      <vt:variant>
        <vt:lpwstr>https://aplicacao5.tst.jus.br/consultaProcessual/consultaTstNumUnica.do?consulta=Consultar&amp;conscsjt=&amp;numeroTst=51&amp;digitoTst=16&amp;anoTst=2011&amp;orgaoTst=5&amp;tribunalTst=24&amp;varaTst=0007</vt:lpwstr>
      </vt:variant>
      <vt:variant>
        <vt:lpwstr/>
      </vt:variant>
      <vt:variant>
        <vt:i4>6946936</vt:i4>
      </vt:variant>
      <vt:variant>
        <vt:i4>0</vt:i4>
      </vt:variant>
      <vt:variant>
        <vt:i4>0</vt:i4>
      </vt:variant>
      <vt:variant>
        <vt:i4>5</vt:i4>
      </vt:variant>
      <vt:variant>
        <vt:lpwstr>https://aplicacao5.tst.jus.br/consultaProcessual/consultaTstNumUnica.do?consulta=Consultar&amp;conscsjt=&amp;numeroTst=2938&amp;digitoTst=13&amp;anoTst=2010&amp;orgaoTst=5&amp;tribunalTst=12&amp;varaTst=0016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2018-06-27T22:30:00Z</dcterms:created>
  <dcterms:modified xsi:type="dcterms:W3CDTF">2018-06-27T22:30:00Z</dcterms:modified>
</cp:coreProperties>
</file>