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C71A3B" w:rsidRPr="00CF61D9" w:rsidRDefault="00C71A3B" w:rsidP="00F82D8F">
      <w:pPr>
        <w:pStyle w:val="Corpo"/>
        <w:spacing w:line="240" w:lineRule="auto"/>
        <w:ind w:firstLine="0"/>
        <w:rPr>
          <w:rFonts w:ascii="Times New Roman" w:hAnsi="Times New Roman" w:cs="Times New Roman"/>
          <w:b/>
          <w:bCs/>
          <w:shadow/>
          <w:color w:val="auto"/>
          <w:sz w:val="10"/>
          <w:szCs w:val="10"/>
          <w:lang w:val="pt-BR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FE00AD" w:rsidRPr="005D1DE4" w:rsidRDefault="00FE00AD" w:rsidP="00F82D8F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170978" w:rsidRPr="00170978" w:rsidRDefault="00170978" w:rsidP="00170978">
      <w:pPr>
        <w:jc w:val="both"/>
        <w:rPr>
          <w:b/>
          <w:i/>
          <w:sz w:val="24"/>
          <w:szCs w:val="24"/>
        </w:rPr>
      </w:pPr>
      <w:r w:rsidRPr="00170978">
        <w:rPr>
          <w:b/>
          <w:i/>
          <w:sz w:val="24"/>
          <w:szCs w:val="24"/>
        </w:rPr>
        <w:t>Adicional de transferência. Indevido. Mudança única que perdurou por quase dois anos até a data da rescisão contratual. Caráter definitivo.</w:t>
      </w:r>
    </w:p>
    <w:p w:rsidR="00170978" w:rsidRDefault="00170978" w:rsidP="00170978">
      <w:pPr>
        <w:jc w:val="both"/>
        <w:rPr>
          <w:sz w:val="24"/>
          <w:szCs w:val="24"/>
          <w:u w:val="single"/>
        </w:rPr>
      </w:pPr>
      <w:r w:rsidRPr="00170978">
        <w:rPr>
          <w:sz w:val="24"/>
          <w:szCs w:val="24"/>
        </w:rPr>
        <w:t xml:space="preserve">Na hipótese em que o acórdão regional registra a existência de uma única transferência, que perdurou por quase dois anos até a data da rescisão contratual, resta demonstrado o caráter definitivo da mudança e a consequente ausência de direito ao adicional de transferência. Na espécie, não há falar em incidência da Orientação Jurisprudencial nº 113 da SBDI-I, porquanto o pressuposto apto a legitimar a percepção do adicional em tela é apenas a mudança provisória. Com esse entendimento, a SBDI-I, por unanimidade, não conheceu dos embargos. </w:t>
      </w:r>
      <w:hyperlink r:id="rId8" w:history="1">
        <w:r w:rsidRPr="0031758B">
          <w:rPr>
            <w:rStyle w:val="Hyperlink"/>
            <w:sz w:val="24"/>
            <w:szCs w:val="24"/>
          </w:rPr>
          <w:t>TST-E-E</w:t>
        </w:r>
        <w:r w:rsidRPr="0031758B">
          <w:rPr>
            <w:rStyle w:val="Hyperlink"/>
            <w:sz w:val="24"/>
            <w:szCs w:val="24"/>
          </w:rPr>
          <w:t>D</w:t>
        </w:r>
        <w:r w:rsidRPr="0031758B">
          <w:rPr>
            <w:rStyle w:val="Hyperlink"/>
            <w:sz w:val="24"/>
            <w:szCs w:val="24"/>
          </w:rPr>
          <w:t>-RR-91700-30.2001.5.04.0020</w:t>
        </w:r>
      </w:hyperlink>
      <w:r w:rsidRPr="00170978">
        <w:rPr>
          <w:sz w:val="24"/>
          <w:szCs w:val="24"/>
          <w:u w:val="single"/>
        </w:rPr>
        <w:t>, SBDI-I, rel. Min. Delaíde Miranda Arantes, 25.10.2012</w:t>
      </w:r>
    </w:p>
    <w:p w:rsidR="00023049" w:rsidRPr="00CF61D9" w:rsidRDefault="00023049" w:rsidP="00170978">
      <w:pPr>
        <w:jc w:val="both"/>
        <w:rPr>
          <w:sz w:val="10"/>
          <w:szCs w:val="10"/>
          <w:u w:val="single"/>
        </w:rPr>
      </w:pPr>
    </w:p>
    <w:p w:rsidR="00023049" w:rsidRPr="000F0A50" w:rsidRDefault="00023049" w:rsidP="00023049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</w:pPr>
      <w:r w:rsidRPr="000F0A50"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>Adicional de periculosidade. Motorista. Abastecimento do veículo e acompanhamento do abastecimento realizado por outrem.  Exposição a infla</w:t>
      </w:r>
      <w:r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>m</w:t>
      </w:r>
      <w:r w:rsidRPr="000F0A50"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>áveis.</w:t>
      </w:r>
      <w:r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 xml:space="preserve"> </w:t>
      </w:r>
    </w:p>
    <w:p w:rsidR="00023049" w:rsidRDefault="00023049" w:rsidP="00023049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u w:val="single"/>
          <w:lang w:val="pt-BR" w:eastAsia="en-US"/>
        </w:rPr>
      </w:pP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>Possui direito ao adicional de periculosidade o motorista responsável pelo abastecimento do veículo, por um período de t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empo não eventual ou esporádico</w:t>
      </w: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 xml:space="preserve">.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O referido adicional será indevido,</w:t>
      </w: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</w:t>
      </w: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 xml:space="preserve">ntretanto, se o motorista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somente</w:t>
      </w: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 xml:space="preserve"> acompanhar o abastecimento realizado por ou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trem</w:t>
      </w: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 xml:space="preserve">.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“</w:t>
      </w:r>
      <w:r w:rsidRPr="00F1362A">
        <w:rPr>
          <w:rFonts w:ascii="Times New Roman" w:eastAsia="Calibri" w:hAnsi="Times New Roman" w:cs="Times New Roman"/>
          <w:color w:val="auto"/>
          <w:lang w:val="pt-BR" w:eastAsia="en-US"/>
        </w:rPr>
        <w:t>In casu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”, o reclamante permanecia em área de risco, abastecendo ou acompanhando o abastecimento do veículo, duas a três vezes por semana, por dez a quinze minutos. Concluiu o relator, </w:t>
      </w:r>
      <w:r w:rsidRPr="00191EC7">
        <w:rPr>
          <w:rFonts w:ascii="Times New Roman" w:eastAsia="Calibri" w:hAnsi="Times New Roman" w:cs="Times New Roman"/>
          <w:color w:val="auto"/>
          <w:lang w:val="pt-BR" w:eastAsia="en-US"/>
        </w:rPr>
        <w:t>com base no Quadro 3 do Anexo 2 da NR 16 do M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TE</w:t>
      </w:r>
      <w:r w:rsidRPr="00191EC7">
        <w:rPr>
          <w:rFonts w:ascii="Times New Roman" w:eastAsia="Calibri" w:hAnsi="Times New Roman" w:cs="Times New Roman"/>
          <w:color w:val="auto"/>
          <w:lang w:val="pt-BR" w:eastAsia="en-US"/>
        </w:rPr>
        <w:t>,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que, n</w:t>
      </w:r>
      <w:r w:rsidRPr="00191EC7">
        <w:rPr>
          <w:rFonts w:ascii="Times New Roman" w:eastAsia="Calibri" w:hAnsi="Times New Roman" w:cs="Times New Roman"/>
          <w:color w:val="auto"/>
          <w:lang w:val="pt-BR" w:eastAsia="en-US"/>
        </w:rPr>
        <w:t xml:space="preserve">a hipótese em que o empregado abastece o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automóvel</w:t>
      </w:r>
      <w:r w:rsidRPr="00191EC7">
        <w:rPr>
          <w:rFonts w:ascii="Times New Roman" w:eastAsia="Calibri" w:hAnsi="Times New Roman" w:cs="Times New Roman"/>
          <w:color w:val="auto"/>
          <w:lang w:val="pt-BR" w:eastAsia="en-US"/>
        </w:rPr>
        <w:t>, a exposição ao risco decorre das próprias atividades por ele desenvolvidas, já que está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em </w:t>
      </w:r>
      <w:r w:rsidRPr="00191EC7">
        <w:rPr>
          <w:rFonts w:ascii="Times New Roman" w:eastAsia="Calibri" w:hAnsi="Times New Roman" w:cs="Times New Roman"/>
          <w:color w:val="auto"/>
          <w:lang w:val="pt-BR" w:eastAsia="en-US"/>
        </w:rPr>
        <w:t xml:space="preserve">contato direto com inflamáveis, de forma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não eventual ou esporádica</w:t>
      </w:r>
      <w:r w:rsidRPr="00191EC7">
        <w:rPr>
          <w:rFonts w:ascii="Times New Roman" w:eastAsia="Calibri" w:hAnsi="Times New Roman" w:cs="Times New Roman"/>
          <w:color w:val="auto"/>
          <w:lang w:val="pt-BR" w:eastAsia="en-US"/>
        </w:rPr>
        <w:t xml:space="preserve">. Por outro lado, no caso em que o motorista se atém a acompanhar o abastecimento do veículo,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prevalece</w:t>
      </w:r>
      <w:r w:rsidRPr="00191EC7">
        <w:rPr>
          <w:rFonts w:ascii="Times New Roman" w:eastAsia="Calibri" w:hAnsi="Times New Roman" w:cs="Times New Roman"/>
          <w:color w:val="auto"/>
          <w:lang w:val="pt-BR" w:eastAsia="en-US"/>
        </w:rPr>
        <w:t xml:space="preserve">, também com base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no </w:t>
      </w:r>
      <w:r w:rsidRPr="00191EC7">
        <w:rPr>
          <w:rFonts w:ascii="Times New Roman" w:eastAsia="Calibri" w:hAnsi="Times New Roman" w:cs="Times New Roman"/>
          <w:color w:val="auto"/>
          <w:lang w:val="pt-BR" w:eastAsia="en-US"/>
        </w:rPr>
        <w:t>Quadro 3 do Anexo 2 da NR 16 do M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T, </w:t>
      </w:r>
      <w:r w:rsidRPr="00191EC7">
        <w:rPr>
          <w:rFonts w:ascii="Times New Roman" w:eastAsia="Calibri" w:hAnsi="Times New Roman" w:cs="Times New Roman"/>
          <w:color w:val="auto"/>
          <w:lang w:val="pt-BR" w:eastAsia="en-US"/>
        </w:rPr>
        <w:t xml:space="preserve">o mesmo fundamento que levou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esta</w:t>
      </w:r>
      <w:r w:rsidRPr="00191EC7">
        <w:rPr>
          <w:rFonts w:ascii="Times New Roman" w:eastAsia="Calibri" w:hAnsi="Times New Roman" w:cs="Times New Roman"/>
          <w:color w:val="auto"/>
          <w:lang w:val="pt-BR" w:eastAsia="en-US"/>
        </w:rPr>
        <w:t xml:space="preserve"> Corte a pacificar entendimento no sentido de ser indevido adicional de periculosidade aos tripulantes que permaneçam no interior da aeronave durante o seu abastecimento.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Com esse posicionamento, a SBDI-I, por unanimidade, conheceu</w:t>
      </w: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 xml:space="preserve"> do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s</w:t>
      </w: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 xml:space="preserve"> embargos por divergência jurisprudencial e, no mérito, por maioria,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deu-lhes</w:t>
      </w: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 xml:space="preserve"> parcial provimento para restringir a condenação ao pagamento d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o</w:t>
      </w: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 xml:space="preserve"> adicional de periculosidade àqueles períodos em que o próprio reclamante abastecia o seu veículo,</w:t>
      </w:r>
      <w:r>
        <w:rPr>
          <w:lang w:val="pt-BR"/>
        </w:rPr>
        <w:t xml:space="preserve"> </w:t>
      </w: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 xml:space="preserve">excluídos os momentos em que ele apenas acompanhava o abastecimento, conforme se apurar em sede de execução. Vencidos, em parte,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os</w:t>
      </w: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 xml:space="preserve"> Ministros Ives Gandra Martins Filho e Aloysio Corrêa da Veiga, que davam provimento integral aos embargos, e, totalmente, os Ministros José Roberto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Freire</w:t>
      </w: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 xml:space="preserve"> Pimenta, Augusto César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Leite </w:t>
      </w:r>
      <w:r w:rsidRPr="005F6B69">
        <w:rPr>
          <w:rFonts w:ascii="Times New Roman" w:eastAsia="Calibri" w:hAnsi="Times New Roman" w:cs="Times New Roman"/>
          <w:color w:val="auto"/>
          <w:lang w:val="pt-BR" w:eastAsia="en-US"/>
        </w:rPr>
        <w:t>de Carvalho e Delaíde Miranda Arantes, que negavam provimento ao recurso.</w:t>
      </w:r>
      <w:r w:rsidRPr="00A22A3B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hyperlink r:id="rId9" w:history="1">
        <w:r w:rsidRPr="0031758B">
          <w:rPr>
            <w:rStyle w:val="Hyperlink"/>
            <w:rFonts w:ascii="Times New Roman" w:eastAsia="Calibri" w:hAnsi="Times New Roman"/>
            <w:lang w:val="pt-BR" w:eastAsia="en-US"/>
          </w:rPr>
          <w:t>TST-E-RR-123300-19.2005.5.15.0054</w:t>
        </w:r>
      </w:hyperlink>
      <w:r w:rsidRPr="005628A6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, SBDI-</w:t>
      </w:r>
      <w:r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I</w:t>
      </w:r>
      <w:r w:rsidRPr="005628A6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 xml:space="preserve">, rel. Min. </w:t>
      </w:r>
      <w:r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Renato de Lacerda Paiva</w:t>
      </w:r>
      <w:r w:rsidRPr="005628A6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 xml:space="preserve">, </w:t>
      </w:r>
      <w:r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25</w:t>
      </w:r>
      <w:r w:rsidRPr="005628A6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.10.2012</w:t>
      </w:r>
    </w:p>
    <w:p w:rsidR="00CF61D9" w:rsidRPr="00CF61D9" w:rsidRDefault="00CF61D9" w:rsidP="00023049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sz w:val="10"/>
          <w:szCs w:val="10"/>
          <w:u w:val="single"/>
          <w:lang w:val="pt-BR" w:eastAsia="en-US"/>
        </w:rPr>
      </w:pPr>
    </w:p>
    <w:p w:rsidR="00CF61D9" w:rsidRPr="00CF61D9" w:rsidRDefault="00CF61D9" w:rsidP="00CF61D9">
      <w:pPr>
        <w:jc w:val="both"/>
        <w:rPr>
          <w:b/>
          <w:i/>
          <w:sz w:val="24"/>
          <w:szCs w:val="24"/>
        </w:rPr>
      </w:pPr>
      <w:r w:rsidRPr="00CF61D9">
        <w:rPr>
          <w:b/>
          <w:i/>
          <w:sz w:val="24"/>
          <w:szCs w:val="24"/>
        </w:rPr>
        <w:t xml:space="preserve">Embargos. Contrariedade à Súmula nº 102, I, do TST. Possibilidade. Afirmação contrária ao teor do verbete. </w:t>
      </w:r>
    </w:p>
    <w:p w:rsidR="00CF61D9" w:rsidRDefault="00CF61D9" w:rsidP="00CF61D9">
      <w:pPr>
        <w:jc w:val="both"/>
        <w:rPr>
          <w:sz w:val="24"/>
          <w:szCs w:val="24"/>
          <w:u w:val="single"/>
        </w:rPr>
      </w:pPr>
      <w:r w:rsidRPr="00CF61D9">
        <w:rPr>
          <w:sz w:val="24"/>
          <w:szCs w:val="24"/>
        </w:rPr>
        <w:t xml:space="preserve">Excepcionalmente, admite-se o recurso de embargos, por contrariedade à Súmula nº 102, I, do TST, quando, na fundamentação do acórdão embargado, houver afirmação contrária ao teor do verbete. Assim, tendo a decisão do TRT revelado as reais atribuições da reclamante e, com base nelas, a enquadrado na exceção prevista no art. 224, § 2º da CLT, merece reforma a decisão turmária, que, não obstante a ausência de qualquer alegação que demandasse o revolvimento de matéria fática, não conheceu do recurso de revista, em razão do óbice da Súmula nº 102, I, do TST. Com esse </w:t>
      </w:r>
      <w:r w:rsidRPr="00CF61D9">
        <w:rPr>
          <w:sz w:val="24"/>
          <w:szCs w:val="24"/>
        </w:rPr>
        <w:lastRenderedPageBreak/>
        <w:t>entendimento, a SBDI-I, por maioria, conheceu dos embargos, por contrariedade à Súmula nº 102, I, do TST, e, no mérito,</w:t>
      </w:r>
      <w:r w:rsidRPr="00CF61D9">
        <w:rPr>
          <w:rFonts w:ascii="Verdana" w:hAnsi="Verdana"/>
          <w:color w:val="19478C"/>
          <w:sz w:val="24"/>
          <w:szCs w:val="24"/>
        </w:rPr>
        <w:t xml:space="preserve"> </w:t>
      </w:r>
      <w:r w:rsidRPr="00CF61D9">
        <w:rPr>
          <w:sz w:val="24"/>
          <w:szCs w:val="24"/>
        </w:rPr>
        <w:t xml:space="preserve">deu-lhes provimento para, verificando a ausência de fidúcia especial a justificar o enquadramento da reclamante na previsão do art. 224, § 2º da CLT, condenar a reclamada ao pagamento da 7ª e 8ª horas trabalhadas, como extras, restando autorizada a compensação da diferença da gratificação de função recebida, com as horas extraordinárias prestadas. Vencidos os Ministros Ives Gandra Martins Filho, Brito Pereira, Dora Maria da Costa e José Roberto Freire Pimenta. </w:t>
      </w:r>
      <w:hyperlink r:id="rId10" w:history="1">
        <w:r w:rsidRPr="0031758B">
          <w:rPr>
            <w:rStyle w:val="Hyperlink"/>
            <w:sz w:val="24"/>
            <w:szCs w:val="24"/>
          </w:rPr>
          <w:t>TST-E-RR-673-59.2011.5.03.0014</w:t>
        </w:r>
      </w:hyperlink>
      <w:r w:rsidRPr="00CF61D9">
        <w:rPr>
          <w:sz w:val="24"/>
          <w:szCs w:val="24"/>
          <w:u w:val="single"/>
        </w:rPr>
        <w:t>, SBDI-I, rel. Min. Alberto Luiz Bresciani de Fontan Pereira, 25.10.2012</w:t>
      </w:r>
    </w:p>
    <w:p w:rsidR="00CF61D9" w:rsidRPr="00CF61D9" w:rsidRDefault="00CF61D9" w:rsidP="00CF61D9">
      <w:pPr>
        <w:jc w:val="both"/>
        <w:rPr>
          <w:sz w:val="10"/>
          <w:szCs w:val="10"/>
          <w:u w:val="single"/>
        </w:rPr>
      </w:pPr>
    </w:p>
    <w:p w:rsidR="00CF61D9" w:rsidRDefault="00CF61D9" w:rsidP="00CF61D9">
      <w:pPr>
        <w:pStyle w:val="coletanea"/>
        <w:rPr>
          <w:rFonts w:eastAsia="Calibri"/>
          <w:lang w:eastAsia="en-US"/>
        </w:rPr>
      </w:pPr>
      <w:r w:rsidRPr="00B316B9">
        <w:rPr>
          <w:b/>
          <w:i/>
          <w:sz w:val="24"/>
          <w:szCs w:val="24"/>
        </w:rPr>
        <w:t xml:space="preserve">CEF. Gerente. </w:t>
      </w:r>
      <w:r>
        <w:rPr>
          <w:b/>
          <w:i/>
          <w:sz w:val="24"/>
          <w:szCs w:val="24"/>
        </w:rPr>
        <w:t>Criação da parcela denominada “</w:t>
      </w:r>
      <w:r w:rsidRPr="00B316B9">
        <w:rPr>
          <w:b/>
          <w:i/>
          <w:sz w:val="24"/>
          <w:szCs w:val="24"/>
        </w:rPr>
        <w:t>Complement</w:t>
      </w:r>
      <w:r>
        <w:rPr>
          <w:b/>
          <w:i/>
          <w:sz w:val="24"/>
          <w:szCs w:val="24"/>
        </w:rPr>
        <w:t>o Temporário Variável de Ajuste ao Piso de Mercado”. Adoção de critério geográfico. Afronta ao princípio da isonomia. Não configuração.</w:t>
      </w:r>
    </w:p>
    <w:p w:rsidR="00CF61D9" w:rsidRDefault="00CF61D9" w:rsidP="00CF61D9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sz w:val="22"/>
          <w:u w:val="single"/>
          <w:lang w:val="pt-BR" w:eastAsia="en-US"/>
        </w:rPr>
      </w:pPr>
      <w:r w:rsidRPr="00F70E7F">
        <w:rPr>
          <w:rFonts w:ascii="Times New Roman" w:eastAsia="Calibri" w:hAnsi="Times New Roman" w:cs="Times New Roman"/>
          <w:color w:val="auto"/>
          <w:lang w:val="pt-BR" w:eastAsia="en-US"/>
        </w:rPr>
        <w:t>Não afronta o princípio da isono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mia o pagamento da par</w:t>
      </w:r>
      <w:r w:rsidRPr="00F70E7F">
        <w:rPr>
          <w:rFonts w:ascii="Times New Roman" w:eastAsia="Calibri" w:hAnsi="Times New Roman" w:cs="Times New Roman"/>
          <w:color w:val="auto"/>
          <w:lang w:val="pt-BR" w:eastAsia="en-US"/>
        </w:rPr>
        <w:t xml:space="preserve">cela denominada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“</w:t>
      </w:r>
      <w:r w:rsidRPr="00F70E7F">
        <w:rPr>
          <w:rFonts w:ascii="Times New Roman" w:eastAsia="Calibri" w:hAnsi="Times New Roman" w:cs="Times New Roman"/>
          <w:color w:val="auto"/>
          <w:lang w:val="pt-BR" w:eastAsia="en-US"/>
        </w:rPr>
        <w:t>Complemento Temporário Variáv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el de Ajuste ao Piso de Mercado”</w:t>
      </w:r>
      <w:r w:rsidRPr="00F70E7F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- </w:t>
      </w:r>
      <w:r w:rsidRPr="00F70E7F">
        <w:rPr>
          <w:rFonts w:ascii="Times New Roman" w:eastAsia="Calibri" w:hAnsi="Times New Roman" w:cs="Times New Roman"/>
          <w:color w:val="auto"/>
          <w:lang w:val="pt-BR" w:eastAsia="en-US"/>
        </w:rPr>
        <w:t xml:space="preserve">CTVA, de forma diferenciada, aos ocupantes de cargos de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gerência da Caixa Econômica Federal - CEF, por observar o critério objetivo</w:t>
      </w:r>
      <w:r w:rsidRPr="00F70E7F">
        <w:rPr>
          <w:rFonts w:ascii="Times New Roman" w:eastAsia="Calibri" w:hAnsi="Times New Roman" w:cs="Times New Roman"/>
          <w:color w:val="auto"/>
          <w:lang w:val="pt-BR" w:eastAsia="en-US"/>
        </w:rPr>
        <w:t xml:space="preserve"> de l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oca</w:t>
      </w:r>
      <w:r w:rsidRPr="00F70E7F">
        <w:rPr>
          <w:rFonts w:ascii="Times New Roman" w:eastAsia="Calibri" w:hAnsi="Times New Roman" w:cs="Times New Roman"/>
          <w:color w:val="auto"/>
          <w:lang w:val="pt-BR" w:eastAsia="en-US"/>
        </w:rPr>
        <w:t>lização geográfi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ca das </w:t>
      </w:r>
      <w:r w:rsidRPr="00F70E7F">
        <w:rPr>
          <w:rFonts w:ascii="Times New Roman" w:eastAsia="Calibri" w:hAnsi="Times New Roman" w:cs="Times New Roman"/>
          <w:color w:val="auto"/>
          <w:lang w:val="pt-BR" w:eastAsia="en-US"/>
        </w:rPr>
        <w:t>agências bancárias.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Com esse entendimento, a SBDI-I, por unanimidade, conheceu dos embargos por divergência jurisprudencial e, no mérito, negou-lhes provimento</w:t>
      </w:r>
      <w:r w:rsidRPr="007B5D33">
        <w:rPr>
          <w:rFonts w:ascii="Times New Roman" w:eastAsia="Calibri" w:hAnsi="Times New Roman" w:cs="Times New Roman"/>
          <w:color w:val="auto"/>
          <w:lang w:val="pt-BR" w:eastAsia="en-US"/>
        </w:rPr>
        <w:t>. Na espécie, ressaltou-se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ainda, a impossibilidade de se conhecer dos recursos de embargos por </w:t>
      </w:r>
      <w:r w:rsidRPr="007B5D33">
        <w:rPr>
          <w:rFonts w:ascii="Times New Roman" w:eastAsia="Calibri" w:hAnsi="Times New Roman" w:cs="Times New Roman"/>
          <w:color w:val="auto"/>
          <w:lang w:val="pt-BR" w:eastAsia="en-US"/>
        </w:rPr>
        <w:t>contrariedade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às Súmulas nº</w:t>
      </w:r>
      <w:r w:rsidRPr="00B10B14">
        <w:rPr>
          <w:rFonts w:ascii="Times New Roman" w:eastAsia="Calibri" w:hAnsi="Times New Roman" w:cs="Times New Roman"/>
          <w:color w:val="auto"/>
          <w:vertAlign w:val="superscript"/>
          <w:lang w:val="pt-BR" w:eastAsia="en-US"/>
        </w:rPr>
        <w:t xml:space="preserve">s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23 e 296 do TST, </w:t>
      </w:r>
      <w:r w:rsidRPr="007B5D33">
        <w:rPr>
          <w:rFonts w:ascii="Times New Roman" w:eastAsia="Calibri" w:hAnsi="Times New Roman" w:cs="Times New Roman"/>
          <w:color w:val="auto"/>
          <w:lang w:val="pt-BR" w:eastAsia="en-US"/>
        </w:rPr>
        <w:t>na medida em que, mesmo na vigê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ncia da redação anterior</w:t>
      </w:r>
      <w:r w:rsidRPr="007B5D33">
        <w:rPr>
          <w:rFonts w:ascii="Times New Roman" w:eastAsia="Calibri" w:hAnsi="Times New Roman" w:cs="Times New Roman"/>
          <w:color w:val="auto"/>
          <w:lang w:val="pt-BR" w:eastAsia="en-US"/>
        </w:rPr>
        <w:t xml:space="preserve"> do art. 894 da CLT,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a jurisprudência desta Corte já se tinha consolidado no sentido de que “n</w:t>
      </w:r>
      <w:r w:rsidRPr="00394CDF">
        <w:rPr>
          <w:rFonts w:ascii="Times New Roman" w:eastAsia="Calibri" w:hAnsi="Times New Roman" w:cs="Times New Roman"/>
          <w:color w:val="auto"/>
          <w:lang w:val="pt-BR" w:eastAsia="en-US"/>
        </w:rPr>
        <w:t>ão ofende o art. 896 da CLT decisão de Turma que, examinando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394CDF">
        <w:rPr>
          <w:rFonts w:ascii="Times New Roman" w:eastAsia="Calibri" w:hAnsi="Times New Roman" w:cs="Times New Roman"/>
          <w:color w:val="auto"/>
          <w:lang w:val="pt-BR" w:eastAsia="en-US"/>
        </w:rPr>
        <w:t>premissas concretas de especificidade da divergência colacionada no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apelo revisional, </w:t>
      </w:r>
      <w:r w:rsidRPr="00394CDF">
        <w:rPr>
          <w:rFonts w:ascii="Times New Roman" w:eastAsia="Calibri" w:hAnsi="Times New Roman" w:cs="Times New Roman"/>
          <w:color w:val="auto"/>
          <w:lang w:val="pt-BR" w:eastAsia="en-US"/>
        </w:rPr>
        <w:t>conclui pelo conhecimento ou desconhecimento do recurso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”(Súmula nº 296, II, do TST). </w:t>
      </w:r>
      <w:hyperlink r:id="rId11" w:history="1">
        <w:r w:rsidRPr="0031758B">
          <w:rPr>
            <w:rStyle w:val="Hyperlink"/>
            <w:rFonts w:ascii="Times New Roman" w:eastAsia="Calibri" w:hAnsi="Times New Roman"/>
            <w:sz w:val="22"/>
            <w:lang w:val="pt-BR" w:eastAsia="en-US"/>
          </w:rPr>
          <w:t>TST-E-ED-RR-105900-69.2007.5.07.0013</w:t>
        </w:r>
      </w:hyperlink>
      <w:r w:rsidRPr="00621116">
        <w:rPr>
          <w:rFonts w:ascii="Times New Roman" w:eastAsia="Calibri" w:hAnsi="Times New Roman" w:cs="Times New Roman"/>
          <w:color w:val="auto"/>
          <w:sz w:val="22"/>
          <w:u w:val="single"/>
          <w:lang w:val="pt-BR" w:eastAsia="en-US"/>
        </w:rPr>
        <w:t>, SBDI-</w:t>
      </w:r>
      <w:r>
        <w:rPr>
          <w:rFonts w:ascii="Times New Roman" w:eastAsia="Calibri" w:hAnsi="Times New Roman" w:cs="Times New Roman"/>
          <w:color w:val="auto"/>
          <w:sz w:val="22"/>
          <w:u w:val="single"/>
          <w:lang w:val="pt-BR" w:eastAsia="en-US"/>
        </w:rPr>
        <w:t>I</w:t>
      </w:r>
      <w:r w:rsidRPr="00621116">
        <w:rPr>
          <w:rFonts w:ascii="Times New Roman" w:eastAsia="Calibri" w:hAnsi="Times New Roman" w:cs="Times New Roman"/>
          <w:color w:val="auto"/>
          <w:sz w:val="22"/>
          <w:u w:val="single"/>
          <w:lang w:val="pt-BR" w:eastAsia="en-US"/>
        </w:rPr>
        <w:t xml:space="preserve">, rel. Min. Aloysio Corrêa da Veiga, </w:t>
      </w:r>
      <w:r>
        <w:rPr>
          <w:rFonts w:ascii="Times New Roman" w:eastAsia="Calibri" w:hAnsi="Times New Roman" w:cs="Times New Roman"/>
          <w:color w:val="auto"/>
          <w:sz w:val="22"/>
          <w:u w:val="single"/>
          <w:lang w:val="pt-BR" w:eastAsia="en-US"/>
        </w:rPr>
        <w:t>25</w:t>
      </w:r>
      <w:r w:rsidRPr="00621116">
        <w:rPr>
          <w:rFonts w:ascii="Times New Roman" w:eastAsia="Calibri" w:hAnsi="Times New Roman" w:cs="Times New Roman"/>
          <w:color w:val="auto"/>
          <w:sz w:val="22"/>
          <w:u w:val="single"/>
          <w:lang w:val="pt-BR" w:eastAsia="en-US"/>
        </w:rPr>
        <w:t>.</w:t>
      </w:r>
      <w:r>
        <w:rPr>
          <w:rFonts w:ascii="Times New Roman" w:eastAsia="Calibri" w:hAnsi="Times New Roman" w:cs="Times New Roman"/>
          <w:color w:val="auto"/>
          <w:sz w:val="22"/>
          <w:u w:val="single"/>
          <w:lang w:val="pt-BR" w:eastAsia="en-US"/>
        </w:rPr>
        <w:t>10.</w:t>
      </w:r>
      <w:r w:rsidRPr="00621116">
        <w:rPr>
          <w:rFonts w:ascii="Times New Roman" w:eastAsia="Calibri" w:hAnsi="Times New Roman" w:cs="Times New Roman"/>
          <w:color w:val="auto"/>
          <w:sz w:val="22"/>
          <w:u w:val="single"/>
          <w:lang w:val="pt-BR" w:eastAsia="en-US"/>
        </w:rPr>
        <w:t>201</w:t>
      </w:r>
      <w:r>
        <w:rPr>
          <w:rFonts w:ascii="Times New Roman" w:eastAsia="Calibri" w:hAnsi="Times New Roman" w:cs="Times New Roman"/>
          <w:color w:val="auto"/>
          <w:sz w:val="22"/>
          <w:u w:val="single"/>
          <w:lang w:val="pt-BR" w:eastAsia="en-US"/>
        </w:rPr>
        <w:t>2</w:t>
      </w:r>
    </w:p>
    <w:p w:rsidR="00EE310B" w:rsidRPr="00EB5696" w:rsidRDefault="00EE310B" w:rsidP="00CF61D9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sz w:val="10"/>
          <w:szCs w:val="10"/>
          <w:u w:val="single"/>
          <w:lang w:val="pt-BR" w:eastAsia="en-US"/>
        </w:rPr>
      </w:pPr>
    </w:p>
    <w:p w:rsidR="00EE310B" w:rsidRDefault="00EE310B" w:rsidP="00EB569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Sindicato. Substituto processual. Honorários advocatícios. Deferimento pela mera sucumbência. Ausência de pedido expresso nas razões recursais. Primeiro provimento favorável no julgamento da revista. </w:t>
      </w:r>
    </w:p>
    <w:p w:rsidR="00EE310B" w:rsidRDefault="00EE310B" w:rsidP="00EB569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Os honorários advocatícios a que se refere o item III da Súmula nº 219 do TST são devidos pela mera sucumbência, restando desnecessária a formulação expressa de pedido nas razões recursais, mormente porque, no caso, a verba honorária foi postulada na inicial da reclamação trabalhista, e o Sindicato, atuando na condição de substituto processual, somente obteve o primeiro provimento favorável no julgamento do recurso de revista. Com esse entendimento, a SBDI-I, por unanimidade, conheceu dos embargos do Sindicato, por divergência jurisprudencial, e, no mérito, por maioria, vencidos os Ministros Ives Gandra Martins Filho e Brito Pereira, deu-lhes provimento para condenar a reclamada ao pagamento dos honorários advocatícios, no importe de 15% sobre o valor da condenação. </w:t>
      </w:r>
      <w:hyperlink r:id="rId12" w:history="1">
        <w:r w:rsidRPr="00EB5696">
          <w:rPr>
            <w:rStyle w:val="Hyperlink"/>
            <w:sz w:val="24"/>
            <w:szCs w:val="24"/>
          </w:rPr>
          <w:t>TST-E-ED-ED-RR-27301-72.2005.5.05.0133</w:t>
        </w:r>
      </w:hyperlink>
      <w:r w:rsidRPr="009D56C4">
        <w:rPr>
          <w:sz w:val="24"/>
          <w:szCs w:val="24"/>
          <w:u w:val="single"/>
        </w:rPr>
        <w:t>, SBDI-I, rel. Min. Aloysio Corrêa da Veiga, 25.10.2012</w:t>
      </w:r>
    </w:p>
    <w:p w:rsidR="00EE310B" w:rsidRPr="00EB5696" w:rsidRDefault="00EE310B" w:rsidP="00EE310B">
      <w:pPr>
        <w:ind w:right="-567"/>
        <w:jc w:val="both"/>
        <w:rPr>
          <w:sz w:val="10"/>
          <w:szCs w:val="10"/>
          <w:u w:val="single"/>
        </w:rPr>
      </w:pPr>
    </w:p>
    <w:p w:rsidR="00EE310B" w:rsidRDefault="00EE310B" w:rsidP="00EB569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Honorários advocatícios. Ação de indenização por danos morais e materiais decorrentes de acidente de trabalho. Ajuizamento da ação na Justiça comum antes da EC </w:t>
      </w:r>
      <w:r w:rsidRPr="0005165A">
        <w:rPr>
          <w:b/>
          <w:i/>
          <w:sz w:val="24"/>
          <w:szCs w:val="24"/>
        </w:rPr>
        <w:t xml:space="preserve">nº </w:t>
      </w:r>
      <w:r>
        <w:rPr>
          <w:b/>
          <w:i/>
          <w:sz w:val="24"/>
          <w:szCs w:val="24"/>
        </w:rPr>
        <w:t xml:space="preserve">45/2004. Desnecessidade de preenchimento dos requisitos da Lei nº 5.584/70. </w:t>
      </w:r>
    </w:p>
    <w:p w:rsidR="00EE310B" w:rsidRDefault="00EE310B" w:rsidP="00EB569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 deferimento dos </w:t>
      </w:r>
      <w:r w:rsidRPr="00235789">
        <w:rPr>
          <w:sz w:val="24"/>
          <w:szCs w:val="24"/>
        </w:rPr>
        <w:t xml:space="preserve">honorários advocatícios </w:t>
      </w:r>
      <w:r>
        <w:rPr>
          <w:sz w:val="24"/>
          <w:szCs w:val="24"/>
        </w:rPr>
        <w:t xml:space="preserve">pela </w:t>
      </w:r>
      <w:r w:rsidRPr="00235789">
        <w:rPr>
          <w:sz w:val="24"/>
          <w:szCs w:val="24"/>
        </w:rPr>
        <w:t>Justiça do Trabalh</w:t>
      </w:r>
      <w:r>
        <w:rPr>
          <w:sz w:val="24"/>
          <w:szCs w:val="24"/>
        </w:rPr>
        <w:t>o, em ação ajuizada na Justiça c</w:t>
      </w:r>
      <w:r w:rsidRPr="00235789">
        <w:rPr>
          <w:sz w:val="24"/>
          <w:szCs w:val="24"/>
        </w:rPr>
        <w:t>omum, antes da vigência da</w:t>
      </w:r>
      <w:r>
        <w:rPr>
          <w:sz w:val="24"/>
          <w:szCs w:val="24"/>
        </w:rPr>
        <w:t xml:space="preserve"> EC </w:t>
      </w:r>
      <w:r w:rsidRPr="00235789">
        <w:rPr>
          <w:sz w:val="24"/>
          <w:szCs w:val="24"/>
        </w:rPr>
        <w:t xml:space="preserve">nº 45/2004, </w:t>
      </w:r>
      <w:r>
        <w:rPr>
          <w:sz w:val="24"/>
          <w:szCs w:val="24"/>
        </w:rPr>
        <w:t xml:space="preserve">em que </w:t>
      </w:r>
      <w:r w:rsidRPr="00235789">
        <w:rPr>
          <w:sz w:val="24"/>
          <w:szCs w:val="24"/>
        </w:rPr>
        <w:t>se pleiteia indenização por dano</w:t>
      </w:r>
      <w:r>
        <w:rPr>
          <w:sz w:val="24"/>
          <w:szCs w:val="24"/>
        </w:rPr>
        <w:t xml:space="preserve">s morais e materiais </w:t>
      </w:r>
      <w:r w:rsidRPr="00235789">
        <w:rPr>
          <w:sz w:val="24"/>
          <w:szCs w:val="24"/>
        </w:rPr>
        <w:t xml:space="preserve">em </w:t>
      </w:r>
      <w:r>
        <w:rPr>
          <w:sz w:val="24"/>
          <w:szCs w:val="24"/>
        </w:rPr>
        <w:t xml:space="preserve">razão de acidente de trabalho, </w:t>
      </w:r>
      <w:r w:rsidRPr="00235789">
        <w:rPr>
          <w:sz w:val="24"/>
          <w:szCs w:val="24"/>
        </w:rPr>
        <w:t>não se sujeita aos re</w:t>
      </w:r>
      <w:r>
        <w:rPr>
          <w:sz w:val="24"/>
          <w:szCs w:val="24"/>
        </w:rPr>
        <w:t>quisitos da Lei nº 5.584/70 e da Súmula nº</w:t>
      </w:r>
      <w:r w:rsidRPr="00235789">
        <w:rPr>
          <w:sz w:val="24"/>
          <w:szCs w:val="24"/>
        </w:rPr>
        <w:t xml:space="preserve"> 219 </w:t>
      </w:r>
      <w:r>
        <w:rPr>
          <w:sz w:val="24"/>
          <w:szCs w:val="24"/>
        </w:rPr>
        <w:t xml:space="preserve">do TST. Com base nesse entendimento, a SBDI-I, pelo voto prevalente da Presidência, conheceu dos embargos, por contrariedade à Súmula nº 219 do TST, porque mal aplicada, e, no mérito, deu-lhes provimento para restabelecer o acórdão do Regional quanto ao deferimento de honorários advocatícios. No que tange ao conhecimento, o relator destacou que, apesar de a alegação relativa ao ajuizamento da ação na Justiça comum apenas ter sido articulada pela então recorrida nas razões dos embargos de declaração em recurso de revista, a questão foi prequestionada explicitamente, não havendo falar em negativa de prestação jurisdicional. Entendendo de forma diversa, o Ministro João Oreste Dalazen afirmou que houve prequestionamento implícito, pois a questão de direito foi suscitada na via integrativa, contudo não </w:t>
      </w:r>
      <w:r>
        <w:rPr>
          <w:sz w:val="24"/>
          <w:szCs w:val="24"/>
        </w:rPr>
        <w:lastRenderedPageBreak/>
        <w:t>foi apreciada pela Turma de origem.  Vencidos os Ministros Brito Pereira, Maria Cristina Irigoyen Peduzzi, Renato de Lacerda Paiva, Luiz Philippe Vieira de Mello Filho, Dora Maria da Costa e José Roberto Freire Pimenta.</w:t>
      </w:r>
      <w:r w:rsidRPr="003D032E">
        <w:rPr>
          <w:sz w:val="24"/>
          <w:szCs w:val="24"/>
        </w:rPr>
        <w:t xml:space="preserve"> </w:t>
      </w:r>
      <w:hyperlink r:id="rId13" w:history="1">
        <w:r w:rsidRPr="00EB5696">
          <w:rPr>
            <w:rStyle w:val="Hyperlink"/>
            <w:sz w:val="24"/>
            <w:szCs w:val="24"/>
          </w:rPr>
          <w:t>TST-EEDRR-99700-47.2005.5.04.0030</w:t>
        </w:r>
      </w:hyperlink>
      <w:r w:rsidRPr="003D032E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 xml:space="preserve">SBDI-I, rel. </w:t>
      </w:r>
      <w:r w:rsidRPr="003D032E">
        <w:rPr>
          <w:sz w:val="24"/>
          <w:szCs w:val="24"/>
          <w:u w:val="single"/>
        </w:rPr>
        <w:t>Min.</w:t>
      </w:r>
      <w:r>
        <w:rPr>
          <w:sz w:val="24"/>
          <w:szCs w:val="24"/>
          <w:u w:val="single"/>
        </w:rPr>
        <w:t xml:space="preserve"> Augusto César Leite de Carvalho, 25.10.2012</w:t>
      </w:r>
    </w:p>
    <w:p w:rsidR="00EE310B" w:rsidRPr="00EB5696" w:rsidRDefault="00EE310B" w:rsidP="00EE310B">
      <w:pPr>
        <w:ind w:right="-567"/>
        <w:jc w:val="both"/>
        <w:rPr>
          <w:sz w:val="10"/>
          <w:szCs w:val="10"/>
        </w:rPr>
      </w:pPr>
    </w:p>
    <w:p w:rsidR="00EB5696" w:rsidRDefault="00EB5696" w:rsidP="00EB5696">
      <w:pPr>
        <w:jc w:val="both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Acidente do trabalho. Morte do empregado. Indenização por danos morais e materiais. Ambiente de trabalho. Negligência. Responsabilidade do empregador. </w:t>
      </w:r>
    </w:p>
    <w:p w:rsidR="00EB5696" w:rsidRDefault="00EB5696" w:rsidP="00EB5696">
      <w:pPr>
        <w:jc w:val="both"/>
      </w:pPr>
      <w:r>
        <w:rPr>
          <w:sz w:val="24"/>
          <w:szCs w:val="24"/>
        </w:rPr>
        <w:t>Havendo</w:t>
      </w:r>
      <w:r w:rsidRPr="00F63F7C">
        <w:rPr>
          <w:sz w:val="24"/>
          <w:szCs w:val="24"/>
        </w:rPr>
        <w:t xml:space="preserve"> negligência do empregador com o ambiente de trabalho e a segurança do trabalhador, não se pode retirar a responsabilidade </w:t>
      </w:r>
      <w:r>
        <w:rPr>
          <w:sz w:val="24"/>
          <w:szCs w:val="24"/>
        </w:rPr>
        <w:t>da empresa, ainda que comprovada</w:t>
      </w:r>
      <w:r w:rsidRPr="00F63F7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F63F7C">
        <w:rPr>
          <w:sz w:val="24"/>
          <w:szCs w:val="24"/>
        </w:rPr>
        <w:t xml:space="preserve"> culpa concorrente da vítima. Na hipótese, o </w:t>
      </w:r>
      <w:r>
        <w:rPr>
          <w:sz w:val="24"/>
          <w:szCs w:val="24"/>
        </w:rPr>
        <w:t>empregado</w:t>
      </w:r>
      <w:r w:rsidRPr="00F63F7C">
        <w:rPr>
          <w:sz w:val="24"/>
          <w:szCs w:val="24"/>
        </w:rPr>
        <w:t xml:space="preserve"> rural</w:t>
      </w:r>
      <w:r>
        <w:rPr>
          <w:sz w:val="24"/>
          <w:szCs w:val="24"/>
        </w:rPr>
        <w:t>,</w:t>
      </w:r>
      <w:r w:rsidRPr="00F63F7C">
        <w:rPr>
          <w:sz w:val="24"/>
          <w:szCs w:val="24"/>
        </w:rPr>
        <w:t xml:space="preserve"> que exercia a atividade de </w:t>
      </w:r>
      <w:r>
        <w:rPr>
          <w:sz w:val="24"/>
          <w:szCs w:val="24"/>
        </w:rPr>
        <w:t>“</w:t>
      </w:r>
      <w:r w:rsidRPr="00F63F7C">
        <w:rPr>
          <w:sz w:val="24"/>
          <w:szCs w:val="24"/>
        </w:rPr>
        <w:t>bituqueiro</w:t>
      </w:r>
      <w:r>
        <w:rPr>
          <w:sz w:val="24"/>
          <w:szCs w:val="24"/>
        </w:rPr>
        <w:t>”</w:t>
      </w:r>
      <w:r w:rsidRPr="00F63F7C">
        <w:rPr>
          <w:sz w:val="24"/>
          <w:szCs w:val="24"/>
        </w:rPr>
        <w:t>, ou seja, recolhia a cana-de-açúcar que a máquina dei</w:t>
      </w:r>
      <w:r>
        <w:rPr>
          <w:sz w:val="24"/>
          <w:szCs w:val="24"/>
        </w:rPr>
        <w:t xml:space="preserve">xava de colocar no caminhão, </w:t>
      </w:r>
      <w:r w:rsidRPr="00F63F7C">
        <w:rPr>
          <w:sz w:val="24"/>
          <w:szCs w:val="24"/>
        </w:rPr>
        <w:t>foi atropelado p</w:t>
      </w:r>
      <w:r>
        <w:rPr>
          <w:sz w:val="24"/>
          <w:szCs w:val="24"/>
        </w:rPr>
        <w:t>or</w:t>
      </w:r>
      <w:r w:rsidRPr="00F63F7C">
        <w:rPr>
          <w:sz w:val="24"/>
          <w:szCs w:val="24"/>
        </w:rPr>
        <w:t xml:space="preserve"> veículo da empresa que fazia manobra</w:t>
      </w:r>
      <w:r>
        <w:rPr>
          <w:sz w:val="24"/>
          <w:szCs w:val="24"/>
        </w:rPr>
        <w:t>, enquanto descansava, de madrugada, sobre a cana cortada, vindo a falecer</w:t>
      </w:r>
      <w:r w:rsidRPr="00F63F7C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Não obstante </w:t>
      </w:r>
      <w:r w:rsidRPr="00F63F7C">
        <w:rPr>
          <w:sz w:val="24"/>
          <w:szCs w:val="24"/>
        </w:rPr>
        <w:t xml:space="preserve">o quadro fático delineado nos autos revelar </w:t>
      </w:r>
      <w:r>
        <w:rPr>
          <w:sz w:val="24"/>
          <w:szCs w:val="24"/>
        </w:rPr>
        <w:t xml:space="preserve">que houve o fornecimento dos </w:t>
      </w:r>
      <w:r w:rsidRPr="00F63F7C">
        <w:rPr>
          <w:sz w:val="24"/>
          <w:szCs w:val="24"/>
        </w:rPr>
        <w:t>equipamentos de segurança</w:t>
      </w:r>
      <w:r>
        <w:rPr>
          <w:sz w:val="24"/>
          <w:szCs w:val="24"/>
        </w:rPr>
        <w:t xml:space="preserve"> ao trabalhador acidentado, e que as reclamadas ministravam treinamento a todos os contratados e os alertavam </w:t>
      </w:r>
      <w:r w:rsidRPr="00F63F7C">
        <w:rPr>
          <w:sz w:val="24"/>
          <w:szCs w:val="24"/>
        </w:rPr>
        <w:t>a não dormir na lavoura,</w:t>
      </w:r>
      <w:r>
        <w:rPr>
          <w:sz w:val="24"/>
          <w:szCs w:val="24"/>
        </w:rPr>
        <w:t xml:space="preserve"> ressaltou-se</w:t>
      </w:r>
      <w:r w:rsidRPr="00F63F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não ser </w:t>
      </w:r>
      <w:r w:rsidRPr="00F63F7C">
        <w:rPr>
          <w:sz w:val="24"/>
          <w:szCs w:val="24"/>
        </w:rPr>
        <w:t>viável, no caso, atribuir culpa exclusiva à vítima</w:t>
      </w:r>
      <w:r>
        <w:rPr>
          <w:sz w:val="24"/>
          <w:szCs w:val="24"/>
        </w:rPr>
        <w:t>. S</w:t>
      </w:r>
      <w:r w:rsidRPr="00F63F7C">
        <w:rPr>
          <w:sz w:val="24"/>
          <w:szCs w:val="24"/>
        </w:rPr>
        <w:t>e a atividade demanda descanso, cabe ao empregador atribuir local seguro para o momento de pausa</w:t>
      </w:r>
      <w:r>
        <w:rPr>
          <w:sz w:val="24"/>
          <w:szCs w:val="24"/>
        </w:rPr>
        <w:t>, adotando critérios de prudência e vigilância, a fim de evitar o dano, ainda que potencial, especialmente quando o trabalho é prestado em ambiente adverso, de difícil acesso e de baixa visibilidade, a exemplo da lavoura de cana-de-açúcar</w:t>
      </w:r>
      <w:r w:rsidRPr="00F63F7C">
        <w:rPr>
          <w:sz w:val="24"/>
          <w:szCs w:val="24"/>
        </w:rPr>
        <w:t>. Com esse entendimento, a SBDI-I, por maioria, vencido o Ministro Renato de Lacerda Paiva, conheceu dos embargos, por divergência jurisprudencial, e, no mérito, ainda por maioria, negou-lhes provimento,</w:t>
      </w:r>
      <w:r>
        <w:rPr>
          <w:sz w:val="24"/>
          <w:szCs w:val="24"/>
        </w:rPr>
        <w:t xml:space="preserve"> mantendo a decisão turmária, que conheceu do recurso de revista por violação do art. 927 do CC, e, no mérito, deu-lhe parcial provimento para condenar as rés, solidariamente, ao pagamento de indenização pelo dano moral e de pensão mensal, a título de dano material. V</w:t>
      </w:r>
      <w:r w:rsidRPr="00F63F7C">
        <w:rPr>
          <w:sz w:val="24"/>
          <w:szCs w:val="24"/>
        </w:rPr>
        <w:t>encidos os Ministros Ives Gandra Martins Filho, Brito Pereira e Maria Cristina Irigoyen Peduzzi</w:t>
      </w:r>
      <w:r>
        <w:rPr>
          <w:sz w:val="24"/>
          <w:szCs w:val="24"/>
        </w:rPr>
        <w:t xml:space="preserve">. Ressalvou fundamentação o Ministro Renato de Lacerda Paiva, porquanto entendia presente a culpa “in eligendo” e “in vigilando”, mas não reconhecia a responsabilidade objetiva.  </w:t>
      </w:r>
      <w:r>
        <w:t xml:space="preserve"> </w:t>
      </w:r>
      <w:hyperlink r:id="rId14" w:history="1">
        <w:r w:rsidRPr="00EB5696">
          <w:rPr>
            <w:rStyle w:val="Hyperlink"/>
            <w:sz w:val="24"/>
            <w:szCs w:val="24"/>
          </w:rPr>
          <w:t>TST-E-ED-RR-470-43.2010.5.15.0000</w:t>
        </w:r>
      </w:hyperlink>
      <w:r>
        <w:rPr>
          <w:sz w:val="24"/>
          <w:szCs w:val="24"/>
          <w:u w:val="single"/>
        </w:rPr>
        <w:t>,</w:t>
      </w:r>
      <w:r w:rsidRPr="00976582">
        <w:rPr>
          <w:sz w:val="24"/>
          <w:szCs w:val="24"/>
          <w:u w:val="single"/>
        </w:rPr>
        <w:t xml:space="preserve"> SBDI-I, rel</w:t>
      </w:r>
      <w:r>
        <w:rPr>
          <w:sz w:val="24"/>
          <w:szCs w:val="24"/>
          <w:u w:val="single"/>
        </w:rPr>
        <w:t>.</w:t>
      </w:r>
      <w:r w:rsidRPr="00976582">
        <w:rPr>
          <w:sz w:val="24"/>
          <w:szCs w:val="24"/>
          <w:u w:val="single"/>
        </w:rPr>
        <w:t xml:space="preserve"> Min. Aloysio Côrrea da Veiga, 25.10.2012</w:t>
      </w:r>
    </w:p>
    <w:p w:rsidR="00B14F7F" w:rsidRPr="005D1DE4" w:rsidRDefault="00B14F7F" w:rsidP="000C3022">
      <w:pPr>
        <w:ind w:right="-567"/>
        <w:jc w:val="both"/>
        <w:rPr>
          <w:b/>
          <w:i/>
          <w:sz w:val="10"/>
          <w:szCs w:val="10"/>
        </w:rPr>
      </w:pPr>
    </w:p>
    <w:p w:rsidR="00BC1DE7" w:rsidRPr="005D1DE4" w:rsidRDefault="00BC1DE7" w:rsidP="00C71A3B">
      <w:pPr>
        <w:pStyle w:val="Corpo"/>
        <w:spacing w:line="240" w:lineRule="auto"/>
        <w:ind w:firstLine="0"/>
        <w:rPr>
          <w:rFonts w:ascii="Times New Roman" w:hAnsi="Times New Roman" w:cs="Times New Roman"/>
          <w:sz w:val="10"/>
          <w:szCs w:val="10"/>
          <w:u w:val="single"/>
          <w:lang w:val="pt-BR" w:eastAsia="en-US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170978" w:rsidRPr="00170978" w:rsidRDefault="00170978" w:rsidP="00170978">
      <w:pPr>
        <w:ind w:right="-1"/>
        <w:jc w:val="both"/>
        <w:rPr>
          <w:b/>
          <w:i/>
          <w:sz w:val="10"/>
          <w:szCs w:val="10"/>
        </w:rPr>
      </w:pPr>
    </w:p>
    <w:p w:rsidR="00170978" w:rsidRDefault="00170978" w:rsidP="00170978">
      <w:pPr>
        <w:ind w:right="-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AR.</w:t>
      </w:r>
      <w:r w:rsidRPr="003D032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Honorários advocatícios. Percentual. Fixação. </w:t>
      </w:r>
    </w:p>
    <w:p w:rsidR="00170978" w:rsidRDefault="00170978" w:rsidP="001709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obstante seja cabível a condenação em honorários advocatícios em ação rescisória na Justiça do Trabalho, consoante o disposto no item II da Súmula nº 219 do TST, a fixação do percentual devido a esse título deve levar em consideração os critérios estabelecidos no art. 20, §§ 3º e 4º, do CPC, e não na Lei nº 5.584/70.  Assim, reiterando posicionamento anterior, a SBDI-II, por unanimidade, negou provimento ao recurso ordinário, mantendo a condenação em honorários advocatícios no percentual de 20% sobre o valor da causa. </w:t>
      </w:r>
      <w:hyperlink r:id="rId15" w:history="1">
        <w:r w:rsidRPr="0031758B">
          <w:rPr>
            <w:rStyle w:val="Hyperlink"/>
            <w:sz w:val="24"/>
            <w:szCs w:val="24"/>
          </w:rPr>
          <w:t>TST-RO-90100-15.2009.5.09.0000</w:t>
        </w:r>
      </w:hyperlink>
      <w:r w:rsidRPr="003D032E">
        <w:rPr>
          <w:sz w:val="24"/>
          <w:szCs w:val="24"/>
          <w:u w:val="single"/>
        </w:rPr>
        <w:t>, SBDI-</w:t>
      </w:r>
      <w:r>
        <w:rPr>
          <w:sz w:val="24"/>
          <w:szCs w:val="24"/>
          <w:u w:val="single"/>
        </w:rPr>
        <w:t>II</w:t>
      </w:r>
      <w:r w:rsidRPr="003D032E">
        <w:rPr>
          <w:sz w:val="24"/>
          <w:szCs w:val="24"/>
          <w:u w:val="single"/>
        </w:rPr>
        <w:t>, rel</w:t>
      </w:r>
      <w:r>
        <w:rPr>
          <w:sz w:val="24"/>
          <w:szCs w:val="24"/>
          <w:u w:val="single"/>
        </w:rPr>
        <w:t>. Min. Pedro Paulo Teixeira Manus, 23.10.2012</w:t>
      </w:r>
    </w:p>
    <w:p w:rsidR="00EA29F5" w:rsidRPr="005D1DE4" w:rsidRDefault="00EA29F5" w:rsidP="004B21AD">
      <w:pPr>
        <w:pStyle w:val="EXPLICAO"/>
        <w:ind w:left="0"/>
        <w:rPr>
          <w:rFonts w:ascii="Times New Roman" w:hAnsi="Times New Roman" w:cs="Times New Roman"/>
          <w:b/>
          <w:color w:val="auto"/>
          <w:sz w:val="10"/>
          <w:szCs w:val="10"/>
        </w:rPr>
      </w:pPr>
    </w:p>
    <w:p w:rsidR="00023049" w:rsidRPr="00023049" w:rsidRDefault="00023049" w:rsidP="00FB70A7">
      <w:pPr>
        <w:jc w:val="both"/>
        <w:rPr>
          <w:b/>
          <w:i/>
          <w:sz w:val="24"/>
          <w:szCs w:val="24"/>
        </w:rPr>
      </w:pPr>
      <w:r w:rsidRPr="00023049">
        <w:rPr>
          <w:b/>
          <w:i/>
          <w:sz w:val="24"/>
          <w:szCs w:val="24"/>
        </w:rPr>
        <w:t>MS. Custas processuais. Valor não fixado. Ausência de recolhimento. Deserção. Não configuração. Aplicação analógica da Orientação Jurisprudencial nº 104 da SBDI-I.</w:t>
      </w:r>
    </w:p>
    <w:p w:rsidR="00023049" w:rsidRDefault="00023049" w:rsidP="00FB70A7">
      <w:pPr>
        <w:jc w:val="both"/>
        <w:rPr>
          <w:sz w:val="24"/>
          <w:szCs w:val="24"/>
          <w:u w:val="single"/>
        </w:rPr>
      </w:pPr>
      <w:r w:rsidRPr="00023049">
        <w:rPr>
          <w:sz w:val="24"/>
          <w:szCs w:val="24"/>
        </w:rPr>
        <w:t xml:space="preserve">Em sede de mandado de segurança, o recolhimento das custas processuais para fins de preparo do recurso ordinário somente é exigível quando expressamente fixadas, e a parte devidamente intimada a recolhê-las, nos termos da Orientação Jurisprudencial nº 104 da SBDI-I, aplicada por analogia. Com esse entendimento, a SBDI-II conheceu do recurso ordinário, vencido o Ministro relator que dele não conhecia por ausência de preparo. Na espécie, ressaltou-se que a Presidência do TRT, ao exarar despacho de admissibilidade do recurso ordinário, concedeu à parte recorrente os benefícios da justiça gratuita, dispensando-a do preparo recursal. Ademais, não há falar em incidência da Orientação Jurisprudencial nº 148 da SBDI-II, porquanto pressupõe a fixação de custas pelo juiz. Em seguida, o julgamento foi suspenso para apreciação do mérito. </w:t>
      </w:r>
      <w:hyperlink r:id="rId16" w:history="1">
        <w:r w:rsidRPr="0031758B">
          <w:rPr>
            <w:rStyle w:val="Hyperlink"/>
            <w:sz w:val="24"/>
            <w:szCs w:val="24"/>
          </w:rPr>
          <w:t>TST-RO-451-48.2010.5.11.0000</w:t>
        </w:r>
      </w:hyperlink>
      <w:r w:rsidRPr="00023049">
        <w:rPr>
          <w:sz w:val="24"/>
          <w:szCs w:val="24"/>
          <w:u w:val="single"/>
        </w:rPr>
        <w:t xml:space="preserve">, SBDI-II, rel. Min. Guilherme Augusto Caputo Bastos 23.10.2012 </w:t>
      </w:r>
    </w:p>
    <w:p w:rsidR="000D7A87" w:rsidRPr="00CF61D9" w:rsidRDefault="000D7A87" w:rsidP="00FB70A7">
      <w:pPr>
        <w:jc w:val="both"/>
        <w:rPr>
          <w:sz w:val="10"/>
          <w:szCs w:val="10"/>
          <w:u w:val="single"/>
        </w:rPr>
      </w:pPr>
    </w:p>
    <w:p w:rsidR="000D7A87" w:rsidRPr="000D7A87" w:rsidRDefault="000D7A87" w:rsidP="000D7A87">
      <w:pPr>
        <w:jc w:val="both"/>
        <w:rPr>
          <w:b/>
          <w:i/>
          <w:sz w:val="24"/>
          <w:szCs w:val="24"/>
        </w:rPr>
      </w:pPr>
      <w:r w:rsidRPr="000D7A87">
        <w:rPr>
          <w:b/>
          <w:i/>
          <w:sz w:val="24"/>
          <w:szCs w:val="24"/>
        </w:rPr>
        <w:lastRenderedPageBreak/>
        <w:t>AR. Servidor público municipal. Incompetência da Justiça do Trabalho. Lei instituidora de regime jurídico único. Publicação. Pedido rescisório calcado no art. 485, II, do CPC. Impossibilidade.</w:t>
      </w:r>
    </w:p>
    <w:p w:rsidR="000D7A87" w:rsidRPr="000D7A87" w:rsidRDefault="000D7A87" w:rsidP="000D7A87">
      <w:pPr>
        <w:jc w:val="both"/>
        <w:rPr>
          <w:sz w:val="24"/>
          <w:szCs w:val="24"/>
        </w:rPr>
      </w:pPr>
      <w:r w:rsidRPr="000D7A87">
        <w:rPr>
          <w:sz w:val="24"/>
          <w:szCs w:val="24"/>
        </w:rPr>
        <w:t xml:space="preserve">Na hipótese em que a sentença rescindenda rejeitou a preliminar de incompetência absoluta da Justiça do Trabalho, porque a validade da lei instituidora de regime jurídico único dos servidores do </w:t>
      </w:r>
      <w:r w:rsidR="0031758B" w:rsidRPr="000D7A87">
        <w:rPr>
          <w:sz w:val="24"/>
          <w:szCs w:val="24"/>
        </w:rPr>
        <w:t>Município</w:t>
      </w:r>
      <w:r w:rsidRPr="000D7A87">
        <w:rPr>
          <w:sz w:val="24"/>
          <w:szCs w:val="24"/>
        </w:rPr>
        <w:t xml:space="preserve"> de Grajaú era controvertida, em razão da ausência de comprovação de sua publicação oficial ou, ao menos, de sua publicidade por meio da afixação no mural da Câmara Municipal, não é possível o corte rescisório calcado no inciso II do art. 485 do CPC, na medida em que este somente se viabiliza nos casos em que a incompetência absoluta invocada revelar-se patente, ou seja, quando houver expressa previsão legal atribuindo a competência material a juízo distinto. Com esse entendimento, a SBDI-II, por unanimidade, negou provimento ao recurso ordinário. </w:t>
      </w:r>
      <w:hyperlink r:id="rId17" w:history="1">
        <w:r w:rsidRPr="0031758B">
          <w:rPr>
            <w:rStyle w:val="Hyperlink"/>
            <w:sz w:val="24"/>
            <w:szCs w:val="24"/>
          </w:rPr>
          <w:t>TST-ReeNec e RO-38300-79.2011.5.16.0000</w:t>
        </w:r>
      </w:hyperlink>
      <w:r w:rsidRPr="000D7A87">
        <w:rPr>
          <w:sz w:val="24"/>
          <w:szCs w:val="24"/>
          <w:u w:val="single"/>
        </w:rPr>
        <w:t>, SBDI-II, rel. Min. Alexandre Agra Belmonte, 23.10.2012</w:t>
      </w:r>
    </w:p>
    <w:p w:rsidR="000D7A87" w:rsidRPr="00023049" w:rsidRDefault="000D7A87" w:rsidP="00FB70A7">
      <w:pPr>
        <w:jc w:val="both"/>
        <w:rPr>
          <w:sz w:val="24"/>
          <w:szCs w:val="24"/>
        </w:rPr>
      </w:pPr>
    </w:p>
    <w:p w:rsidR="004B21AD" w:rsidRPr="005D1DE4" w:rsidRDefault="004B21AD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bCs w:val="0"/>
          <w:i/>
          <w:iCs/>
          <w:caps w:val="0"/>
          <w:color w:val="auto"/>
        </w:rPr>
      </w:pPr>
    </w:p>
    <w:p w:rsidR="004B21AD" w:rsidRPr="005D1DE4" w:rsidRDefault="004B21AD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bCs w:val="0"/>
          <w:i/>
          <w:iCs/>
          <w:caps w:val="0"/>
          <w:color w:val="auto"/>
        </w:rPr>
      </w:pPr>
    </w:p>
    <w:p w:rsidR="006456B1" w:rsidRPr="005D1DE4" w:rsidRDefault="006456B1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1F" w:rsidRDefault="00B45F1F">
      <w:r>
        <w:separator/>
      </w:r>
    </w:p>
  </w:endnote>
  <w:endnote w:type="continuationSeparator" w:id="0">
    <w:p w:rsidR="00B45F1F" w:rsidRDefault="00B4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A7" w:rsidRDefault="00FB70A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2FA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B70A7" w:rsidRDefault="00FB70A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A7" w:rsidRDefault="00FB70A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02FAD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1F" w:rsidRDefault="00B45F1F">
      <w:r>
        <w:separator/>
      </w:r>
    </w:p>
  </w:footnote>
  <w:footnote w:type="continuationSeparator" w:id="0">
    <w:p w:rsidR="00B45F1F" w:rsidRDefault="00B4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A7" w:rsidRPr="00971E07" w:rsidRDefault="00FB70A7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CF61D9">
      <w:rPr>
        <w:shadow/>
        <w:sz w:val="24"/>
        <w:szCs w:val="24"/>
      </w:rPr>
      <w:t>27</w:t>
    </w:r>
  </w:p>
  <w:p w:rsidR="00FB70A7" w:rsidRPr="00971E07" w:rsidRDefault="00FB70A7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>
      <w:rPr>
        <w:sz w:val="20"/>
        <w:szCs w:val="20"/>
      </w:rPr>
      <w:t xml:space="preserve">Período: </w:t>
    </w:r>
    <w:r w:rsidR="00CF61D9">
      <w:rPr>
        <w:sz w:val="20"/>
        <w:szCs w:val="20"/>
      </w:rPr>
      <w:t>23</w:t>
    </w:r>
    <w:r w:rsidRPr="00971E07">
      <w:rPr>
        <w:sz w:val="20"/>
        <w:szCs w:val="20"/>
      </w:rPr>
      <w:t xml:space="preserve"> a </w:t>
    </w:r>
    <w:r w:rsidR="00CF61D9">
      <w:rPr>
        <w:sz w:val="20"/>
        <w:szCs w:val="20"/>
      </w:rPr>
      <w:t>2</w:t>
    </w:r>
    <w:r w:rsidR="002B44D0">
      <w:rPr>
        <w:sz w:val="20"/>
        <w:szCs w:val="20"/>
      </w:rPr>
      <w:t>9</w:t>
    </w:r>
    <w:r w:rsidRPr="00971E07">
      <w:rPr>
        <w:sz w:val="20"/>
        <w:szCs w:val="20"/>
      </w:rPr>
      <w:t xml:space="preserve"> de </w:t>
    </w:r>
    <w:r w:rsidR="00CF61D9">
      <w:rPr>
        <w:sz w:val="20"/>
        <w:szCs w:val="20"/>
      </w:rPr>
      <w:t>outubro</w:t>
    </w:r>
    <w:r w:rsidRPr="00971E07">
      <w:rPr>
        <w:sz w:val="20"/>
        <w:szCs w:val="20"/>
      </w:rPr>
      <w:t xml:space="preserve"> de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A7" w:rsidRDefault="00FB70A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3pt;height:77pt">
          <v:imagedata r:id="rId1" o:title="TST LOGO"/>
        </v:shape>
      </w:pict>
    </w:r>
  </w:p>
  <w:p w:rsidR="00FB70A7" w:rsidRPr="002168DE" w:rsidRDefault="00FB70A7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 w:rsidRPr="002168DE">
      <w:rPr>
        <w:b/>
        <w:sz w:val="40"/>
        <w:szCs w:val="40"/>
      </w:rPr>
      <w:t xml:space="preserve">Nº </w:t>
    </w:r>
    <w:r>
      <w:rPr>
        <w:b/>
        <w:sz w:val="40"/>
        <w:szCs w:val="40"/>
      </w:rPr>
      <w:t>27</w:t>
    </w:r>
  </w:p>
  <w:p w:rsidR="00FB70A7" w:rsidRPr="005D1DE4" w:rsidRDefault="00FB70A7">
    <w:pPr>
      <w:pStyle w:val="Cabealho"/>
      <w:jc w:val="right"/>
      <w:rPr>
        <w:i/>
        <w:iCs/>
        <w:sz w:val="10"/>
        <w:szCs w:val="10"/>
      </w:rPr>
    </w:pPr>
  </w:p>
  <w:p w:rsidR="00FB70A7" w:rsidRPr="005D1DE4" w:rsidRDefault="00FB70A7">
    <w:pPr>
      <w:pStyle w:val="Cabealho"/>
      <w:jc w:val="right"/>
    </w:pPr>
    <w:r>
      <w:rPr>
        <w:i/>
        <w:iCs/>
      </w:rPr>
      <w:t>Período:</w:t>
    </w:r>
    <w:r w:rsidRPr="005D1DE4">
      <w:rPr>
        <w:i/>
        <w:iCs/>
      </w:rPr>
      <w:t xml:space="preserve"> </w:t>
    </w:r>
    <w:r>
      <w:rPr>
        <w:i/>
        <w:iCs/>
      </w:rPr>
      <w:t>23</w:t>
    </w:r>
    <w:r w:rsidRPr="005D1DE4">
      <w:rPr>
        <w:i/>
        <w:iCs/>
      </w:rPr>
      <w:t xml:space="preserve"> a </w:t>
    </w:r>
    <w:r>
      <w:rPr>
        <w:i/>
        <w:iCs/>
      </w:rPr>
      <w:t>2</w:t>
    </w:r>
    <w:r w:rsidR="002B44D0">
      <w:rPr>
        <w:i/>
        <w:iCs/>
      </w:rPr>
      <w:t>9</w:t>
    </w:r>
    <w:r w:rsidRPr="005D1DE4">
      <w:rPr>
        <w:i/>
        <w:iCs/>
      </w:rPr>
      <w:t xml:space="preserve"> de </w:t>
    </w:r>
    <w:r>
      <w:rPr>
        <w:i/>
        <w:iCs/>
      </w:rPr>
      <w:t>outubro</w:t>
    </w:r>
    <w:r w:rsidRPr="005D1DE4">
      <w:rPr>
        <w:i/>
        <w:iCs/>
      </w:rPr>
      <w:t xml:space="preserve"> de 2012</w:t>
    </w:r>
  </w:p>
  <w:p w:rsidR="00FB70A7" w:rsidRDefault="00FB70A7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23049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D7A87"/>
    <w:rsid w:val="000E0A91"/>
    <w:rsid w:val="0011575C"/>
    <w:rsid w:val="0011692E"/>
    <w:rsid w:val="00137564"/>
    <w:rsid w:val="00137DC1"/>
    <w:rsid w:val="0015612D"/>
    <w:rsid w:val="00170978"/>
    <w:rsid w:val="00176D15"/>
    <w:rsid w:val="00184590"/>
    <w:rsid w:val="00187A37"/>
    <w:rsid w:val="0019151D"/>
    <w:rsid w:val="00193208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68DE"/>
    <w:rsid w:val="00224AC2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4D0"/>
    <w:rsid w:val="002B4738"/>
    <w:rsid w:val="002B6377"/>
    <w:rsid w:val="002C2904"/>
    <w:rsid w:val="002E78CB"/>
    <w:rsid w:val="0031758B"/>
    <w:rsid w:val="0033397A"/>
    <w:rsid w:val="00352B27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02FAD"/>
    <w:rsid w:val="0042772A"/>
    <w:rsid w:val="004323B0"/>
    <w:rsid w:val="00444E88"/>
    <w:rsid w:val="0045657C"/>
    <w:rsid w:val="004655CC"/>
    <w:rsid w:val="00466DB9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051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3197"/>
    <w:rsid w:val="0055409E"/>
    <w:rsid w:val="00556367"/>
    <w:rsid w:val="00556B35"/>
    <w:rsid w:val="00573E13"/>
    <w:rsid w:val="00584F82"/>
    <w:rsid w:val="00591DFA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21F9C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76118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63B86"/>
    <w:rsid w:val="00871F69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60A3B"/>
    <w:rsid w:val="00967DE0"/>
    <w:rsid w:val="00971E07"/>
    <w:rsid w:val="00980944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45F1F"/>
    <w:rsid w:val="00B517C3"/>
    <w:rsid w:val="00B518B2"/>
    <w:rsid w:val="00B526EA"/>
    <w:rsid w:val="00B536FE"/>
    <w:rsid w:val="00B73FFA"/>
    <w:rsid w:val="00B874F1"/>
    <w:rsid w:val="00BC1DE7"/>
    <w:rsid w:val="00BC5AEE"/>
    <w:rsid w:val="00BD6029"/>
    <w:rsid w:val="00BE0541"/>
    <w:rsid w:val="00BE1ADB"/>
    <w:rsid w:val="00C070DE"/>
    <w:rsid w:val="00C26DFB"/>
    <w:rsid w:val="00C273FA"/>
    <w:rsid w:val="00C30D06"/>
    <w:rsid w:val="00C42067"/>
    <w:rsid w:val="00C432D0"/>
    <w:rsid w:val="00C4398E"/>
    <w:rsid w:val="00C60B4A"/>
    <w:rsid w:val="00C65BDB"/>
    <w:rsid w:val="00C71A3B"/>
    <w:rsid w:val="00C76CF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CF61D9"/>
    <w:rsid w:val="00D01C50"/>
    <w:rsid w:val="00D11B24"/>
    <w:rsid w:val="00D133C8"/>
    <w:rsid w:val="00D14DB8"/>
    <w:rsid w:val="00D244D5"/>
    <w:rsid w:val="00D2776A"/>
    <w:rsid w:val="00D413DB"/>
    <w:rsid w:val="00D420E2"/>
    <w:rsid w:val="00D4459D"/>
    <w:rsid w:val="00D530A1"/>
    <w:rsid w:val="00D573F9"/>
    <w:rsid w:val="00D6058B"/>
    <w:rsid w:val="00D63EC5"/>
    <w:rsid w:val="00D72C05"/>
    <w:rsid w:val="00D847CF"/>
    <w:rsid w:val="00DA0A99"/>
    <w:rsid w:val="00DA7603"/>
    <w:rsid w:val="00DA7E39"/>
    <w:rsid w:val="00DA7EDE"/>
    <w:rsid w:val="00DC0AB5"/>
    <w:rsid w:val="00DC50EB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482D"/>
    <w:rsid w:val="00EB5696"/>
    <w:rsid w:val="00EB5FE6"/>
    <w:rsid w:val="00EB61A5"/>
    <w:rsid w:val="00EB7A09"/>
    <w:rsid w:val="00EC5AF4"/>
    <w:rsid w:val="00ED661C"/>
    <w:rsid w:val="00EE310B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B70A7"/>
    <w:rsid w:val="00FC56A4"/>
    <w:rsid w:val="00FD3D06"/>
    <w:rsid w:val="00FD5662"/>
    <w:rsid w:val="00FD72B6"/>
    <w:rsid w:val="00FE00AD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styleId="HiperlinkVisitado">
    <w:name w:val="FollowedHyperlink"/>
    <w:uiPriority w:val="99"/>
    <w:semiHidden/>
    <w:unhideWhenUsed/>
    <w:rsid w:val="003175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91700&amp;digitoTst=30&amp;anoTst=2001&amp;orgaoTst=5&amp;tribunalTst=04&amp;varaTst=0020" TargetMode="External"/><Relationship Id="rId13" Type="http://schemas.openxmlformats.org/officeDocument/2006/relationships/hyperlink" Target="https://aplicacao5.tst.jus.br/consultaProcessual/consultaTstNumUnica.do?consulta=Consultar&amp;conscsjt=&amp;numeroTst=99700&amp;digitoTst=47&amp;anoTst=2005&amp;orgaoTst=5&amp;tribunalTst=04&amp;varaTst=003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plicacao5.tst.jus.br/consultaProcessual/consultaTstNumUnica.do?consulta=Consultar&amp;conscsjt=&amp;numeroTst=27301&amp;digitoTst=72&amp;anoTst=2005&amp;orgaoTst=5&amp;tribunalTst=05&amp;varaTst=0133" TargetMode="External"/><Relationship Id="rId17" Type="http://schemas.openxmlformats.org/officeDocument/2006/relationships/hyperlink" Target="https://aplicacao5.tst.jus.br/consultaProcessual/consultaTstNumUnica.do?consulta=Consultar&amp;conscsjt=&amp;numeroTst=38300&amp;digitoTst=79&amp;anoTst=2011&amp;orgaoTst=5&amp;tribunalTst=16&amp;varaTst=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licacao5.tst.jus.br/consultaProcessual/consultaTstNumUnica.do?consulta=Consultar&amp;conscsjt=&amp;numeroTst=451&amp;digitoTst=48&amp;anoTst=2010&amp;orgaoTst=5&amp;tribunalTst=11&amp;varaTst=000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cacao5.tst.jus.br/consultaProcessual/consultaTstNumUnica.do?consulta=Consultar&amp;conscsjt=&amp;numeroTst=105900&amp;digitoTst=69&amp;anoTst=2007&amp;orgaoTst=5&amp;tribunalTst=07&amp;varaTst=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licacao5.tst.jus.br/consultaProcessual/consultaTstNumUnica.do?consulta=Consultar&amp;conscsjt=&amp;numeroTst=90100&amp;digitoTst=15&amp;anoTst=2009&amp;orgaoTst=5&amp;tribunalTst=09&amp;varaTst=0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licacao5.tst.jus.br/consultaProcessual/consultaTstNumUnica.do?consulta=Consultar&amp;conscsjt=&amp;numeroTst=673&amp;digitoTst=59&amp;anoTst=2011&amp;orgaoTst=5&amp;tribunalTst=03&amp;varaTst=001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123300&amp;digitoTst=19&amp;anoTst=2005&amp;orgaoTst=5&amp;tribunalTst=15&amp;varaTst=0054" TargetMode="External"/><Relationship Id="rId14" Type="http://schemas.openxmlformats.org/officeDocument/2006/relationships/hyperlink" Target="https://aplicacao5.tst.jus.br/consultaProcessual/consultaTstNumUnica.do?consulta=Consultar&amp;conscsjt=&amp;numeroTst=470&amp;digitoTst=43&amp;anoTst=2010&amp;orgaoTst=5&amp;tribunalTst=15&amp;varaTst=0000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37B7-3796-4EC7-9882-12A9E302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2449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15645</CharactersWithSpaces>
  <SharedDoc>false</SharedDoc>
  <HLinks>
    <vt:vector size="60" baseType="variant">
      <vt:variant>
        <vt:i4>1048578</vt:i4>
      </vt:variant>
      <vt:variant>
        <vt:i4>27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https://aplicacao5.tst.jus.br/consultaProcessual/consultaTstNumUnica.do?consulta=Consultar&amp;conscsjt=&amp;numeroTst=38300&amp;digitoTst=79&amp;anoTst=2011&amp;orgaoTst=5&amp;tribunalTst=16&amp;varaTst=0000</vt:lpwstr>
      </vt:variant>
      <vt:variant>
        <vt:lpwstr/>
      </vt:variant>
      <vt:variant>
        <vt:i4>2490424</vt:i4>
      </vt:variant>
      <vt:variant>
        <vt:i4>24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https://aplicacao5.tst.jus.br/consultaProcessual/consultaTstNumUnica.do?consulta=Consultar&amp;conscsjt=&amp;numeroTst=451&amp;digitoTst=48&amp;anoTst=2010&amp;orgaoTst=5&amp;tribunalTst=11&amp;varaTst=0000</vt:lpwstr>
      </vt:variant>
      <vt:variant>
        <vt:lpwstr/>
      </vt:variant>
      <vt:variant>
        <vt:i4>1966081</vt:i4>
      </vt:variant>
      <vt:variant>
        <vt:i4>21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https://aplicacao5.tst.jus.br/consultaProcessual/consultaTstNumUnica.do?consulta=Consultar&amp;conscsjt=&amp;numeroTst=90100&amp;digitoTst=15&amp;anoTst=2009&amp;orgaoTst=5&amp;tribunalTst=09&amp;varaTst=0000</vt:lpwstr>
      </vt:variant>
      <vt:variant>
        <vt:lpwstr/>
      </vt:variant>
      <vt:variant>
        <vt:i4>2555957</vt:i4>
      </vt:variant>
      <vt:variant>
        <vt:i4>18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https://aplicacao5.tst.jus.br/consultaProcessual/consultaTstNumUnica.do?consulta=Consultar&amp;conscsjt=&amp;numeroTst=470&amp;digitoTst=43&amp;anoTst=2010&amp;orgaoTst=5&amp;tribunalTst=15&amp;varaTst=0000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https://aplicacao5.tst.jus.br/consultaProcessual/consultaTstNumUnica.do?consulta=Consultar&amp;conscsjt=&amp;numeroTst=99700&amp;digitoTst=47&amp;anoTst=2005&amp;orgaoTst=5&amp;tribunalTst=04&amp;varaTst=0030</vt:lpwstr>
      </vt:variant>
      <vt:variant>
        <vt:lpwstr/>
      </vt:variant>
      <vt:variant>
        <vt:i4>1179650</vt:i4>
      </vt:variant>
      <vt:variant>
        <vt:i4>12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https://aplicacao5.tst.jus.br/consultaProcessual/consultaTstNumUnica.do?consulta=Consultar&amp;conscsjt=&amp;numeroTst=27301&amp;digitoTst=72&amp;anoTst=2005&amp;orgaoTst=5&amp;tribunalTst=05&amp;varaTst=0133</vt:lpwstr>
      </vt:variant>
      <vt:variant>
        <vt:lpwstr/>
      </vt:variant>
      <vt:variant>
        <vt:i4>5701703</vt:i4>
      </vt:variant>
      <vt:variant>
        <vt:i4>9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https://aplicacao5.tst.jus.br/consultaProcessual/consultaTstNumUnica.do?consulta=Consultar&amp;conscsjt=&amp;numeroTst=105900&amp;digitoTst=69&amp;anoTst=2007&amp;orgaoTst=5&amp;tribunalTst=07&amp;varaTst=0013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https://aplicacao5.tst.jus.br/consultaProcessual/consultaTstNumUnica.do?consulta=Consultar&amp;conscsjt=&amp;numeroTst=673&amp;digitoTst=59&amp;anoTst=2011&amp;orgaoTst=5&amp;tribunalTst=03&amp;varaTst=0014</vt:lpwstr>
      </vt:variant>
      <vt:variant>
        <vt:lpwstr/>
      </vt:variant>
      <vt:variant>
        <vt:i4>5570633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https://aplicacao5.tst.jus.br/consultaProcessual/consultaTstNumUnica.do?consulta=Consultar&amp;conscsjt=&amp;numeroTst=123300&amp;digitoTst=19&amp;anoTst=2005&amp;orgaoTst=5&amp;tribunalTst=15&amp;varaTst=0054</vt:lpwstr>
      </vt:variant>
      <vt:variant>
        <vt:lpwstr/>
      </vt:variant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https://aplicacao5.tst.jus.br/consultaProcessual/consultaTstNumUnica.do?consulta=Consultar&amp;conscsjt=&amp;numeroTst=91700&amp;digitoTst=30&amp;anoTst=2001&amp;orgaoTst=5&amp;tribunalTst=04&amp;varaTst=0020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2012-03-09T15:01:00Z</cp:lastPrinted>
  <dcterms:created xsi:type="dcterms:W3CDTF">2018-06-27T22:31:00Z</dcterms:created>
  <dcterms:modified xsi:type="dcterms:W3CDTF">2018-06-27T22:31:00Z</dcterms:modified>
</cp:coreProperties>
</file>