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0228E6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="000228E6"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ÓRGÃO ESPECIAL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</w:p>
    <w:p w:rsidR="00F62796" w:rsidRPr="00F62796" w:rsidRDefault="00F62796" w:rsidP="00F62796">
      <w:pPr>
        <w:jc w:val="both"/>
        <w:rPr>
          <w:b/>
          <w:i/>
          <w:sz w:val="10"/>
          <w:szCs w:val="10"/>
        </w:rPr>
      </w:pPr>
    </w:p>
    <w:p w:rsidR="00F62796" w:rsidRPr="00762F64" w:rsidRDefault="00F62796" w:rsidP="00F6279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</w:t>
      </w:r>
      <w:r w:rsidRPr="00762F64">
        <w:rPr>
          <w:b/>
          <w:i/>
          <w:sz w:val="24"/>
          <w:szCs w:val="24"/>
        </w:rPr>
        <w:t xml:space="preserve">oncurso público. </w:t>
      </w:r>
      <w:r>
        <w:rPr>
          <w:b/>
          <w:i/>
          <w:sz w:val="24"/>
          <w:szCs w:val="24"/>
        </w:rPr>
        <w:t>P</w:t>
      </w:r>
      <w:r w:rsidRPr="00762F64">
        <w:rPr>
          <w:b/>
          <w:i/>
          <w:sz w:val="24"/>
          <w:szCs w:val="24"/>
        </w:rPr>
        <w:t xml:space="preserve">essoa portadora de necessidades especiais. </w:t>
      </w:r>
      <w:r>
        <w:rPr>
          <w:b/>
          <w:i/>
          <w:sz w:val="24"/>
          <w:szCs w:val="24"/>
        </w:rPr>
        <w:t>D</w:t>
      </w:r>
      <w:r w:rsidRPr="00762F64">
        <w:rPr>
          <w:b/>
          <w:i/>
          <w:sz w:val="24"/>
          <w:szCs w:val="24"/>
        </w:rPr>
        <w:t xml:space="preserve">eficiência auditiva. </w:t>
      </w:r>
      <w:r>
        <w:rPr>
          <w:b/>
          <w:i/>
          <w:sz w:val="24"/>
          <w:szCs w:val="24"/>
        </w:rPr>
        <w:t>C</w:t>
      </w:r>
      <w:r w:rsidRPr="00762F64">
        <w:rPr>
          <w:b/>
          <w:i/>
          <w:sz w:val="24"/>
          <w:szCs w:val="24"/>
        </w:rPr>
        <w:t>aracterização.</w:t>
      </w:r>
    </w:p>
    <w:p w:rsidR="00F62796" w:rsidRPr="00E65532" w:rsidRDefault="00F62796" w:rsidP="00F62796">
      <w:pPr>
        <w:jc w:val="both"/>
        <w:rPr>
          <w:b/>
          <w:i/>
          <w:sz w:val="32"/>
          <w:szCs w:val="32"/>
        </w:rPr>
      </w:pPr>
      <w:r w:rsidRPr="00762F64">
        <w:rPr>
          <w:sz w:val="24"/>
          <w:szCs w:val="24"/>
        </w:rPr>
        <w:t>As normas e princípios constitucionais insculpidos nos arts. 1º, II e III, e 3º, IV</w:t>
      </w:r>
      <w:r>
        <w:rPr>
          <w:sz w:val="24"/>
          <w:szCs w:val="24"/>
        </w:rPr>
        <w:t>,</w:t>
      </w:r>
      <w:r w:rsidRPr="00762F64">
        <w:rPr>
          <w:sz w:val="24"/>
          <w:szCs w:val="24"/>
        </w:rPr>
        <w:t xml:space="preserve"> da CF, interpretados juntamente com o art. 3º do Decreto nº 3.298/99 (com redação dada pelo Decreto nº 5.296/04)</w:t>
      </w:r>
      <w:r>
        <w:rPr>
          <w:sz w:val="24"/>
          <w:szCs w:val="24"/>
        </w:rPr>
        <w:t>,</w:t>
      </w:r>
      <w:r w:rsidRPr="00762F64">
        <w:rPr>
          <w:sz w:val="24"/>
          <w:szCs w:val="24"/>
        </w:rPr>
        <w:t xml:space="preserve"> permitem concluir que a deficiência auditiva, ainda que não bilateral, conforme disposto no art. 4º, II, do Decreto nº 3.298/99, é suficiente para assegurar </w:t>
      </w:r>
      <w:r>
        <w:rPr>
          <w:sz w:val="24"/>
          <w:szCs w:val="24"/>
        </w:rPr>
        <w:t>ao</w:t>
      </w:r>
      <w:r w:rsidRPr="00762F64">
        <w:rPr>
          <w:sz w:val="24"/>
          <w:szCs w:val="24"/>
        </w:rPr>
        <w:t xml:space="preserve"> candidato inscrito em concurso público</w:t>
      </w:r>
      <w:r>
        <w:rPr>
          <w:sz w:val="24"/>
          <w:szCs w:val="24"/>
        </w:rPr>
        <w:t xml:space="preserve"> o direito de</w:t>
      </w:r>
      <w:r w:rsidRPr="00762F64">
        <w:rPr>
          <w:sz w:val="24"/>
          <w:szCs w:val="24"/>
        </w:rPr>
        <w:t xml:space="preserve"> concorrer a uma das vagas destinadas aos portadores de necessidades especiais a que aludem os arts. 37, VIII, da CF e 5º, § 2º, da Lei nº 8.112/90. Com esse entendimento, o Órgão Especial, por unanimidade, deu provimento parcial ao recurso ordinário da recorrente para reconhecer sua condição de portadora de deficiência auditiva, assegurando-lhe o direito à nomeação para o cargo de Analista Judiciário – Área Judiciária, do quadro permanente do TRT da 21ª Região, em vaga reservada a portadores de necessidades especiais correspondente à classificação na listagem especial equivalente à nota por ela alcançada no concurso público</w:t>
      </w:r>
      <w:r w:rsidRPr="006872AD">
        <w:rPr>
          <w:sz w:val="24"/>
          <w:szCs w:val="24"/>
        </w:rPr>
        <w:t xml:space="preserve">. </w:t>
      </w:r>
      <w:hyperlink r:id="rId8" w:history="1">
        <w:r w:rsidRPr="00F62796">
          <w:rPr>
            <w:rStyle w:val="Hyperlink"/>
            <w:sz w:val="24"/>
            <w:szCs w:val="24"/>
          </w:rPr>
          <w:t>TST-RO-11800-35.2011.5.21.0000</w:t>
        </w:r>
      </w:hyperlink>
      <w:r w:rsidRPr="00762F64">
        <w:rPr>
          <w:sz w:val="24"/>
          <w:szCs w:val="24"/>
          <w:u w:val="single"/>
        </w:rPr>
        <w:t>, Órgão Especial, rel. Min. Brito Pereira, 1º.10.2012</w:t>
      </w:r>
      <w:r w:rsidRPr="006872AD">
        <w:rPr>
          <w:rFonts w:ascii="Times" w:hAnsi="Times"/>
        </w:rPr>
        <w:t xml:space="preserve"> (No mesmo sentido, </w:t>
      </w:r>
      <w:hyperlink r:id="rId9" w:history="1">
        <w:r w:rsidRPr="00F62796">
          <w:rPr>
            <w:rStyle w:val="Hyperlink"/>
            <w:rFonts w:ascii="Times" w:hAnsi="Times"/>
          </w:rPr>
          <w:t xml:space="preserve">TST-ReeNec e </w:t>
        </w:r>
        <w:r w:rsidRPr="00F62796">
          <w:rPr>
            <w:rStyle w:val="Hyperlink"/>
            <w:rFonts w:ascii="Times" w:hAnsi="Times" w:cs="Courier"/>
            <w:bCs/>
          </w:rPr>
          <w:t>RO-29400-69.2011.5.21.0000</w:t>
        </w:r>
      </w:hyperlink>
      <w:r w:rsidRPr="006872AD">
        <w:rPr>
          <w:rFonts w:ascii="Times" w:hAnsi="Times"/>
        </w:rPr>
        <w:t>, Órgão Especial, rel. Min. Dora Maria da costa, 1º.10.2012)</w:t>
      </w:r>
    </w:p>
    <w:p w:rsidR="00F62796" w:rsidRPr="00F62796" w:rsidRDefault="00F62796" w:rsidP="006145AC">
      <w:pPr>
        <w:pStyle w:val="Ementa"/>
        <w:ind w:left="0"/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  <w:lang w:val="pt-BR"/>
        </w:rPr>
      </w:pPr>
    </w:p>
    <w:p w:rsidR="00F62796" w:rsidRDefault="00F62796" w:rsidP="00F6279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Recurso Administrativo. Competência originária do Tribunal Regional. Quórum insuficiente. Deslocamento da competência para o TST. Impossibilidade.</w:t>
      </w:r>
    </w:p>
    <w:p w:rsidR="00F62796" w:rsidRDefault="00F62796" w:rsidP="00F62796">
      <w:pPr>
        <w:jc w:val="both"/>
        <w:rPr>
          <w:b/>
          <w:i/>
          <w:sz w:val="32"/>
          <w:szCs w:val="32"/>
        </w:rPr>
      </w:pPr>
      <w:r>
        <w:rPr>
          <w:sz w:val="24"/>
          <w:szCs w:val="24"/>
        </w:rPr>
        <w:t xml:space="preserve">No caso em que mais da metade dos membros do TRT da 7ª Região se declarou impedida para julgar </w:t>
      </w:r>
      <w:r w:rsidRPr="008B5FCB">
        <w:rPr>
          <w:sz w:val="24"/>
          <w:szCs w:val="24"/>
        </w:rPr>
        <w:t>recurso administrativo interposto contra decisão</w:t>
      </w:r>
      <w:r>
        <w:rPr>
          <w:sz w:val="24"/>
          <w:szCs w:val="24"/>
        </w:rPr>
        <w:t xml:space="preserve"> monocrática do Presidente do Regional que, seguindo orientação do TCU, determinou a sustação do pagamento do auxílio-alimentação a magistrados do Trabalho de 1º e 2º graus, o Órgão Especial</w:t>
      </w:r>
      <w:r w:rsidRPr="003D032E">
        <w:rPr>
          <w:sz w:val="24"/>
          <w:szCs w:val="24"/>
        </w:rPr>
        <w:t xml:space="preserve">, por </w:t>
      </w:r>
      <w:r>
        <w:rPr>
          <w:sz w:val="24"/>
          <w:szCs w:val="24"/>
        </w:rPr>
        <w:t>maioria</w:t>
      </w:r>
      <w:r w:rsidRPr="003D032E">
        <w:rPr>
          <w:sz w:val="24"/>
          <w:szCs w:val="24"/>
        </w:rPr>
        <w:t>,</w:t>
      </w:r>
      <w:r>
        <w:rPr>
          <w:sz w:val="24"/>
          <w:szCs w:val="24"/>
        </w:rPr>
        <w:t xml:space="preserve"> vencidos os Ministros Ives Gandra Martins Filho e Carlos Alberto Reis de Paula, </w:t>
      </w:r>
      <w:r w:rsidRPr="008B5FCB">
        <w:rPr>
          <w:sz w:val="24"/>
          <w:szCs w:val="24"/>
        </w:rPr>
        <w:t>declarou a incompetência funcional do T</w:t>
      </w:r>
      <w:r>
        <w:rPr>
          <w:sz w:val="24"/>
          <w:szCs w:val="24"/>
        </w:rPr>
        <w:t xml:space="preserve">ST </w:t>
      </w:r>
      <w:r w:rsidRPr="008B5FCB">
        <w:rPr>
          <w:sz w:val="24"/>
          <w:szCs w:val="24"/>
        </w:rPr>
        <w:t xml:space="preserve">para julgar o </w:t>
      </w:r>
      <w:r>
        <w:rPr>
          <w:sz w:val="24"/>
          <w:szCs w:val="24"/>
        </w:rPr>
        <w:t>apelo</w:t>
      </w:r>
      <w:r w:rsidRPr="008B5FCB">
        <w:rPr>
          <w:sz w:val="24"/>
          <w:szCs w:val="24"/>
        </w:rPr>
        <w:t xml:space="preserve"> e determinou a remessa dos autos ao </w:t>
      </w:r>
      <w:r>
        <w:rPr>
          <w:sz w:val="24"/>
          <w:szCs w:val="24"/>
        </w:rPr>
        <w:t>tribunal de origem, a</w:t>
      </w:r>
      <w:r w:rsidRPr="008B5FCB">
        <w:rPr>
          <w:sz w:val="24"/>
          <w:szCs w:val="24"/>
        </w:rPr>
        <w:t xml:space="preserve"> fim de que, mediante convocação de juízes de primeiro grau, se necessário, julgue o aludido recurso como </w:t>
      </w:r>
      <w:r>
        <w:rPr>
          <w:sz w:val="24"/>
          <w:szCs w:val="24"/>
        </w:rPr>
        <w:t xml:space="preserve">entender </w:t>
      </w:r>
      <w:r w:rsidRPr="008B5FCB">
        <w:rPr>
          <w:sz w:val="24"/>
          <w:szCs w:val="24"/>
        </w:rPr>
        <w:t>de direito</w:t>
      </w:r>
      <w:r w:rsidRPr="003D032E">
        <w:rPr>
          <w:sz w:val="24"/>
          <w:szCs w:val="24"/>
        </w:rPr>
        <w:t>.</w:t>
      </w:r>
      <w:r>
        <w:rPr>
          <w:sz w:val="24"/>
          <w:szCs w:val="24"/>
        </w:rPr>
        <w:t xml:space="preserve"> Na hipótese, ressaltou-se que, conforme entendimento do STF, o</w:t>
      </w:r>
      <w:r w:rsidRPr="008B5FCB">
        <w:rPr>
          <w:sz w:val="24"/>
          <w:szCs w:val="24"/>
        </w:rPr>
        <w:t xml:space="preserve"> art. 102, I, alínea “n”, da C</w:t>
      </w:r>
      <w:r>
        <w:rPr>
          <w:sz w:val="24"/>
          <w:szCs w:val="24"/>
        </w:rPr>
        <w:t>F</w:t>
      </w:r>
      <w:r w:rsidRPr="008B5FCB">
        <w:rPr>
          <w:sz w:val="24"/>
          <w:szCs w:val="24"/>
        </w:rPr>
        <w:t xml:space="preserve"> não</w:t>
      </w:r>
      <w:r>
        <w:rPr>
          <w:sz w:val="24"/>
          <w:szCs w:val="24"/>
        </w:rPr>
        <w:t xml:space="preserve"> se dirige </w:t>
      </w:r>
      <w:r w:rsidRPr="008B5FCB">
        <w:rPr>
          <w:sz w:val="24"/>
          <w:szCs w:val="24"/>
        </w:rPr>
        <w:t>a processos administrativos</w:t>
      </w:r>
      <w:r>
        <w:rPr>
          <w:sz w:val="24"/>
          <w:szCs w:val="24"/>
        </w:rPr>
        <w:t xml:space="preserve">, porquanto pressupõe atividade que revela o exercício de jurisdição, razão pela qual não pode ser aplicado por analogia como fundamento para transferir a competência para o TST. Ademais, o próprio Regimento Interno desta Corte não traz previsão de deslocamento da competência originária do TRT para o TST na hipótese de recurso administrativo. </w:t>
      </w:r>
      <w:hyperlink r:id="rId10" w:history="1">
        <w:r w:rsidRPr="00F62796">
          <w:rPr>
            <w:rStyle w:val="Hyperlink"/>
            <w:sz w:val="24"/>
            <w:szCs w:val="24"/>
          </w:rPr>
          <w:t>TST-RecAdm-7296-10.2010.5.07.0000</w:t>
        </w:r>
      </w:hyperlink>
      <w:r w:rsidRPr="003D032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Órgão Especial</w:t>
      </w:r>
      <w:r w:rsidRPr="003D032E">
        <w:rPr>
          <w:sz w:val="24"/>
          <w:szCs w:val="24"/>
          <w:u w:val="single"/>
        </w:rPr>
        <w:t xml:space="preserve">, rel. Min. </w:t>
      </w:r>
      <w:r>
        <w:rPr>
          <w:sz w:val="24"/>
          <w:szCs w:val="24"/>
          <w:u w:val="single"/>
        </w:rPr>
        <w:t>Brito Pereira, 1º.10.2012</w:t>
      </w:r>
      <w:r w:rsidRPr="003D032E">
        <w:rPr>
          <w:sz w:val="24"/>
          <w:szCs w:val="24"/>
          <w:u w:val="single"/>
        </w:rPr>
        <w:t>.</w:t>
      </w:r>
    </w:p>
    <w:p w:rsidR="00B14F7F" w:rsidRPr="00F62796" w:rsidRDefault="00B14F7F" w:rsidP="000C3022">
      <w:pPr>
        <w:ind w:right="-567"/>
        <w:jc w:val="both"/>
        <w:rPr>
          <w:b/>
          <w:i/>
        </w:rPr>
      </w:pPr>
    </w:p>
    <w:p w:rsidR="00BC1DE7" w:rsidRPr="005D1DE4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sz w:val="10"/>
          <w:szCs w:val="10"/>
          <w:u w:val="single"/>
          <w:lang w:val="pt-BR" w:eastAsia="en-US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F62796" w:rsidRPr="00F62796" w:rsidRDefault="00F62796" w:rsidP="00F62796">
      <w:pPr>
        <w:ind w:right="-1"/>
        <w:jc w:val="both"/>
        <w:rPr>
          <w:b/>
          <w:i/>
          <w:sz w:val="10"/>
          <w:szCs w:val="10"/>
        </w:rPr>
      </w:pPr>
    </w:p>
    <w:p w:rsidR="00F62796" w:rsidRPr="008D235F" w:rsidRDefault="00F62796" w:rsidP="00F62796">
      <w:pPr>
        <w:ind w:right="-1"/>
        <w:jc w:val="both"/>
        <w:rPr>
          <w:b/>
          <w:i/>
          <w:sz w:val="24"/>
          <w:szCs w:val="24"/>
        </w:rPr>
      </w:pPr>
      <w:r w:rsidRPr="008D235F">
        <w:rPr>
          <w:b/>
          <w:i/>
          <w:sz w:val="24"/>
          <w:szCs w:val="24"/>
        </w:rPr>
        <w:t>AR. Prazo decadencial. Marco inicial. Matérias não impugnadas no agravo de instrumento interposto da decisão que não admitiu o recurso de revista.  Súmula nº 285 do TST. Inaplicável.</w:t>
      </w:r>
    </w:p>
    <w:p w:rsidR="00B26C77" w:rsidRDefault="00F62796" w:rsidP="00F62796">
      <w:pPr>
        <w:jc w:val="both"/>
        <w:rPr>
          <w:sz w:val="24"/>
          <w:szCs w:val="24"/>
        </w:rPr>
      </w:pPr>
      <w:r>
        <w:rPr>
          <w:sz w:val="24"/>
          <w:szCs w:val="24"/>
        </w:rPr>
        <w:t>Na hipótese em que a</w:t>
      </w:r>
      <w:r w:rsidRPr="0026554A">
        <w:rPr>
          <w:sz w:val="24"/>
          <w:szCs w:val="24"/>
        </w:rPr>
        <w:t xml:space="preserve"> parte, diante da decisão</w:t>
      </w:r>
      <w:r>
        <w:rPr>
          <w:sz w:val="24"/>
          <w:szCs w:val="24"/>
        </w:rPr>
        <w:t xml:space="preserve"> do TRT que não admitiu </w:t>
      </w:r>
      <w:r w:rsidRPr="0026554A">
        <w:rPr>
          <w:sz w:val="24"/>
          <w:szCs w:val="24"/>
        </w:rPr>
        <w:t xml:space="preserve">o seu recurso de revista, </w:t>
      </w:r>
      <w:r>
        <w:rPr>
          <w:sz w:val="24"/>
          <w:szCs w:val="24"/>
        </w:rPr>
        <w:t>interpõe agravo de instrumento impugnando apenas uma matéria</w:t>
      </w:r>
      <w:r w:rsidRPr="0026554A">
        <w:rPr>
          <w:sz w:val="24"/>
          <w:szCs w:val="24"/>
        </w:rPr>
        <w:t>,</w:t>
      </w:r>
      <w:r>
        <w:rPr>
          <w:sz w:val="24"/>
          <w:szCs w:val="24"/>
        </w:rPr>
        <w:t xml:space="preserve"> provido o recurso pelo TST, somente o tema expressamente atacado será analisado, não havendo falar em ampla devolutividade ou incidência da Súmula nº 285 desta Corte, porquanto dirigida apenas ao juízo de admissibilidade realizado pelo Tribunal Regional</w:t>
      </w:r>
      <w:r w:rsidRPr="0026554A">
        <w:rPr>
          <w:sz w:val="24"/>
          <w:szCs w:val="24"/>
        </w:rPr>
        <w:t>.</w:t>
      </w:r>
      <w:r>
        <w:rPr>
          <w:sz w:val="24"/>
          <w:szCs w:val="24"/>
        </w:rPr>
        <w:t xml:space="preserve"> Assim, no que diz respeito às matérias não impugnadas no agravo </w:t>
      </w:r>
    </w:p>
    <w:p w:rsidR="00F62796" w:rsidRPr="008D235F" w:rsidRDefault="00B26C77" w:rsidP="00F62796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62796">
        <w:rPr>
          <w:sz w:val="24"/>
          <w:szCs w:val="24"/>
        </w:rPr>
        <w:lastRenderedPageBreak/>
        <w:t xml:space="preserve">de instrumento, o prazo decadencial para a propositura da ação rescisória conta-se da publicação do despacho denegatório do recurso de revista, e não do trânsito em julgado do agravo de instrumento. Com esse entendimento, a SBDI-II, por maioria, negou provimento ao recurso ordinário, mantendo a decadência pronunciada pelo TRT. Vencidos os Ministros Alexandre Agra Belmonte, relator, e Emmanoel Pereira. </w:t>
      </w:r>
      <w:hyperlink r:id="rId11" w:history="1">
        <w:r w:rsidR="00F62796" w:rsidRPr="00473D9E">
          <w:rPr>
            <w:rStyle w:val="Hyperlink"/>
            <w:sz w:val="24"/>
            <w:szCs w:val="24"/>
          </w:rPr>
          <w:t>TST-RO-3460-72.2010.5.09.0000</w:t>
        </w:r>
      </w:hyperlink>
      <w:r w:rsidR="00F62796" w:rsidRPr="00473D9E">
        <w:rPr>
          <w:sz w:val="24"/>
          <w:szCs w:val="24"/>
          <w:u w:val="single"/>
        </w:rPr>
        <w:t>, SBDI-</w:t>
      </w:r>
      <w:r w:rsidR="00F62796">
        <w:rPr>
          <w:sz w:val="24"/>
          <w:szCs w:val="24"/>
          <w:u w:val="single"/>
        </w:rPr>
        <w:t>II</w:t>
      </w:r>
      <w:r w:rsidR="00F62796" w:rsidRPr="00473D9E">
        <w:rPr>
          <w:sz w:val="24"/>
          <w:szCs w:val="24"/>
          <w:u w:val="single"/>
        </w:rPr>
        <w:t xml:space="preserve">, </w:t>
      </w:r>
      <w:r w:rsidR="00F62796">
        <w:rPr>
          <w:sz w:val="24"/>
          <w:szCs w:val="24"/>
          <w:u w:val="single"/>
        </w:rPr>
        <w:t xml:space="preserve">rel. Min. Alexandre Agra Belmonte, red. p/ acórdão </w:t>
      </w:r>
      <w:r w:rsidR="00F62796" w:rsidRPr="00473D9E">
        <w:rPr>
          <w:sz w:val="24"/>
          <w:szCs w:val="24"/>
          <w:u w:val="single"/>
        </w:rPr>
        <w:t>Min. Guilherme Augusto Caputo Bastos, 25.9.2012.</w:t>
      </w:r>
    </w:p>
    <w:p w:rsidR="006456B1" w:rsidRPr="005D1DE4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F7" w:rsidRDefault="004745F7">
      <w:r>
        <w:separator/>
      </w:r>
    </w:p>
  </w:endnote>
  <w:endnote w:type="continuationSeparator" w:id="0">
    <w:p w:rsidR="004745F7" w:rsidRDefault="004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A1" w:rsidRDefault="00882EA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21B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82EA1" w:rsidRDefault="00882EA1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A1" w:rsidRDefault="00882EA1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621BF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F7" w:rsidRDefault="004745F7">
      <w:r>
        <w:separator/>
      </w:r>
    </w:p>
  </w:footnote>
  <w:footnote w:type="continuationSeparator" w:id="0">
    <w:p w:rsidR="004745F7" w:rsidRDefault="004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A1" w:rsidRPr="00971E07" w:rsidRDefault="00882EA1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>
      <w:rPr>
        <w:shadow/>
        <w:sz w:val="24"/>
        <w:szCs w:val="24"/>
      </w:rPr>
      <w:t>n</w:t>
    </w:r>
    <w:r w:rsidR="00F62796">
      <w:rPr>
        <w:shadow/>
        <w:sz w:val="24"/>
        <w:szCs w:val="24"/>
      </w:rPr>
      <w:t>º 23</w:t>
    </w:r>
  </w:p>
  <w:p w:rsidR="00882EA1" w:rsidRPr="00971E07" w:rsidRDefault="00882EA1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>
      <w:rPr>
        <w:sz w:val="20"/>
        <w:szCs w:val="20"/>
      </w:rPr>
      <w:t xml:space="preserve">Período: </w:t>
    </w:r>
    <w:r w:rsidR="00F62796">
      <w:rPr>
        <w:sz w:val="20"/>
        <w:szCs w:val="20"/>
      </w:rPr>
      <w:t>25 de setembro</w:t>
    </w:r>
    <w:r w:rsidRPr="00971E07">
      <w:rPr>
        <w:sz w:val="20"/>
        <w:szCs w:val="20"/>
      </w:rPr>
      <w:t xml:space="preserve"> a </w:t>
    </w:r>
    <w:r w:rsidR="00F62796">
      <w:rPr>
        <w:sz w:val="20"/>
        <w:szCs w:val="20"/>
      </w:rPr>
      <w:t>1º</w:t>
    </w:r>
    <w:r w:rsidRPr="00971E07">
      <w:rPr>
        <w:sz w:val="20"/>
        <w:szCs w:val="20"/>
      </w:rPr>
      <w:t xml:space="preserve"> de </w:t>
    </w:r>
    <w:r w:rsidR="00F62796">
      <w:rPr>
        <w:sz w:val="20"/>
        <w:szCs w:val="20"/>
      </w:rPr>
      <w:t>outubro</w:t>
    </w:r>
    <w:r w:rsidRPr="00971E07">
      <w:rPr>
        <w:sz w:val="20"/>
        <w:szCs w:val="20"/>
      </w:rPr>
      <w:t xml:space="preserve"> de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A1" w:rsidRDefault="00882EA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45pt;height:76.75pt">
          <v:imagedata r:id="rId1" o:title="TST LOGO"/>
        </v:shape>
      </w:pict>
    </w:r>
  </w:p>
  <w:p w:rsidR="00882EA1" w:rsidRPr="002168DE" w:rsidRDefault="00882EA1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>
      <w:rPr>
        <w:b/>
        <w:sz w:val="40"/>
        <w:szCs w:val="40"/>
      </w:rPr>
      <w:t>23</w:t>
    </w:r>
  </w:p>
  <w:p w:rsidR="00882EA1" w:rsidRPr="005D1DE4" w:rsidRDefault="00882EA1">
    <w:pPr>
      <w:pStyle w:val="Cabealho"/>
      <w:jc w:val="right"/>
      <w:rPr>
        <w:i/>
        <w:iCs/>
        <w:sz w:val="10"/>
        <w:szCs w:val="10"/>
      </w:rPr>
    </w:pPr>
  </w:p>
  <w:p w:rsidR="00882EA1" w:rsidRPr="005D1DE4" w:rsidRDefault="00882EA1">
    <w:pPr>
      <w:pStyle w:val="Cabealho"/>
      <w:jc w:val="right"/>
    </w:pPr>
    <w:r>
      <w:rPr>
        <w:i/>
        <w:iCs/>
      </w:rPr>
      <w:t>Período:</w:t>
    </w:r>
    <w:r w:rsidRPr="005D1DE4">
      <w:rPr>
        <w:i/>
        <w:iCs/>
      </w:rPr>
      <w:t xml:space="preserve"> </w:t>
    </w:r>
    <w:r>
      <w:rPr>
        <w:i/>
        <w:iCs/>
      </w:rPr>
      <w:t>25 de setembro</w:t>
    </w:r>
    <w:r w:rsidRPr="005D1DE4">
      <w:rPr>
        <w:i/>
        <w:iCs/>
      </w:rPr>
      <w:t xml:space="preserve"> a </w:t>
    </w:r>
    <w:r>
      <w:rPr>
        <w:i/>
        <w:iCs/>
      </w:rPr>
      <w:t xml:space="preserve">1º de outubro </w:t>
    </w:r>
    <w:r w:rsidRPr="005D1DE4">
      <w:rPr>
        <w:i/>
        <w:iCs/>
      </w:rPr>
      <w:t>de 2012</w:t>
    </w:r>
  </w:p>
  <w:p w:rsidR="00882EA1" w:rsidRDefault="00882EA1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A57C1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21BF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745F7"/>
    <w:rsid w:val="00475B24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2EA1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26C77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53276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279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11800&amp;digitoTst=35&amp;anoTst=2011&amp;orgaoTst=5&amp;tribunalTst=21&amp;varaTst=0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3460&amp;digitoTst=72&amp;anoTst=2010&amp;orgaoTst=5&amp;tribunalTst=09&amp;varaTst=0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licacao5.tst.jus.br/consultaProcessual/consultaTstNumUnica.do?consulta=Consultar&amp;conscsjt=&amp;numeroTst=7296&amp;digitoTst=10&amp;anoTst=2010&amp;orgaoTst=5&amp;tribunalTst=07&amp;varaTst=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29400&amp;digitoTst=69&amp;anoTst=2011&amp;orgaoTst=5&amp;tribunalTst=21&amp;varaTst=000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516D-FCFF-4213-A3E1-25387D9F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5288</CharactersWithSpaces>
  <SharedDoc>false</SharedDoc>
  <HLinks>
    <vt:vector size="24" baseType="variant">
      <vt:variant>
        <vt:i4>6619258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https://aplicacao5.tst.jus.br/consultaProcessual/consultaTstNumUnica.do?consulta=Consultar&amp;conscsjt=&amp;numeroTst=3460&amp;digitoTst=72&amp;anoTst=2010&amp;orgaoTst=5&amp;tribunalTst=09&amp;varaTst=0000</vt:lpwstr>
      </vt:variant>
      <vt:variant>
        <vt:lpwstr/>
      </vt:variant>
      <vt:variant>
        <vt:i4>6422652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https://aplicacao5.tst.jus.br/consultaProcessual/consultaTstNumUnica.do?consulta=Consultar&amp;conscsjt=&amp;numeroTst=7296&amp;digitoTst=10&amp;anoTst=2010&amp;orgaoTst=5&amp;tribunalTst=07&amp;varaTst=0000</vt:lpwstr>
      </vt:variant>
      <vt:variant>
        <vt:lpwstr/>
      </vt:variant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https://aplicacao5.tst.jus.br/consultaProcessual/consultaTstNumUnica.do?consulta=Consultar&amp;conscsjt=&amp;numeroTst=29400&amp;digitoTst=69&amp;anoTst=2011&amp;orgaoTst=5&amp;tribunalTst=21&amp;varaTst=0000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https://aplicacao5.tst.jus.br/consultaProcessual/consultaTstNumUnica.do?consulta=Consultar&amp;conscsjt=&amp;numeroTst=11800&amp;digitoTst=35&amp;anoTst=2011&amp;orgaoTst=5&amp;tribunalTst=21&amp;varaTst=0000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2018-06-27T22:31:00Z</dcterms:created>
  <dcterms:modified xsi:type="dcterms:W3CDTF">2018-06-27T22:31:00Z</dcterms:modified>
</cp:coreProperties>
</file>