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3667C6" w:rsidRDefault="00C26DFB" w:rsidP="00DC50EB">
            <w:pPr>
              <w:pStyle w:val="Cabealho"/>
              <w:tabs>
                <w:tab w:val="clear" w:pos="4419"/>
                <w:tab w:val="clear" w:pos="8838"/>
              </w:tabs>
              <w:jc w:val="both"/>
              <w:rPr>
                <w:rFonts w:ascii="Times New Roman" w:hAnsi="Times New Roman"/>
                <w:sz w:val="10"/>
                <w:szCs w:val="10"/>
                <w:lang w:val="pt-BR" w:eastAsia="pt-BR"/>
              </w:rPr>
            </w:pPr>
            <w:r w:rsidRPr="003667C6">
              <w:rPr>
                <w:rFonts w:ascii="Times New Roman" w:hAnsi="Times New Roman"/>
                <w:sz w:val="16"/>
                <w:szCs w:val="16"/>
                <w:lang w:val="pt-BR" w:eastAsia="pt-BR"/>
              </w:rPr>
              <w:t>Este Informativo, elaborado a partir de notas tomadas nas sessões de julgamentos, contém resumos não</w:t>
            </w:r>
            <w:r w:rsidR="00DC50EB" w:rsidRPr="003667C6">
              <w:rPr>
                <w:rFonts w:ascii="Times New Roman" w:hAnsi="Times New Roman"/>
                <w:sz w:val="16"/>
                <w:szCs w:val="16"/>
                <w:lang w:val="pt-BR" w:eastAsia="pt-BR"/>
              </w:rPr>
              <w:t xml:space="preserve"> </w:t>
            </w:r>
            <w:r w:rsidRPr="003667C6">
              <w:rPr>
                <w:rFonts w:ascii="Times New Roman" w:hAnsi="Times New Roman"/>
                <w:sz w:val="16"/>
                <w:szCs w:val="16"/>
                <w:lang w:val="pt-BR" w:eastAsia="pt-BR"/>
              </w:rPr>
              <w:t>oficiais de decisões proferidas pelo Tribunal. A fidelidade dos resumos ao conteúdo efetivo das decisões, embora seja uma das metas perseguidas neste trabalho, somente poderá ser aferida após a sua publicação no Diário</w:t>
            </w:r>
            <w:r w:rsidR="00980944" w:rsidRPr="003667C6">
              <w:rPr>
                <w:rFonts w:ascii="Times New Roman" w:hAnsi="Times New Roman"/>
                <w:sz w:val="16"/>
                <w:szCs w:val="16"/>
                <w:lang w:val="pt-BR" w:eastAsia="pt-BR"/>
              </w:rPr>
              <w:t xml:space="preserve"> Eletrônico </w:t>
            </w:r>
            <w:r w:rsidRPr="003667C6">
              <w:rPr>
                <w:rFonts w:ascii="Times New Roman" w:hAnsi="Times New Roman"/>
                <w:sz w:val="16"/>
                <w:szCs w:val="16"/>
                <w:lang w:val="pt-BR" w:eastAsia="pt-BR"/>
              </w:rPr>
              <w:t>da Justiça</w:t>
            </w:r>
            <w:r w:rsidR="00980944" w:rsidRPr="003667C6">
              <w:rPr>
                <w:rFonts w:ascii="Times New Roman" w:hAnsi="Times New Roman"/>
                <w:sz w:val="16"/>
                <w:szCs w:val="16"/>
                <w:lang w:val="pt-BR" w:eastAsia="pt-BR"/>
              </w:rPr>
              <w:t xml:space="preserve"> do Trabalho</w:t>
            </w:r>
            <w:r w:rsidRPr="003667C6">
              <w:rPr>
                <w:rFonts w:ascii="Times New Roman" w:hAnsi="Times New Roman"/>
                <w:sz w:val="16"/>
                <w:szCs w:val="16"/>
                <w:lang w:val="pt-BR" w:eastAsia="pt-BR"/>
              </w:rPr>
              <w:t>.</w:t>
            </w:r>
          </w:p>
        </w:tc>
      </w:tr>
    </w:tbl>
    <w:p w:rsidR="00EA29F5" w:rsidRPr="005D1DE4" w:rsidRDefault="00EA29F5" w:rsidP="00EA29F5">
      <w:pPr>
        <w:pStyle w:val="Corpodetexto2"/>
        <w:jc w:val="center"/>
        <w:rPr>
          <w:b/>
          <w:bCs/>
          <w:emboss/>
          <w:sz w:val="10"/>
          <w:szCs w:val="10"/>
        </w:rPr>
      </w:pPr>
    </w:p>
    <w:p w:rsidR="000228E6"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227854">
        <w:rPr>
          <w:rFonts w:ascii="Times New Roman" w:hAnsi="Times New Roman" w:cs="Times New Roman"/>
          <w:b/>
          <w:bCs/>
          <w:shadow/>
          <w:color w:val="auto"/>
          <w:sz w:val="26"/>
          <w:szCs w:val="26"/>
          <w:lang w:val="pt-BR"/>
        </w:rPr>
        <w:t>TRIBUNAL PLENO</w:t>
      </w:r>
      <w:r>
        <w:rPr>
          <w:rFonts w:ascii="Times New Roman" w:hAnsi="Times New Roman" w:cs="Times New Roman"/>
          <w:b/>
          <w:bCs/>
          <w:shadow/>
          <w:color w:val="auto"/>
          <w:sz w:val="26"/>
          <w:szCs w:val="26"/>
          <w:lang w:val="pt-BR"/>
        </w:rPr>
        <w:tab/>
      </w:r>
    </w:p>
    <w:p w:rsidR="000228E6" w:rsidRPr="005D1DE4" w:rsidRDefault="000228E6" w:rsidP="00EA29F5">
      <w:pPr>
        <w:pStyle w:val="Corpodetexto2"/>
        <w:jc w:val="center"/>
        <w:rPr>
          <w:b/>
          <w:bCs/>
          <w:emboss/>
          <w:sz w:val="10"/>
          <w:szCs w:val="10"/>
        </w:rPr>
      </w:pPr>
    </w:p>
    <w:p w:rsidR="00227854" w:rsidRPr="00DE5E3D" w:rsidRDefault="00227854" w:rsidP="00227854">
      <w:pPr>
        <w:pStyle w:val="Default"/>
        <w:rPr>
          <w:sz w:val="10"/>
          <w:szCs w:val="10"/>
        </w:rPr>
      </w:pPr>
    </w:p>
    <w:p w:rsidR="00227854" w:rsidRDefault="00227854" w:rsidP="00227854">
      <w:pPr>
        <w:pStyle w:val="Corpo"/>
        <w:spacing w:line="240" w:lineRule="auto"/>
        <w:ind w:firstLine="0"/>
        <w:rPr>
          <w:rFonts w:ascii="Times New Roman" w:hAnsi="Times New Roman" w:cs="Times New Roman"/>
          <w:bCs/>
          <w:iCs/>
          <w:lang w:val="pt-BR"/>
        </w:rPr>
      </w:pPr>
      <w:r w:rsidRPr="00227854">
        <w:rPr>
          <w:rFonts w:ascii="Times New Roman" w:hAnsi="Times New Roman" w:cs="Times New Roman"/>
          <w:bCs/>
          <w:iCs/>
          <w:lang w:val="pt-BR"/>
        </w:rPr>
        <w:t>O Tribunal Pleno, na sessão extraordinária do dia 1</w:t>
      </w:r>
      <w:r>
        <w:rPr>
          <w:rFonts w:ascii="Times New Roman" w:hAnsi="Times New Roman" w:cs="Times New Roman"/>
          <w:bCs/>
          <w:iCs/>
          <w:lang w:val="pt-BR"/>
        </w:rPr>
        <w:t>4/9</w:t>
      </w:r>
      <w:r w:rsidRPr="00227854">
        <w:rPr>
          <w:rFonts w:ascii="Times New Roman" w:hAnsi="Times New Roman" w:cs="Times New Roman"/>
          <w:bCs/>
          <w:iCs/>
          <w:lang w:val="pt-BR"/>
        </w:rPr>
        <w:t>/2012</w:t>
      </w:r>
      <w:r>
        <w:rPr>
          <w:rFonts w:ascii="Times New Roman" w:hAnsi="Times New Roman" w:cs="Times New Roman"/>
          <w:bCs/>
          <w:iCs/>
          <w:lang w:val="pt-BR"/>
        </w:rPr>
        <w:t xml:space="preserve"> (Semana do TST)</w:t>
      </w:r>
      <w:r w:rsidRPr="00227854">
        <w:rPr>
          <w:rFonts w:ascii="Times New Roman" w:hAnsi="Times New Roman" w:cs="Times New Roman"/>
          <w:bCs/>
          <w:iCs/>
          <w:lang w:val="pt-BR"/>
        </w:rPr>
        <w:t xml:space="preserve">, aprovou as seguintes modificações na jurisprudência da Corte, </w:t>
      </w:r>
      <w:r>
        <w:rPr>
          <w:rFonts w:ascii="Times New Roman" w:hAnsi="Times New Roman" w:cs="Times New Roman"/>
          <w:bCs/>
          <w:iCs/>
          <w:lang w:val="pt-BR"/>
        </w:rPr>
        <w:t>publicadas</w:t>
      </w:r>
      <w:r w:rsidR="00960BBF">
        <w:rPr>
          <w:rFonts w:ascii="Times New Roman" w:hAnsi="Times New Roman" w:cs="Times New Roman"/>
          <w:bCs/>
          <w:iCs/>
          <w:lang w:val="pt-BR"/>
        </w:rPr>
        <w:t xml:space="preserve">, pela primeira vez, </w:t>
      </w:r>
      <w:r>
        <w:rPr>
          <w:rFonts w:ascii="Times New Roman" w:hAnsi="Times New Roman" w:cs="Times New Roman"/>
          <w:bCs/>
          <w:iCs/>
          <w:lang w:val="pt-BR"/>
        </w:rPr>
        <w:t>no DEJT divulgado em 25/9/2012:</w:t>
      </w:r>
    </w:p>
    <w:p w:rsidR="00227854" w:rsidRDefault="00227854" w:rsidP="00227854">
      <w:pPr>
        <w:pStyle w:val="Corpo"/>
        <w:spacing w:line="240" w:lineRule="auto"/>
        <w:ind w:firstLine="0"/>
        <w:rPr>
          <w:rFonts w:ascii="Times New Roman" w:hAnsi="Times New Roman" w:cs="Times New Roman"/>
          <w:bCs/>
          <w:iCs/>
          <w:lang w:val="pt-BR"/>
        </w:rPr>
      </w:pPr>
    </w:p>
    <w:p w:rsidR="00227854" w:rsidRDefault="00227854" w:rsidP="00227854">
      <w:pPr>
        <w:pStyle w:val="BDRESOLVE"/>
        <w:ind w:firstLine="0"/>
        <w:jc w:val="both"/>
        <w:rPr>
          <w:rFonts w:ascii="Times New Roman" w:hAnsi="Times New Roman"/>
          <w:color w:val="auto"/>
          <w:sz w:val="24"/>
          <w:szCs w:val="24"/>
        </w:rPr>
      </w:pPr>
      <w:r w:rsidRPr="00FC0850">
        <w:rPr>
          <w:rFonts w:ascii="Times New Roman" w:hAnsi="Times New Roman"/>
          <w:color w:val="auto"/>
          <w:sz w:val="24"/>
          <w:szCs w:val="24"/>
        </w:rPr>
        <w:t>SÚMULA N.º 6</w:t>
      </w:r>
    </w:p>
    <w:p w:rsidR="00227854" w:rsidRPr="00FC0850" w:rsidRDefault="00227854" w:rsidP="00227854">
      <w:pPr>
        <w:pStyle w:val="BDRESOLVE"/>
        <w:ind w:firstLine="0"/>
        <w:jc w:val="both"/>
        <w:rPr>
          <w:rFonts w:ascii="Times New Roman" w:hAnsi="Times New Roman"/>
          <w:sz w:val="24"/>
          <w:szCs w:val="24"/>
        </w:rPr>
      </w:pPr>
      <w:r w:rsidRPr="00FC0850">
        <w:rPr>
          <w:rFonts w:ascii="Times New Roman" w:hAnsi="Times New Roman"/>
          <w:b w:val="0"/>
          <w:bCs/>
          <w:sz w:val="24"/>
          <w:szCs w:val="24"/>
        </w:rPr>
        <w:t xml:space="preserve">EQUIPARAÇÃO SALARIAL. ART. 461 DA </w:t>
      </w:r>
      <w:r w:rsidRPr="00B711E7">
        <w:rPr>
          <w:rFonts w:ascii="Times New Roman" w:hAnsi="Times New Roman"/>
          <w:b w:val="0"/>
          <w:bCs/>
          <w:sz w:val="24"/>
          <w:szCs w:val="24"/>
        </w:rPr>
        <w:t>CLT</w:t>
      </w:r>
      <w:r w:rsidRPr="00FC0850">
        <w:rPr>
          <w:rFonts w:ascii="Times New Roman" w:hAnsi="Times New Roman"/>
          <w:bCs/>
          <w:sz w:val="24"/>
          <w:szCs w:val="24"/>
        </w:rPr>
        <w:t xml:space="preserve"> (redação do item VI alterada na sessão do Tribunal Pleno realizada em 14.09.2012)</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 - Para os fins previstos no § 2º do art. 461 da CLT, só é válido o quadro de pessoal organizado em carreira quando homologado pelo Ministério do Trabalho, excluindo-se, apenas, dessa exigência o quadro de carreira das entidades de direito público da administração direta, autárquica e fundacional aprovado por ato administrativo da autoridade competente. (ex-Súmula nº 06 – alterada pela Res. 104/2000, DJ 20.12.2000).</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 - Para efeito de equiparação de salários em caso de trabalho igual, conta-se o tempo de serviço na função e não no emprego. (ex-Súmula nº 135 - RA 102/1982, DJ 11.10.1982 e DJ 15.10.1982)</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III - A equiparação salarial só é possível se o empregado e o paradigma exercerem a mesma função, desempenhando as mesmas tarefas, não importando se os cargos têm, ou não, a mesma denominação. (ex-OJ da SBDI-1 nº 328 - DJ 09.12.2003)</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IV - É desnecessário que, ao tempo da reclamação sobre equiparação salarial, reclamante e paradigma estejam a serviço do estabelecimento, desde que o pedido se relacione com situação pretérita. (ex-Súmula nº 22 - RA 57/1970, DO-GB 27.11.1970)</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V - A cessão de empregados não exclui a equiparação salarial, embora exercida a função em órgão governamental estranho à cedente, se esta responde pelos salários do paradigma e do reclamante. (ex-Súmula nº 111 - RA 102/1980, DJ 25.09.1980)</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VI - Presentes os pressupostos do art. 461 da CLT, é irrelevante a circunstância de que o desnível salarial tenha origem em decisão judicial que beneficiou o paradigma, exceto se decorrente de vantagem pessoal, de tese jurídica superada pela jurisprudência de Corte Superior ou, na hipótese de equiparação salarial em cadeia, suscitada em defesa, se o empregador produzir prova do alegado fato modificativo, impeditivo ou extintivo do direito à equiparação salarial em relação ao paradigma remoto. </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VII - Desde que atendidos os requisitos do art. 461 da CLT, é possível a equiparação salarial de trabalho intelectual, que pode ser avaliado por sua perfeição técnica, cuja aferição terá critérios objetivos. (ex-OJ da SBDI-1 nº 298 - DJ 11.08.2003)</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VIII - É do empregador o ônus da prova do fato impeditivo, modificativo ou extintivo da equiparação salarial. (ex-Súmula nº 68 - RA 9/1977, DJ 11.02.1977)</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IX - Na ação de equiparação salarial, a prescrição é parcial e só alcança as diferenças salariais vencidas no período de 5 (cinco) anos que precedeu o ajuizamento. (ex-Súmula nº 274 - alterada pela Res. 121/2003, DJ 21.11.2003)</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X - O conceito de "mesma localidade" de que trata o art. 461 da CLT refere-se, em princípio, ao mesmo município, ou a municípios distintos que, comprovadamente, pertençam à mesma região metropolitana. (ex-OJ da SBDI-1 nº 252 - inserida em 13.03.2002)</w:t>
      </w:r>
    </w:p>
    <w:p w:rsidR="00227854" w:rsidRDefault="00227854" w:rsidP="00227854">
      <w:pPr>
        <w:pStyle w:val="BDRESOLVE"/>
        <w:ind w:firstLine="0"/>
        <w:jc w:val="both"/>
        <w:rPr>
          <w:rFonts w:ascii="Times New Roman" w:hAnsi="Times New Roman"/>
          <w:b w:val="0"/>
          <w:sz w:val="24"/>
          <w:szCs w:val="24"/>
        </w:rPr>
      </w:pPr>
    </w:p>
    <w:p w:rsidR="00DE5E3D" w:rsidRPr="00FC0850" w:rsidRDefault="00DE5E3D" w:rsidP="00227854">
      <w:pPr>
        <w:pStyle w:val="BDRESOLVE"/>
        <w:ind w:firstLine="0"/>
        <w:jc w:val="both"/>
        <w:rPr>
          <w:rFonts w:ascii="Times New Roman" w:hAnsi="Times New Roman"/>
          <w:b w:val="0"/>
          <w:sz w:val="24"/>
          <w:szCs w:val="24"/>
        </w:rPr>
      </w:pPr>
    </w:p>
    <w:p w:rsidR="00227854" w:rsidRDefault="00227854" w:rsidP="00227854">
      <w:pPr>
        <w:pStyle w:val="BDRESOLVE"/>
        <w:ind w:firstLine="0"/>
        <w:jc w:val="both"/>
        <w:rPr>
          <w:rFonts w:ascii="Times New Roman" w:hAnsi="Times New Roman"/>
          <w:color w:val="auto"/>
          <w:sz w:val="24"/>
          <w:szCs w:val="24"/>
        </w:rPr>
      </w:pPr>
      <w:r w:rsidRPr="00FC0850">
        <w:rPr>
          <w:rFonts w:ascii="Times New Roman" w:hAnsi="Times New Roman"/>
          <w:color w:val="auto"/>
          <w:sz w:val="24"/>
          <w:szCs w:val="24"/>
        </w:rPr>
        <w:t>SÚMULA N.º 10</w:t>
      </w:r>
    </w:p>
    <w:p w:rsidR="00227854" w:rsidRPr="00FC0850" w:rsidRDefault="00227854" w:rsidP="00227854">
      <w:pPr>
        <w:pStyle w:val="BDRESOLVE"/>
        <w:ind w:firstLine="0"/>
        <w:jc w:val="both"/>
        <w:rPr>
          <w:rFonts w:ascii="Times New Roman" w:hAnsi="Times New Roman"/>
          <w:sz w:val="24"/>
          <w:szCs w:val="24"/>
        </w:rPr>
      </w:pPr>
      <w:r w:rsidRPr="00FC0850">
        <w:rPr>
          <w:rFonts w:ascii="Times New Roman" w:hAnsi="Times New Roman"/>
          <w:b w:val="0"/>
          <w:sz w:val="24"/>
          <w:szCs w:val="24"/>
        </w:rPr>
        <w:t xml:space="preserve">PROFESSOR. DISPENSA SEM JUSTA CAUSA. TÉRMINO DO ANO LETIVO OU NO CURSO DE FÉRIAS ESCOLARES. AVISO </w:t>
      </w:r>
      <w:r w:rsidRPr="00FC0850">
        <w:rPr>
          <w:rFonts w:ascii="Times New Roman" w:hAnsi="Times New Roman"/>
          <w:sz w:val="24"/>
          <w:szCs w:val="24"/>
        </w:rPr>
        <w:t>PRÉVIO (redação alterada em sessão do Tribunal Pleno realizada em 14.09.2012)</w:t>
      </w:r>
    </w:p>
    <w:p w:rsidR="00227854"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O direito aos salários do período de férias escolares assegurado aos professores (art. 322, caput e § 3º, da CLT) não exclui o direito ao aviso prévio, na hipótese de dispensa sem justa causa ao término do ano letivo ou no curso das férias escolares.</w:t>
      </w:r>
    </w:p>
    <w:p w:rsidR="00B711E7" w:rsidRPr="00B711E7" w:rsidRDefault="00B711E7" w:rsidP="00227854">
      <w:pPr>
        <w:pStyle w:val="BDRESOLVE"/>
        <w:ind w:firstLine="0"/>
        <w:jc w:val="both"/>
        <w:rPr>
          <w:rFonts w:ascii="Times New Roman" w:hAnsi="Times New Roman"/>
          <w:b w:val="0"/>
        </w:rPr>
      </w:pPr>
    </w:p>
    <w:p w:rsidR="00B711E7" w:rsidRDefault="00B711E7" w:rsidP="00B711E7">
      <w:pPr>
        <w:pStyle w:val="BDRESOLVE"/>
        <w:ind w:firstLine="0"/>
        <w:jc w:val="both"/>
        <w:rPr>
          <w:rFonts w:ascii="Times New Roman" w:hAnsi="Times New Roman"/>
          <w:b w:val="0"/>
          <w:sz w:val="24"/>
          <w:szCs w:val="24"/>
        </w:rPr>
      </w:pPr>
      <w:r w:rsidRPr="00B711E7">
        <w:rPr>
          <w:rFonts w:ascii="Times New Roman" w:hAnsi="Times New Roman"/>
          <w:color w:val="auto"/>
          <w:sz w:val="24"/>
          <w:szCs w:val="24"/>
        </w:rPr>
        <w:t>SÚMULA N.º 124</w:t>
      </w:r>
      <w:r w:rsidRPr="00B711E7">
        <w:rPr>
          <w:rFonts w:ascii="Times New Roman" w:hAnsi="Times New Roman"/>
          <w:b w:val="0"/>
          <w:sz w:val="24"/>
          <w:szCs w:val="24"/>
        </w:rPr>
        <w:t xml:space="preserve"> </w:t>
      </w:r>
    </w:p>
    <w:p w:rsidR="00B711E7" w:rsidRPr="00B711E7" w:rsidRDefault="00B711E7" w:rsidP="00B711E7">
      <w:pPr>
        <w:pStyle w:val="BDRESOLVE"/>
        <w:ind w:firstLine="0"/>
        <w:jc w:val="both"/>
        <w:rPr>
          <w:rFonts w:ascii="Times New Roman" w:hAnsi="Times New Roman"/>
          <w:sz w:val="24"/>
          <w:szCs w:val="24"/>
        </w:rPr>
      </w:pPr>
      <w:r w:rsidRPr="00B711E7">
        <w:rPr>
          <w:rFonts w:ascii="Times New Roman" w:hAnsi="Times New Roman"/>
          <w:b w:val="0"/>
          <w:sz w:val="24"/>
          <w:szCs w:val="24"/>
        </w:rPr>
        <w:t xml:space="preserve">BANCÁRIO. SALÁRIO-HORA. DIVISOR </w:t>
      </w:r>
      <w:r w:rsidRPr="00B711E7">
        <w:rPr>
          <w:rFonts w:ascii="Times New Roman" w:hAnsi="Times New Roman"/>
          <w:sz w:val="24"/>
          <w:szCs w:val="24"/>
        </w:rPr>
        <w:t>(redação alterada na sessão do Tribunal Pleno realizada em 14.09.2012)</w:t>
      </w:r>
    </w:p>
    <w:p w:rsidR="00B711E7" w:rsidRPr="00B711E7" w:rsidRDefault="00B711E7" w:rsidP="00B711E7">
      <w:pPr>
        <w:pStyle w:val="BDRESOLVE"/>
        <w:ind w:firstLine="0"/>
        <w:jc w:val="both"/>
        <w:rPr>
          <w:rFonts w:ascii="Times New Roman" w:hAnsi="Times New Roman"/>
          <w:b w:val="0"/>
          <w:sz w:val="24"/>
          <w:szCs w:val="24"/>
        </w:rPr>
      </w:pPr>
      <w:r w:rsidRPr="00B711E7">
        <w:rPr>
          <w:rFonts w:ascii="Times New Roman" w:hAnsi="Times New Roman"/>
          <w:b w:val="0"/>
          <w:sz w:val="24"/>
          <w:szCs w:val="24"/>
        </w:rPr>
        <w:t xml:space="preserve">I – O divisor aplicável para o cálculo das horas extras do bancário, se houver ajuste individual expresso ou coletivo no sentido de considerar o sábado como dia de descanso remunerado, será: </w:t>
      </w:r>
    </w:p>
    <w:p w:rsidR="00B711E7" w:rsidRPr="00B711E7" w:rsidRDefault="00B711E7" w:rsidP="00B711E7">
      <w:pPr>
        <w:pStyle w:val="BDRESOLVE"/>
        <w:ind w:firstLine="0"/>
        <w:jc w:val="both"/>
        <w:rPr>
          <w:rFonts w:ascii="Times New Roman" w:hAnsi="Times New Roman"/>
          <w:b w:val="0"/>
          <w:sz w:val="24"/>
          <w:szCs w:val="24"/>
        </w:rPr>
      </w:pPr>
      <w:r w:rsidRPr="00B711E7">
        <w:rPr>
          <w:rFonts w:ascii="Times New Roman" w:hAnsi="Times New Roman"/>
          <w:b w:val="0"/>
          <w:sz w:val="24"/>
          <w:szCs w:val="24"/>
        </w:rPr>
        <w:t xml:space="preserve">a) 150, para os empregados submetidos à jornada de seis horas, prevista no caput do art. 224 da CLT; </w:t>
      </w:r>
    </w:p>
    <w:p w:rsidR="00B711E7" w:rsidRPr="00B711E7" w:rsidRDefault="00B711E7" w:rsidP="00B711E7">
      <w:pPr>
        <w:pStyle w:val="BDRESOLVE"/>
        <w:ind w:firstLine="0"/>
        <w:jc w:val="both"/>
        <w:rPr>
          <w:rFonts w:ascii="Times New Roman" w:hAnsi="Times New Roman"/>
          <w:b w:val="0"/>
          <w:sz w:val="24"/>
          <w:szCs w:val="24"/>
        </w:rPr>
      </w:pPr>
      <w:r w:rsidRPr="00B711E7">
        <w:rPr>
          <w:rFonts w:ascii="Times New Roman" w:hAnsi="Times New Roman"/>
          <w:b w:val="0"/>
          <w:sz w:val="24"/>
          <w:szCs w:val="24"/>
        </w:rPr>
        <w:t>b) 200, para os empregados submetidos à jornada de oito horas, nos termos do § 2º do art. 224 da CLT.</w:t>
      </w:r>
    </w:p>
    <w:p w:rsidR="00B711E7" w:rsidRPr="00B711E7" w:rsidRDefault="00B711E7" w:rsidP="00B711E7">
      <w:pPr>
        <w:pStyle w:val="BDRESOLVE"/>
        <w:ind w:firstLine="0"/>
        <w:jc w:val="both"/>
        <w:rPr>
          <w:rFonts w:ascii="Times New Roman" w:hAnsi="Times New Roman"/>
          <w:b w:val="0"/>
          <w:sz w:val="24"/>
          <w:szCs w:val="24"/>
        </w:rPr>
      </w:pPr>
      <w:r w:rsidRPr="00B711E7">
        <w:rPr>
          <w:rFonts w:ascii="Times New Roman" w:hAnsi="Times New Roman"/>
          <w:b w:val="0"/>
          <w:sz w:val="24"/>
          <w:szCs w:val="24"/>
        </w:rPr>
        <w:t>II – Nas demais hipóteses, aplicar-se-á o divisor:</w:t>
      </w:r>
    </w:p>
    <w:p w:rsidR="00B711E7" w:rsidRPr="00B711E7" w:rsidRDefault="00B711E7" w:rsidP="00B711E7">
      <w:pPr>
        <w:pStyle w:val="BDRESOLVE"/>
        <w:ind w:firstLine="0"/>
        <w:jc w:val="both"/>
        <w:rPr>
          <w:rFonts w:ascii="Times New Roman" w:hAnsi="Times New Roman"/>
          <w:b w:val="0"/>
          <w:sz w:val="24"/>
          <w:szCs w:val="24"/>
        </w:rPr>
      </w:pPr>
      <w:r w:rsidRPr="00B711E7">
        <w:rPr>
          <w:rFonts w:ascii="Times New Roman" w:hAnsi="Times New Roman"/>
          <w:b w:val="0"/>
          <w:sz w:val="24"/>
          <w:szCs w:val="24"/>
        </w:rPr>
        <w:t xml:space="preserve">a) 180, para os empregados submetidos à jornada de seis horas prevista no caput do art. 224 da CLT; </w:t>
      </w:r>
    </w:p>
    <w:p w:rsidR="00B711E7" w:rsidRPr="00B711E7" w:rsidRDefault="00B711E7" w:rsidP="00B711E7">
      <w:pPr>
        <w:pStyle w:val="BDRESOLVE"/>
        <w:ind w:firstLine="0"/>
        <w:jc w:val="both"/>
        <w:rPr>
          <w:rFonts w:ascii="Times New Roman" w:hAnsi="Times New Roman"/>
          <w:b w:val="0"/>
          <w:sz w:val="24"/>
          <w:szCs w:val="24"/>
        </w:rPr>
      </w:pPr>
      <w:r w:rsidRPr="00B711E7">
        <w:rPr>
          <w:rFonts w:ascii="Times New Roman" w:hAnsi="Times New Roman"/>
          <w:b w:val="0"/>
          <w:sz w:val="24"/>
          <w:szCs w:val="24"/>
        </w:rPr>
        <w:t>b) 220, para os empregados submetidos à jornada de oito horas, nos termos do § 2º do art. 224 da CLT.</w:t>
      </w:r>
    </w:p>
    <w:p w:rsidR="00227854" w:rsidRPr="00DE5E3D" w:rsidRDefault="00227854" w:rsidP="00227854">
      <w:pPr>
        <w:pStyle w:val="BDRESOLVE"/>
        <w:ind w:firstLine="0"/>
        <w:jc w:val="both"/>
        <w:rPr>
          <w:rFonts w:ascii="Times New Roman" w:hAnsi="Times New Roman"/>
          <w:b w:val="0"/>
        </w:rPr>
      </w:pPr>
    </w:p>
    <w:p w:rsidR="00227854" w:rsidRDefault="00227854" w:rsidP="00227854">
      <w:pPr>
        <w:widowControl w:val="0"/>
        <w:jc w:val="both"/>
        <w:rPr>
          <w:b/>
          <w:snapToGrid w:val="0"/>
          <w:sz w:val="24"/>
          <w:szCs w:val="24"/>
        </w:rPr>
      </w:pPr>
      <w:r w:rsidRPr="00FC0850">
        <w:rPr>
          <w:b/>
          <w:snapToGrid w:val="0"/>
          <w:sz w:val="24"/>
          <w:szCs w:val="24"/>
        </w:rPr>
        <w:t>SÚMULA N.º 136</w:t>
      </w:r>
    </w:p>
    <w:p w:rsidR="00227854" w:rsidRPr="00FC0850" w:rsidRDefault="00227854" w:rsidP="00227854">
      <w:pPr>
        <w:widowControl w:val="0"/>
        <w:jc w:val="both"/>
        <w:rPr>
          <w:snapToGrid w:val="0"/>
          <w:sz w:val="24"/>
          <w:szCs w:val="24"/>
        </w:rPr>
      </w:pPr>
      <w:r w:rsidRPr="00FC0850">
        <w:rPr>
          <w:snapToGrid w:val="0"/>
          <w:sz w:val="24"/>
          <w:szCs w:val="24"/>
        </w:rPr>
        <w:t>JUIZ. IDENTIDADE FÍSICA.</w:t>
      </w:r>
      <w:r w:rsidRPr="00FC0850">
        <w:rPr>
          <w:sz w:val="24"/>
          <w:szCs w:val="24"/>
        </w:rPr>
        <w:t xml:space="preserve"> </w:t>
      </w:r>
      <w:r w:rsidRPr="00FC0850">
        <w:rPr>
          <w:b/>
          <w:snapToGrid w:val="0"/>
          <w:sz w:val="24"/>
          <w:szCs w:val="24"/>
        </w:rPr>
        <w:t>(cancelada)</w:t>
      </w:r>
    </w:p>
    <w:p w:rsidR="00227854" w:rsidRPr="00FC0850" w:rsidRDefault="00227854" w:rsidP="00227854">
      <w:pPr>
        <w:widowControl w:val="0"/>
        <w:jc w:val="both"/>
        <w:rPr>
          <w:snapToGrid w:val="0"/>
          <w:sz w:val="24"/>
          <w:szCs w:val="24"/>
        </w:rPr>
      </w:pPr>
      <w:r w:rsidRPr="00FC0850">
        <w:rPr>
          <w:snapToGrid w:val="0"/>
          <w:sz w:val="24"/>
          <w:szCs w:val="24"/>
        </w:rPr>
        <w:t>Não se aplica às Varas do Trabalho o princípio da identidade física do juiz (ex-Prejulgado nº 7).</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SÚMULA N.º 221</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RECURSO DE REVISTA. VIOLAÇÃO DE LEI. INDICAÇÃO DE PRECEITO </w:t>
      </w:r>
      <w:r w:rsidRPr="00FC0850">
        <w:rPr>
          <w:rFonts w:ascii="Times New Roman" w:hAnsi="Times New Roman"/>
          <w:sz w:val="24"/>
          <w:szCs w:val="24"/>
        </w:rPr>
        <w:t>(cancelado o item II e conferida nova redação na sessão do Tribunal Pleno realizada em 14.09.2012)</w:t>
      </w:r>
    </w:p>
    <w:p w:rsidR="00227854"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A admissibilidade do recurso de revista por violação tem como pressuposto a indicação expressa do dispositivo de lei ou da Constituição tido como violado.</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SÚMULA N.º 228</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ADICIONAL DE INSALUBRIDADE. BASE DE CÁLCULO (redação alterada na sessão do Tribunal Pleno em 26.06.2008) - Res. 148/2008, DJ 04 e 07.07.2008 - Republicada DJ 08, 09 e 10.07.2008. </w:t>
      </w:r>
      <w:r w:rsidRPr="00FC0850">
        <w:rPr>
          <w:rFonts w:ascii="Times New Roman" w:hAnsi="Times New Roman"/>
          <w:sz w:val="24"/>
          <w:szCs w:val="24"/>
        </w:rPr>
        <w:t>Súmula cuja eficácia está suspensa por decisão liminar do Supremo Tribunal Federal</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A partir de 9 de maio de 2008, data da publicação da Súmula Vinculante nº 4 do Supremo Tribunal Federal, o adicional de insalubridade será calculado sobre o salário básico, salvo critério mais vantajoso fixado em instrumento coletivo.</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SÚMULA N.º 244</w:t>
      </w:r>
    </w:p>
    <w:p w:rsidR="00227854" w:rsidRPr="00FC0850" w:rsidRDefault="00227854" w:rsidP="00227854">
      <w:pPr>
        <w:pStyle w:val="BDRESOLVE"/>
        <w:ind w:firstLine="0"/>
        <w:jc w:val="both"/>
        <w:rPr>
          <w:rFonts w:ascii="Times New Roman" w:hAnsi="Times New Roman"/>
          <w:sz w:val="24"/>
          <w:szCs w:val="24"/>
        </w:rPr>
      </w:pPr>
      <w:r w:rsidRPr="00FC0850">
        <w:rPr>
          <w:rFonts w:ascii="Times New Roman" w:hAnsi="Times New Roman"/>
          <w:b w:val="0"/>
          <w:sz w:val="24"/>
          <w:szCs w:val="24"/>
        </w:rPr>
        <w:t xml:space="preserve">GESTANTE.  ESTABILIDADE PROVISÓRIA </w:t>
      </w:r>
      <w:r w:rsidRPr="00FC0850">
        <w:rPr>
          <w:rFonts w:ascii="Times New Roman" w:hAnsi="Times New Roman"/>
          <w:sz w:val="24"/>
          <w:szCs w:val="24"/>
        </w:rPr>
        <w:t>(redação do item III alterada na sessão do Tribunal Pleno realizada em 14.09.2012)</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 - O desconhecimento do estado gravídico pelo empregador não afasta o direito ao pagamento da indenização decorrente da estabilidade (art. 10, II, "b" do ADCT).</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 A garantia de emprego à gestante só autoriza a reintegração se esta se der durante o período de estabilidade. Do contrário, a garantia restringe-se aos salários e demais direitos correspondentes ao período de estabilidade.</w:t>
      </w:r>
    </w:p>
    <w:p w:rsidR="00227854"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III. A empregada gestante tem direito à estabilidade provisória prevista no art. 10, inciso II, alínea “b”, do Ato das Disposições Constitucionais Transitórias, mesmo na hipótese de admissão mediante contrato por tempo determinado.</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SÚMULA N.º 277</w:t>
      </w:r>
    </w:p>
    <w:p w:rsidR="00227854" w:rsidRPr="00FC0850" w:rsidRDefault="00227854" w:rsidP="00227854">
      <w:pPr>
        <w:pStyle w:val="BDRESOLVE"/>
        <w:ind w:firstLine="0"/>
        <w:jc w:val="both"/>
        <w:rPr>
          <w:rFonts w:ascii="Times New Roman" w:hAnsi="Times New Roman"/>
          <w:sz w:val="24"/>
          <w:szCs w:val="24"/>
        </w:rPr>
      </w:pPr>
      <w:r w:rsidRPr="00FC0850">
        <w:rPr>
          <w:rFonts w:ascii="Times New Roman" w:hAnsi="Times New Roman"/>
          <w:b w:val="0"/>
          <w:sz w:val="24"/>
          <w:szCs w:val="24"/>
        </w:rPr>
        <w:t xml:space="preserve">CONVENÇÃO COLETIVA DE TRABALHO OU ACORDO COLETIVO DE TRABALHO. EFICÁCIA. ULTRATIVIDADE </w:t>
      </w:r>
      <w:r w:rsidRPr="00FC0850">
        <w:rPr>
          <w:rFonts w:ascii="Times New Roman" w:hAnsi="Times New Roman"/>
          <w:sz w:val="24"/>
          <w:szCs w:val="24"/>
        </w:rPr>
        <w:t>(redação alterada na sessão do Tribunal Pleno realizada em 14.09.2012)</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As cláusulas normativas dos acordos coletivos ou convenções coletivas integram os contratos individuais de trabalho e somente poderão ser modificadas ou suprimidas mediante negociação coletiva de trabalho.</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SÚMULA N.º 337</w:t>
      </w:r>
    </w:p>
    <w:p w:rsidR="00227854" w:rsidRPr="00FC0850" w:rsidRDefault="00227854" w:rsidP="00227854">
      <w:pPr>
        <w:pStyle w:val="BDRESOLVE"/>
        <w:ind w:firstLine="0"/>
        <w:jc w:val="both"/>
        <w:rPr>
          <w:rFonts w:ascii="Times New Roman" w:hAnsi="Times New Roman"/>
          <w:sz w:val="24"/>
          <w:szCs w:val="24"/>
        </w:rPr>
      </w:pPr>
      <w:r w:rsidRPr="00FC0850">
        <w:rPr>
          <w:rFonts w:ascii="Times New Roman" w:hAnsi="Times New Roman"/>
          <w:b w:val="0"/>
          <w:sz w:val="24"/>
          <w:szCs w:val="24"/>
        </w:rPr>
        <w:t xml:space="preserve">COMPROVAÇÃO DE DIVERGÊNCIA JURISPRUDENCIAL. RECURSOS DE REVISTA E DE EMBARGOS </w:t>
      </w:r>
      <w:r w:rsidRPr="00FC0850">
        <w:rPr>
          <w:rFonts w:ascii="Times New Roman" w:hAnsi="Times New Roman"/>
          <w:sz w:val="24"/>
          <w:szCs w:val="24"/>
        </w:rPr>
        <w:t>(redação do item IV alterada na sessão do Tribunal Pleno realizada em 14.09.2012)</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 - Para comprovação da divergência justificadora do recurso, é necessário que o recorrente:</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a) Junte certidão ou cópia autenticada do acórdão paradigma ou cite a fonte oficial ou o repositório autorizado em que foi publicado; e</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b) Transcreva, nas razões recursais, as ementas e/ou trechos dos acórdãos trazidos à configuração do dissídio, demonstrando o conflito de teses que justifique o conhecimento do recurso, ainda que os acórdãos já se encontrem nos autos ou venham a ser juntados com o recurso.</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 - A concessão de registro de publicação como repositório autorizado de jurisprudência do TST torna válidas todas as suas edições anteriores.</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III - A mera indicação da data de publicação, em fonte oficial, de aresto paradigma é inválida para comprovação de divergência jurisprudencial, nos termos do item I, “a”, desta súmula, quando a parte pretende demonstrar o conflito de teses mediante a transcrição de trechos que integram a fundamentação do acórdão divergente, uma vez que só se publicam o dispositivo e a ementa dos acórdãos.</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IV - É válida para a comprovação da divergência jurisprudencial justificadora do recurso a indicação de aresto extraído de repositório oficial na </w:t>
      </w:r>
      <w:r w:rsidRPr="00FC0850">
        <w:rPr>
          <w:rFonts w:ascii="Times New Roman" w:hAnsi="Times New Roman"/>
          <w:b w:val="0"/>
          <w:i/>
          <w:sz w:val="24"/>
          <w:szCs w:val="24"/>
        </w:rPr>
        <w:t>internet</w:t>
      </w:r>
      <w:r w:rsidRPr="00FC0850">
        <w:rPr>
          <w:rFonts w:ascii="Times New Roman" w:hAnsi="Times New Roman"/>
          <w:b w:val="0"/>
          <w:sz w:val="24"/>
          <w:szCs w:val="24"/>
        </w:rPr>
        <w:t xml:space="preserve">, desde que o recorrente: </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a) transcreva o trecho divergente; </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b) aponte o sítio de onde foi extraído; e</w:t>
      </w:r>
    </w:p>
    <w:p w:rsidR="00227854"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c) decline o número do processo, o órgão prolator do acórdão e a data da respectiva publicação no Diário Eletrônico da Justiça do Trabalho.</w:t>
      </w:r>
    </w:p>
    <w:p w:rsidR="00227854" w:rsidRPr="00DE5E3D" w:rsidRDefault="00227854" w:rsidP="00227854">
      <w:pPr>
        <w:pStyle w:val="BDRESOLVE"/>
        <w:ind w:firstLine="0"/>
        <w:jc w:val="both"/>
        <w:rPr>
          <w:rFonts w:ascii="Times New Roman" w:hAnsi="Times New Roman"/>
          <w:b w:val="0"/>
        </w:rPr>
      </w:pPr>
    </w:p>
    <w:p w:rsidR="00227854" w:rsidRDefault="00227854" w:rsidP="00227854">
      <w:pPr>
        <w:widowControl w:val="0"/>
        <w:jc w:val="both"/>
        <w:rPr>
          <w:b/>
          <w:snapToGrid w:val="0"/>
          <w:sz w:val="24"/>
          <w:szCs w:val="24"/>
        </w:rPr>
      </w:pPr>
      <w:r w:rsidRPr="00FC0850">
        <w:rPr>
          <w:b/>
          <w:snapToGrid w:val="0"/>
          <w:sz w:val="24"/>
          <w:szCs w:val="24"/>
        </w:rPr>
        <w:t>SÚMULA N.º 343</w:t>
      </w:r>
    </w:p>
    <w:p w:rsidR="00227854" w:rsidRPr="00FC0850" w:rsidRDefault="00227854" w:rsidP="00227854">
      <w:pPr>
        <w:widowControl w:val="0"/>
        <w:jc w:val="both"/>
        <w:rPr>
          <w:snapToGrid w:val="0"/>
          <w:sz w:val="24"/>
          <w:szCs w:val="24"/>
        </w:rPr>
      </w:pPr>
      <w:r w:rsidRPr="00FC0850">
        <w:rPr>
          <w:snapToGrid w:val="0"/>
          <w:sz w:val="24"/>
          <w:szCs w:val="24"/>
        </w:rPr>
        <w:t xml:space="preserve">BANCÁRIO. HORA DE SALÁRIO </w:t>
      </w:r>
      <w:r w:rsidRPr="00FC0850">
        <w:rPr>
          <w:b/>
          <w:snapToGrid w:val="0"/>
          <w:sz w:val="24"/>
          <w:szCs w:val="24"/>
        </w:rPr>
        <w:t>(cancelada)</w:t>
      </w:r>
    </w:p>
    <w:p w:rsidR="00227854" w:rsidRPr="00FC0850" w:rsidRDefault="00227854" w:rsidP="00227854">
      <w:pPr>
        <w:widowControl w:val="0"/>
        <w:jc w:val="both"/>
        <w:rPr>
          <w:snapToGrid w:val="0"/>
          <w:sz w:val="24"/>
          <w:szCs w:val="24"/>
        </w:rPr>
      </w:pPr>
      <w:r w:rsidRPr="00FC0850">
        <w:rPr>
          <w:snapToGrid w:val="0"/>
          <w:sz w:val="24"/>
          <w:szCs w:val="24"/>
        </w:rPr>
        <w:t>O bancário sujeito à jornada de 8 (oito) horas (art. 224, § 2º, da CLT), após a CF/1988, tem salário-hora calculado com base no divisor 220 (duzentos e vinte), não mais 240 (duzentos e quarenta).</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SÚMULA N.º 369</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DIRIGENTE SINDICAL. ESTABILIDADE PROVISÓRIA </w:t>
      </w:r>
      <w:r w:rsidRPr="00FC0850">
        <w:rPr>
          <w:rFonts w:ascii="Times New Roman" w:hAnsi="Times New Roman"/>
          <w:sz w:val="24"/>
          <w:szCs w:val="24"/>
        </w:rPr>
        <w:t>(redação do item I alterada na sessão do Tribunal Pleno realizada em 14.09.2012)</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 - É assegurada a estabilidade provisória ao empregado dirigente sindical, ainda que a comunicação do registro da candidatura ou da eleição e da posse seja realizada fora do prazo previsto no art. 543, § 5º, da CLT, desde que a ciência ao empregador, por qualquer meio, ocorra na vigência do contrato de trabalho.</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 - O art. 522 da CLT foi recepcionado pela Constituição Federal de 1988. Fica limitada, assim, a estabilidade a que alude o art. 543, § 3.º, da CLT a sete dirigentes sindicais e igual número de suplentes.</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III - O empregado de categoria diferenciada eleito dirigente sindical só goza de estabilidade se exercer na empresa atividade pertinente à categoria profissional do sindicato para o qual foi eleito dirigente.</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IV - Havendo extinção da atividade empresarial no âmbito da base territorial do sindicato, não há razão para subsistir a estabilidade.</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V - O registro da candidatura do empregado a cargo de dirigente sindical durante o período de aviso prévio, ainda que indenizado, não lhe assegura a estabilidade, visto que inaplicável a regra do § 3º do art. 543 da Consolidação das Leis do Trabalho.</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SÚMULA N.º 378</w:t>
      </w:r>
    </w:p>
    <w:p w:rsidR="00227854" w:rsidRPr="00FC0850" w:rsidRDefault="00227854" w:rsidP="00227854">
      <w:pPr>
        <w:pStyle w:val="BDRESOLVE"/>
        <w:ind w:firstLine="0"/>
        <w:jc w:val="both"/>
        <w:rPr>
          <w:rFonts w:ascii="Times New Roman" w:hAnsi="Times New Roman"/>
          <w:sz w:val="24"/>
          <w:szCs w:val="24"/>
        </w:rPr>
      </w:pPr>
      <w:r w:rsidRPr="00FC0850">
        <w:rPr>
          <w:rFonts w:ascii="Times New Roman" w:hAnsi="Times New Roman"/>
          <w:b w:val="0"/>
          <w:sz w:val="24"/>
          <w:szCs w:val="24"/>
        </w:rPr>
        <w:t xml:space="preserve">ESTABILIDADE PROVISÓRIA. ACIDENTE DE TRABALHO. ART. 118 DA LEI Nº 8.213/91 </w:t>
      </w:r>
      <w:r w:rsidRPr="00FC0850">
        <w:rPr>
          <w:rFonts w:ascii="Times New Roman" w:hAnsi="Times New Roman"/>
          <w:sz w:val="24"/>
          <w:szCs w:val="24"/>
        </w:rPr>
        <w:t>(inserido o item III)</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 - É constitucional o artigo 118 da Lei nº 8.213/1991 que assegura o direito à estabilidade provisória por período de 12 meses após a cessação do auxílio-doença ao empregado acidentado. (ex-OJ nº 105 da SBDI-1 - inserida em 01.10.1997)</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 - São pressupostos para a concessão da estabilidade o afastament</w:t>
      </w:r>
      <w:r w:rsidR="00960BBF">
        <w:rPr>
          <w:rFonts w:ascii="Times New Roman" w:hAnsi="Times New Roman"/>
          <w:b w:val="0"/>
          <w:sz w:val="24"/>
          <w:szCs w:val="24"/>
        </w:rPr>
        <w:t>o superior a 15 dias e a consequ</w:t>
      </w:r>
      <w:r w:rsidRPr="00FC0850">
        <w:rPr>
          <w:rFonts w:ascii="Times New Roman" w:hAnsi="Times New Roman"/>
          <w:b w:val="0"/>
          <w:sz w:val="24"/>
          <w:szCs w:val="24"/>
        </w:rPr>
        <w:t>ente percepção do auxílio-doença acidentário, salvo se constatada, após a despedida, doença profissional que guarde relação de causalidade com a execução do contrato de emprego. (primeira parte - ex-OJ nº 230 da SBDI-1 - inserida em 20.06.2001)</w:t>
      </w:r>
    </w:p>
    <w:p w:rsidR="00227854" w:rsidRPr="00FC0850" w:rsidRDefault="00227854" w:rsidP="00227854">
      <w:pPr>
        <w:pStyle w:val="BDRESOLVE"/>
        <w:ind w:firstLine="0"/>
        <w:jc w:val="both"/>
        <w:rPr>
          <w:rFonts w:ascii="Times New Roman" w:eastAsia="Calibri" w:hAnsi="Times New Roman"/>
          <w:sz w:val="24"/>
          <w:szCs w:val="24"/>
          <w:lang w:eastAsia="en-US"/>
        </w:rPr>
      </w:pPr>
      <w:r w:rsidRPr="00FC0850">
        <w:rPr>
          <w:rFonts w:ascii="Times New Roman" w:hAnsi="Times New Roman"/>
          <w:b w:val="0"/>
          <w:sz w:val="24"/>
          <w:szCs w:val="24"/>
        </w:rPr>
        <w:t>III – O empregado submetido a contrato de trabalho por tempo determinado goza da garantia provisória de emprego, decorrente de acidente de trabalho, prevista no art. 118 da Lei nº 8.213/91</w:t>
      </w:r>
      <w:r w:rsidRPr="00FC0850">
        <w:rPr>
          <w:rFonts w:ascii="Times New Roman" w:eastAsia="Calibri" w:hAnsi="Times New Roman"/>
          <w:sz w:val="24"/>
          <w:szCs w:val="24"/>
          <w:lang w:eastAsia="en-US"/>
        </w:rPr>
        <w:t>.</w:t>
      </w:r>
    </w:p>
    <w:p w:rsidR="00227854" w:rsidRPr="00DE5E3D" w:rsidRDefault="00227854" w:rsidP="00227854">
      <w:pPr>
        <w:pStyle w:val="BDRESOLVE"/>
        <w:ind w:firstLine="0"/>
        <w:jc w:val="both"/>
        <w:rPr>
          <w:rFonts w:ascii="Times New Roman" w:hAnsi="Times New Roman"/>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SÚMULA N.º 385</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FERIADO LOCAL. AUSÊNCIA DE EXPEDIENTE FORENSE. PRAZO RECURSAL. PRORROGAÇÃO. COMPROVAÇÃO. NECESSIDADE. ATO ADMINISTRATIVO DO JUÍZO “A QUO”</w:t>
      </w:r>
      <w:r w:rsidRPr="00FC0850">
        <w:rPr>
          <w:rFonts w:ascii="Times New Roman" w:hAnsi="Times New Roman"/>
          <w:sz w:val="24"/>
          <w:szCs w:val="24"/>
        </w:rPr>
        <w:t xml:space="preserve"> (redação alterada na sessão do Tribunal Pleno realizada em 14.09.2012)</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 – Incumbe à parte o ônus de provar, quando da interposição do recurso, a existência de feriado local que autorize a prorrogação do prazo recursal.</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II – Na hipótese de feriado forense, incumbirá à autoridade que proferir a decisão de admissibilidade certificar o expediente nos autos. </w:t>
      </w:r>
    </w:p>
    <w:p w:rsidR="00227854"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III – Na hipótese do inciso II, admite-se a reconsideração da análise da tempestividade do recurso, mediante prova documental superveniente, em Agravo Regimental, Agravo de Instrumento ou Embargos de Declaração.</w:t>
      </w:r>
    </w:p>
    <w:p w:rsidR="00227854" w:rsidRPr="00DE5E3D" w:rsidRDefault="00227854" w:rsidP="00227854">
      <w:pPr>
        <w:pStyle w:val="BDRESOLVE"/>
        <w:ind w:firstLine="0"/>
        <w:jc w:val="both"/>
        <w:rPr>
          <w:rFonts w:ascii="Times New Roman" w:hAnsi="Times New Roman"/>
          <w:b w:val="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428</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 xml:space="preserve">SOBREAVISO. APLICAÇÃO ANALÓGICA DO ART. 244, § 2º DA CLT </w:t>
      </w:r>
      <w:r w:rsidRPr="00FC0850">
        <w:rPr>
          <w:b/>
          <w:snapToGrid w:val="0"/>
          <w:color w:val="000000"/>
          <w:sz w:val="24"/>
          <w:szCs w:val="24"/>
        </w:rPr>
        <w:t>(redação alterada na sessão do Tribunal Pleno realizada em 14.09.2012)</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I - O uso de instrumentos telemáticos ou informatizados fornecidos pela empresa ao empregado, por si só, não caracteriza o regime de sobreaviso.</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II - Considera-se em sobreaviso o empregado que, à distância e submetido a controle patronal por instrumentos telemáticos ou informatizados, permanecer em regime de plantão ou equivalente, aguardando a qualquer momento o chamado para o serviço durante o período de descanso.</w:t>
      </w:r>
    </w:p>
    <w:p w:rsidR="00227854" w:rsidRPr="00DE5E3D" w:rsidRDefault="00227854" w:rsidP="00227854">
      <w:pPr>
        <w:pStyle w:val="BDRESOLVE"/>
        <w:ind w:firstLine="0"/>
        <w:jc w:val="both"/>
        <w:rPr>
          <w:rFonts w:ascii="Times New Roman" w:hAnsi="Times New Roman"/>
          <w:b w:val="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431</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 xml:space="preserve">SALÁRIO-HORA. EMPREGADO SUJEITO AO REGIME GERAL DE TRABALHO (ART. 58, CAPUT, DA CLT). 40 HORAS SEMANAIS. CÁLCULO. APLICAÇÃO DO DIVISOR 200 </w:t>
      </w:r>
      <w:r w:rsidRPr="00FC0850">
        <w:rPr>
          <w:b/>
          <w:snapToGrid w:val="0"/>
          <w:color w:val="000000"/>
          <w:sz w:val="24"/>
          <w:szCs w:val="24"/>
        </w:rPr>
        <w:t>(redação alterada na sessão do Tribunal Pleno realizada em 14.09.2012)</w:t>
      </w:r>
    </w:p>
    <w:p w:rsidR="00227854" w:rsidRDefault="00227854" w:rsidP="00227854">
      <w:pPr>
        <w:widowControl w:val="0"/>
        <w:jc w:val="both"/>
        <w:rPr>
          <w:snapToGrid w:val="0"/>
          <w:color w:val="000000"/>
          <w:sz w:val="24"/>
          <w:szCs w:val="24"/>
        </w:rPr>
      </w:pPr>
      <w:r w:rsidRPr="00FC0850">
        <w:rPr>
          <w:snapToGrid w:val="0"/>
          <w:color w:val="000000"/>
          <w:sz w:val="24"/>
          <w:szCs w:val="24"/>
        </w:rPr>
        <w:t xml:space="preserve">Para os empregados a que alude o art. 58, </w:t>
      </w:r>
      <w:r w:rsidRPr="00FC0850">
        <w:rPr>
          <w:i/>
          <w:snapToGrid w:val="0"/>
          <w:color w:val="000000"/>
          <w:sz w:val="24"/>
          <w:szCs w:val="24"/>
        </w:rPr>
        <w:t>caput</w:t>
      </w:r>
      <w:r w:rsidRPr="00FC0850">
        <w:rPr>
          <w:snapToGrid w:val="0"/>
          <w:color w:val="000000"/>
          <w:sz w:val="24"/>
          <w:szCs w:val="24"/>
        </w:rPr>
        <w:t>, da CLT, quando sujeitos a 40 horas semanais de trabalho, aplica-se o divisor 200 (duzentos) para o cálculo do valor do salário-hora.</w:t>
      </w:r>
    </w:p>
    <w:p w:rsidR="00227854" w:rsidRPr="00DE5E3D" w:rsidRDefault="00227854" w:rsidP="00227854">
      <w:pPr>
        <w:widowControl w:val="0"/>
        <w:jc w:val="both"/>
        <w:rPr>
          <w:snapToGrid w:val="0"/>
          <w:color w:val="00000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435</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 xml:space="preserve">ART. 557 DO CPC. APLICAÇÃO SUBSIDIÁRIA AO PROCESSO DO TRABALHO </w:t>
      </w:r>
      <w:r w:rsidRPr="00FC0850">
        <w:rPr>
          <w:b/>
          <w:snapToGrid w:val="0"/>
          <w:color w:val="000000"/>
          <w:sz w:val="24"/>
          <w:szCs w:val="24"/>
        </w:rPr>
        <w:t>(conversão da Orientação Jurisprudencial n.º 73 da SBDI-2 com nova redação)</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Aplica-se subsidiariamente ao processo do trabalho o art. 557 do Código de Processo Civil.</w:t>
      </w:r>
    </w:p>
    <w:p w:rsidR="00227854" w:rsidRPr="00DE5E3D" w:rsidRDefault="00227854" w:rsidP="00227854">
      <w:pPr>
        <w:pStyle w:val="BDRESOLVE"/>
        <w:ind w:firstLine="0"/>
        <w:jc w:val="both"/>
        <w:rPr>
          <w:rFonts w:ascii="Times New Roman" w:hAnsi="Times New Roman"/>
          <w:b w:val="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436</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 xml:space="preserve">REPRESENTAÇÃO PROCESSUAL. PROCURADOR DA UNIÃO, ESTADOS, MUNICÍPIOS E DISTRITO FEDERAL, SUAS AUTARQUIAS E FUNDAÇÕES PÚBLICAS. JUNTADA DE INSTRUMENTO DE MANDATO </w:t>
      </w:r>
      <w:r w:rsidRPr="00FC0850">
        <w:rPr>
          <w:b/>
          <w:snapToGrid w:val="0"/>
          <w:color w:val="000000"/>
          <w:sz w:val="24"/>
          <w:szCs w:val="24"/>
        </w:rPr>
        <w:t>(conversão da Orientação Jurisprudencial nº 52 da SBDI-I e inserção do item II à redação)</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I - A União, Estados, Municípios e Distrito Federal, suas autarquias e fundações públicas, quando representadas em juízo, ativa e passivamente, por seus procuradores, estão dispensadas da juntada de instrumento de mandato e de comprovação do ato de nomeação.</w:t>
      </w:r>
    </w:p>
    <w:p w:rsidR="00227854" w:rsidRDefault="00227854" w:rsidP="00227854">
      <w:pPr>
        <w:widowControl w:val="0"/>
        <w:jc w:val="both"/>
        <w:rPr>
          <w:snapToGrid w:val="0"/>
          <w:color w:val="000000"/>
          <w:sz w:val="24"/>
          <w:szCs w:val="24"/>
        </w:rPr>
      </w:pPr>
      <w:r w:rsidRPr="00FC0850">
        <w:rPr>
          <w:snapToGrid w:val="0"/>
          <w:color w:val="000000"/>
          <w:sz w:val="24"/>
          <w:szCs w:val="24"/>
        </w:rPr>
        <w:t>II - Para os efeitos do item anterior, é essencial que o signatário ao menos declare-se exercente do cargo de procurador, não bastando a indicação do número de inscrição na Ordem dos Advogados do Brasil.</w:t>
      </w:r>
    </w:p>
    <w:p w:rsidR="00227854" w:rsidRPr="00DE5E3D" w:rsidRDefault="00227854" w:rsidP="00227854">
      <w:pPr>
        <w:widowControl w:val="0"/>
        <w:jc w:val="both"/>
        <w:rPr>
          <w:snapToGrid w:val="0"/>
          <w:color w:val="00000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437</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 xml:space="preserve">INTERVALO INTRAJORNADA PARA REPOUSO E ALIMENTAÇÃO. APLICAÇÃO DO ART. 71 DA CLT </w:t>
      </w:r>
      <w:r w:rsidRPr="00FC0850">
        <w:rPr>
          <w:b/>
          <w:snapToGrid w:val="0"/>
          <w:color w:val="000000"/>
          <w:sz w:val="24"/>
          <w:szCs w:val="24"/>
        </w:rPr>
        <w:t>(conversão das Orientações Jurisprudenciais n.</w:t>
      </w:r>
      <w:r w:rsidRPr="00FC0850">
        <w:rPr>
          <w:b/>
          <w:snapToGrid w:val="0"/>
          <w:color w:val="000000"/>
          <w:sz w:val="24"/>
          <w:szCs w:val="24"/>
          <w:vertAlign w:val="superscript"/>
        </w:rPr>
        <w:t>os</w:t>
      </w:r>
      <w:r w:rsidRPr="00FC0850">
        <w:rPr>
          <w:b/>
          <w:snapToGrid w:val="0"/>
          <w:color w:val="000000"/>
          <w:sz w:val="24"/>
          <w:szCs w:val="24"/>
        </w:rPr>
        <w:t xml:space="preserve"> 307, 342, 354, 380 e 381 da SBDI-1)</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 xml:space="preserve">I - Após a edição da Lei nº 8.923/94, a não concessão ou a concessão parcial do intervalo intrajornada mínimo, para repouso e alimentação, a empregados urbanos e rurais, implica o pagamento total do período correspondente, e não apenas daquele suprimido, com acréscimo de, no mínimo, 50% sobre o valor da remuneração da hora normal de trabalho (art. 71 da CLT), sem prejuízo do cômputo da efetiva jornada de labor para efeito de remuneração. </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 xml:space="preserve">II - É inválida cláusula de acordo ou convenção coletiva de trabalho contemplando a supressão ou redução do intervalo intrajornada porque este constitui medida de higiene, saúde e segurança do trabalho, garantido por norma de ordem pública (art. 71 da CLT e art. 7º, XXII, da CF/1988), infenso à negociação coletiva.   </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III - Possui natureza salarial a parcela prevista no art. 71, § 4º, da CLT, com redação introduzida pela Lei nº 8.923, de 27 de julho de 1994, quando não concedido ou reduzido pelo empregador o intervalo mínimo intrajornada para repouso e alimentação, repercutindo, assim, no cálculo de outras parcelas salariais.</w:t>
      </w:r>
    </w:p>
    <w:p w:rsidR="00227854" w:rsidRDefault="00227854" w:rsidP="00227854">
      <w:pPr>
        <w:widowControl w:val="0"/>
        <w:jc w:val="both"/>
        <w:rPr>
          <w:snapToGrid w:val="0"/>
          <w:color w:val="000000"/>
          <w:sz w:val="24"/>
          <w:szCs w:val="24"/>
        </w:rPr>
      </w:pPr>
      <w:r w:rsidRPr="00FC0850">
        <w:rPr>
          <w:snapToGrid w:val="0"/>
          <w:color w:val="000000"/>
          <w:sz w:val="24"/>
          <w:szCs w:val="24"/>
        </w:rPr>
        <w:t>IV - Ultrapassada habitualmente a jornada de seis horas de trabalho, é devido o gozo do intervalo intrajornada mínimo de uma hora, obrigando o empregador a remunerar o período para descanso e alimentação não usufruído como extra, acrescido do respectivo adicional, na forma prevista no art. 71, caput e § 4º da CLT.</w:t>
      </w:r>
    </w:p>
    <w:p w:rsidR="00227854" w:rsidRPr="00DE5E3D" w:rsidRDefault="00227854" w:rsidP="00227854">
      <w:pPr>
        <w:widowControl w:val="0"/>
        <w:jc w:val="both"/>
        <w:rPr>
          <w:snapToGrid w:val="0"/>
          <w:color w:val="00000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438</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INTERVALO PARA RECUPERAÇÃO TÉRMICA DO EMPREGADO. AMBIENTE ARTIFICIALMENTE FRIO. HORAS EXTRAS. ART. 253 DA CLT. APLICAÇÃO ANALÓGICA.</w:t>
      </w:r>
    </w:p>
    <w:p w:rsidR="00227854" w:rsidRDefault="00227854" w:rsidP="00227854">
      <w:pPr>
        <w:widowControl w:val="0"/>
        <w:jc w:val="both"/>
        <w:rPr>
          <w:snapToGrid w:val="0"/>
          <w:color w:val="000000"/>
          <w:sz w:val="24"/>
          <w:szCs w:val="24"/>
        </w:rPr>
      </w:pPr>
      <w:r w:rsidRPr="00FC0850">
        <w:rPr>
          <w:snapToGrid w:val="0"/>
          <w:color w:val="000000"/>
          <w:sz w:val="24"/>
          <w:szCs w:val="24"/>
        </w:rPr>
        <w:t xml:space="preserve">O empregado submetido a trabalho contínuo em ambiente artificialmente frio, nos termos do parágrafo único do art. 253 da CLT, ainda que não labore em câmara frigorífica, tem direito ao intervalo intrajornada previsto no </w:t>
      </w:r>
      <w:r w:rsidRPr="00FC0850">
        <w:rPr>
          <w:i/>
          <w:snapToGrid w:val="0"/>
          <w:color w:val="000000"/>
          <w:sz w:val="24"/>
          <w:szCs w:val="24"/>
        </w:rPr>
        <w:t>caput</w:t>
      </w:r>
      <w:r w:rsidRPr="00FC0850">
        <w:rPr>
          <w:snapToGrid w:val="0"/>
          <w:color w:val="000000"/>
          <w:sz w:val="24"/>
          <w:szCs w:val="24"/>
        </w:rPr>
        <w:t xml:space="preserve"> do art. 253 da CLT.</w:t>
      </w:r>
    </w:p>
    <w:p w:rsidR="00227854" w:rsidRPr="00DE5E3D" w:rsidRDefault="00227854" w:rsidP="00227854">
      <w:pPr>
        <w:widowControl w:val="0"/>
        <w:jc w:val="both"/>
        <w:rPr>
          <w:snapToGrid w:val="0"/>
          <w:color w:val="00000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439</w:t>
      </w:r>
    </w:p>
    <w:p w:rsidR="00227854" w:rsidRDefault="00227854" w:rsidP="00227854">
      <w:pPr>
        <w:widowControl w:val="0"/>
        <w:jc w:val="both"/>
        <w:rPr>
          <w:snapToGrid w:val="0"/>
          <w:color w:val="000000"/>
          <w:sz w:val="24"/>
          <w:szCs w:val="24"/>
        </w:rPr>
      </w:pPr>
      <w:r w:rsidRPr="00FC0850">
        <w:rPr>
          <w:snapToGrid w:val="0"/>
          <w:color w:val="000000"/>
          <w:sz w:val="24"/>
          <w:szCs w:val="24"/>
        </w:rPr>
        <w:t>DANOS MORAIS. JUROS DE MORA E ATUALIZAÇÃO MONETÁRIA. TERMO INICIAL.</w:t>
      </w:r>
    </w:p>
    <w:p w:rsidR="00227854" w:rsidRDefault="00227854" w:rsidP="00227854">
      <w:pPr>
        <w:widowControl w:val="0"/>
        <w:jc w:val="both"/>
        <w:rPr>
          <w:snapToGrid w:val="0"/>
          <w:color w:val="000000"/>
          <w:sz w:val="24"/>
          <w:szCs w:val="24"/>
        </w:rPr>
      </w:pPr>
      <w:r w:rsidRPr="00FC0850">
        <w:rPr>
          <w:snapToGrid w:val="0"/>
          <w:color w:val="000000"/>
          <w:sz w:val="24"/>
          <w:szCs w:val="24"/>
        </w:rPr>
        <w:t>Nas condenações por dano moral, a atualização monetária é devida a partir da data da decisão de arbitramento ou de alteração do valor. Os juros incidem desde o ajuizamento da ação, nos termos do art. 883 da CLT.</w:t>
      </w:r>
    </w:p>
    <w:p w:rsidR="00227854" w:rsidRPr="00DE5E3D" w:rsidRDefault="00227854" w:rsidP="00227854">
      <w:pPr>
        <w:widowControl w:val="0"/>
        <w:jc w:val="both"/>
        <w:rPr>
          <w:snapToGrid w:val="0"/>
          <w:color w:val="00000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440</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AUXÍLIO-DOENÇA ACIDENTÁRIO. APOSENTADORIA POR INVALIDEZ. SUSPENSÃO DO CONTRATO DE TRABALHO. RECONHECIMENTO DO DIREITO À MANUTENÇÃO DE PLANO DE SAÚDE OU DE ASSISTÊNCIA MÉDICA.</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Assegura-se o direito à manutenção de plano de saúde ou de assistência médica oferecido pela empresa ao empregado, não obstante suspenso o contrato de trabalho em virtude de auxílio-doença acidentário ou de aposentadoria por invalidez.</w:t>
      </w:r>
    </w:p>
    <w:p w:rsidR="00227854" w:rsidRPr="00DE5E3D" w:rsidRDefault="00227854" w:rsidP="00227854">
      <w:pPr>
        <w:widowControl w:val="0"/>
        <w:jc w:val="both"/>
        <w:rPr>
          <w:b/>
          <w:snapToGrid w:val="0"/>
          <w:color w:val="00000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441</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AVISO PRÉVIO. PROPORCIONALIDADE.</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O direito ao aviso prévio proporcional ao tempo de serviço somente é assegurado nas rescisões de contrato de trabalho ocorridas a partir da publicação da Lei nº 12.506, em 13 de outubro de 2011.</w:t>
      </w:r>
    </w:p>
    <w:p w:rsidR="00227854" w:rsidRPr="00DE5E3D" w:rsidRDefault="00227854" w:rsidP="00227854">
      <w:pPr>
        <w:widowControl w:val="0"/>
        <w:jc w:val="both"/>
        <w:rPr>
          <w:snapToGrid w:val="0"/>
          <w:color w:val="00000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442</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 xml:space="preserve">PROCEDIMENTO SUMARÍSSIMO. RECURSO DE REVISTA FUNDAMENTADO EM CONTRARIEDADE A ORIENTAÇÃO JURISPRUDENCIAL. INADMISSIBILIDADE. ART. 896, § 6º, DA CLT, ACRESCENTADO PELA LEI Nº 9.957, DE 12.01.2000 </w:t>
      </w:r>
      <w:r w:rsidRPr="00FC0850">
        <w:rPr>
          <w:b/>
          <w:snapToGrid w:val="0"/>
          <w:color w:val="000000"/>
          <w:sz w:val="24"/>
          <w:szCs w:val="24"/>
        </w:rPr>
        <w:t>(conversão da Orientação Jurisprudencial nº 352 da SBDI-1)</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Nas causas sujeitas ao procedimento sumaríssimo, a admissibilidade de recurso de revista está limitada à demonstração de violação direta a dispositivo da Constituição Federal ou contrariedade a Súmula do Tribunal Superior do Trabalho, não se admitindo o recurso por contrariedade a Orientação Jurisprudencial deste Tribunal (Livro II, Título II, Capítulo III, do RITST), ante a ausência de previsão no art. 896, § 6º, da CLT.</w:t>
      </w:r>
    </w:p>
    <w:p w:rsidR="00227854" w:rsidRDefault="00227854" w:rsidP="00227854">
      <w:pPr>
        <w:widowControl w:val="0"/>
        <w:jc w:val="both"/>
        <w:rPr>
          <w:b/>
          <w:snapToGrid w:val="0"/>
          <w:color w:val="000000"/>
          <w:sz w:val="24"/>
          <w:szCs w:val="24"/>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443</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DISPENSA DISCRIMINATÓRIA. PRESUNÇÃO. EMPREGADO PORTADOR DE DOENÇA GRAVE. ESTIGMA OU PRECONCEITO. DIREITO À REINTEGRAÇÃO.</w:t>
      </w:r>
    </w:p>
    <w:p w:rsidR="00227854" w:rsidRDefault="00227854" w:rsidP="00227854">
      <w:pPr>
        <w:widowControl w:val="0"/>
        <w:jc w:val="both"/>
        <w:rPr>
          <w:snapToGrid w:val="0"/>
          <w:color w:val="000000"/>
          <w:sz w:val="24"/>
          <w:szCs w:val="24"/>
        </w:rPr>
      </w:pPr>
      <w:r w:rsidRPr="00FC0850">
        <w:rPr>
          <w:snapToGrid w:val="0"/>
          <w:color w:val="000000"/>
          <w:sz w:val="24"/>
          <w:szCs w:val="24"/>
        </w:rPr>
        <w:t>Presume-se discriminatória a despedida de empregado portador do vírus HIV ou de outra doença grave que suscite estigma ou preconceito. Inválido o ato, o empregado tem direito à reintegração no emprego.</w:t>
      </w:r>
    </w:p>
    <w:p w:rsidR="00227854" w:rsidRPr="00DE5E3D" w:rsidRDefault="00227854" w:rsidP="00227854">
      <w:pPr>
        <w:widowControl w:val="0"/>
        <w:jc w:val="both"/>
        <w:rPr>
          <w:snapToGrid w:val="0"/>
          <w:color w:val="000000"/>
        </w:rPr>
      </w:pPr>
    </w:p>
    <w:p w:rsidR="00227854" w:rsidRDefault="00227854" w:rsidP="00227854">
      <w:pPr>
        <w:widowControl w:val="0"/>
        <w:jc w:val="both"/>
        <w:rPr>
          <w:b/>
          <w:snapToGrid w:val="0"/>
          <w:color w:val="000000"/>
          <w:sz w:val="24"/>
          <w:szCs w:val="24"/>
        </w:rPr>
      </w:pPr>
      <w:r w:rsidRPr="00FC0850">
        <w:rPr>
          <w:b/>
          <w:snapToGrid w:val="0"/>
          <w:color w:val="000000"/>
          <w:sz w:val="24"/>
          <w:szCs w:val="24"/>
        </w:rPr>
        <w:t>SÚMULA N.º 444</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JORNADA DE TRABALHO. NORMA COLETIVA. LEI. ESCALA DE 12 POR 36. VALIDADE.</w:t>
      </w:r>
    </w:p>
    <w:p w:rsidR="00227854" w:rsidRPr="00FC0850" w:rsidRDefault="00227854" w:rsidP="00227854">
      <w:pPr>
        <w:widowControl w:val="0"/>
        <w:jc w:val="both"/>
        <w:rPr>
          <w:snapToGrid w:val="0"/>
          <w:color w:val="000000"/>
          <w:sz w:val="24"/>
          <w:szCs w:val="24"/>
        </w:rPr>
      </w:pPr>
      <w:r w:rsidRPr="00FC0850">
        <w:rPr>
          <w:snapToGrid w:val="0"/>
          <w:color w:val="000000"/>
          <w:sz w:val="24"/>
          <w:szCs w:val="24"/>
        </w:rPr>
        <w:t>É valida, em caráter excepcional, a jornada de doze horas de trabalho por trinta e seis de descanso, prevista em lei ou ajustada exclusivamente mediante acordo coletivo de trabalho ou convenção coletiva de trabalho, assegurada a remuneração em dobro dos feriados trabalhados. O empregado não tem direito ao pagamento de adicional referente ao labor prestado na décima primeira e décima segunda horas.</w:t>
      </w:r>
    </w:p>
    <w:p w:rsidR="00227854" w:rsidRPr="00DE5E3D" w:rsidRDefault="00227854" w:rsidP="00227854">
      <w:pPr>
        <w:widowControl w:val="0"/>
        <w:jc w:val="both"/>
        <w:rPr>
          <w:snapToGrid w:val="0"/>
          <w:color w:val="00000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OJ N.º 52 SBDI-1</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MANDATO. PROCURADOR DA UNIÃO, ESTADOS, MUNICÍPIOS E DISTRITO FEDERAL, SUAS AUTARQUIAS E FUNDAÇÕES PÚBLICAS. DISPENSÁVEL A JUNTADA DE PROCURAÇÃO. (LEI Nº 9.469, de 10 DE JULHO DE 1997) - </w:t>
      </w:r>
      <w:r w:rsidRPr="00FC0850">
        <w:rPr>
          <w:rFonts w:ascii="Times New Roman" w:hAnsi="Times New Roman"/>
          <w:sz w:val="24"/>
          <w:szCs w:val="24"/>
        </w:rPr>
        <w:t>(cancelada em decorrência da conversão na Súmula nº 436)</w:t>
      </w:r>
    </w:p>
    <w:p w:rsidR="00227854" w:rsidRPr="00FC0850" w:rsidRDefault="00227854" w:rsidP="00227854">
      <w:pPr>
        <w:pStyle w:val="BDRESOLVE"/>
        <w:ind w:firstLine="0"/>
        <w:jc w:val="both"/>
        <w:rPr>
          <w:rFonts w:ascii="Times New Roman" w:hAnsi="Times New Roman"/>
          <w:sz w:val="24"/>
          <w:szCs w:val="24"/>
        </w:rPr>
      </w:pPr>
      <w:r w:rsidRPr="00FC0850">
        <w:rPr>
          <w:rFonts w:ascii="Times New Roman" w:hAnsi="Times New Roman"/>
          <w:b w:val="0"/>
          <w:sz w:val="24"/>
          <w:szCs w:val="24"/>
        </w:rPr>
        <w:t>A União, Estados, Municípios e Distrito Federal, suas autarquias e fundações públicas quando representadas em juízo, ativa e passivamente, por seus procuradores, estão dispensadas da juntada de instrumento de mandato.</w:t>
      </w:r>
    </w:p>
    <w:p w:rsidR="00227854" w:rsidRPr="00DE5E3D" w:rsidRDefault="00227854" w:rsidP="00227854">
      <w:pPr>
        <w:pStyle w:val="BDRESOLVE"/>
        <w:ind w:firstLine="0"/>
        <w:jc w:val="both"/>
        <w:rPr>
          <w:rFonts w:ascii="Times New Roman" w:hAnsi="Times New Roman"/>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OJ N.º 84 SBDI-1</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AVISO PRÉVIO. PROPORCIONALIDADE </w:t>
      </w:r>
      <w:r w:rsidRPr="00FC0850">
        <w:rPr>
          <w:rFonts w:ascii="Times New Roman" w:hAnsi="Times New Roman"/>
          <w:sz w:val="24"/>
          <w:szCs w:val="24"/>
        </w:rPr>
        <w:t>(cancelada)</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A proporcionalidade do aviso prévio, com base no tempo de serviço, depende da legislação regulamentadora, visto que o art. 7º, inc. XXI, da CF/1988 não é auto-aplicável.</w:t>
      </w:r>
    </w:p>
    <w:p w:rsidR="00227854" w:rsidRPr="00DE5E3D" w:rsidRDefault="00227854" w:rsidP="00227854">
      <w:pPr>
        <w:widowControl w:val="0"/>
        <w:jc w:val="both"/>
        <w:rPr>
          <w:snapToGrid w:val="0"/>
          <w:color w:val="000000"/>
        </w:rPr>
      </w:pPr>
    </w:p>
    <w:p w:rsidR="00227854" w:rsidRDefault="00227854" w:rsidP="00227854">
      <w:pPr>
        <w:widowControl w:val="0"/>
        <w:jc w:val="both"/>
        <w:rPr>
          <w:b/>
          <w:snapToGrid w:val="0"/>
          <w:sz w:val="24"/>
          <w:szCs w:val="24"/>
        </w:rPr>
      </w:pPr>
      <w:r w:rsidRPr="00FC0850">
        <w:rPr>
          <w:b/>
          <w:snapToGrid w:val="0"/>
          <w:sz w:val="24"/>
          <w:szCs w:val="24"/>
        </w:rPr>
        <w:t>OJ N.º 173 SBDI-1</w:t>
      </w:r>
    </w:p>
    <w:p w:rsidR="00227854" w:rsidRPr="00FC0850" w:rsidRDefault="00227854" w:rsidP="00227854">
      <w:pPr>
        <w:widowControl w:val="0"/>
        <w:jc w:val="both"/>
        <w:rPr>
          <w:snapToGrid w:val="0"/>
          <w:sz w:val="24"/>
          <w:szCs w:val="24"/>
        </w:rPr>
      </w:pPr>
      <w:r w:rsidRPr="00FC0850">
        <w:rPr>
          <w:snapToGrid w:val="0"/>
          <w:sz w:val="24"/>
          <w:szCs w:val="24"/>
        </w:rPr>
        <w:t xml:space="preserve">ADICIONAL DE INSALUBRIDADE. ATIVIDADE A CÉU ABERTO. EXPOSIÇÃO AO SOL E AO CALOR. </w:t>
      </w:r>
      <w:r w:rsidRPr="00FC0850">
        <w:rPr>
          <w:b/>
          <w:snapToGrid w:val="0"/>
          <w:sz w:val="24"/>
          <w:szCs w:val="24"/>
        </w:rPr>
        <w:t>(redação alterada na sessão do Tribunal Pleno realizada em 14.09.2012)</w:t>
      </w:r>
    </w:p>
    <w:p w:rsidR="00227854" w:rsidRPr="00FC0850" w:rsidRDefault="00227854" w:rsidP="00227854">
      <w:pPr>
        <w:widowControl w:val="0"/>
        <w:jc w:val="both"/>
        <w:rPr>
          <w:snapToGrid w:val="0"/>
          <w:sz w:val="24"/>
          <w:szCs w:val="24"/>
        </w:rPr>
      </w:pPr>
      <w:r w:rsidRPr="00FC0850">
        <w:rPr>
          <w:snapToGrid w:val="0"/>
          <w:sz w:val="24"/>
          <w:szCs w:val="24"/>
        </w:rPr>
        <w:t>I – Ausente previsão legal, indevido o adicional de insalubridade ao trabalhador em atividade a céu aberto, por sujeição à radiação solar (art. 195 da CLT e Anexo 7 da NR 15 da Portaria Nº 3214/78 do MTE).</w:t>
      </w:r>
    </w:p>
    <w:p w:rsidR="00227854" w:rsidRPr="00FC0850" w:rsidRDefault="00227854" w:rsidP="00227854">
      <w:pPr>
        <w:widowControl w:val="0"/>
        <w:jc w:val="both"/>
        <w:rPr>
          <w:snapToGrid w:val="0"/>
          <w:sz w:val="24"/>
          <w:szCs w:val="24"/>
        </w:rPr>
      </w:pPr>
      <w:r w:rsidRPr="00FC0850">
        <w:rPr>
          <w:snapToGrid w:val="0"/>
          <w:sz w:val="24"/>
          <w:szCs w:val="24"/>
        </w:rPr>
        <w:t>II – Tem direito ao adicional de insalubridade o trabalhador que exerce atividade exposto ao calor acima dos limites de tolerância, inclusive em ambiente externo com carga solar, nas condições previstas no Anexo 3 da NR 15 da Portaria Nº 3214/78 do MTE.</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OJ N.º 307 SBDI-1</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INTERVALO INTRAJORNADA (PARA REPOUSO E ALIMENTAÇÃO). NÃO CONCESSÃO OU CONCESSÃO PARCIAL. LEI Nº 8.923/94 (DJ 11.08.2003) </w:t>
      </w:r>
      <w:r w:rsidRPr="00FC0850">
        <w:rPr>
          <w:rFonts w:ascii="Times New Roman" w:hAnsi="Times New Roman"/>
          <w:sz w:val="24"/>
          <w:szCs w:val="24"/>
        </w:rPr>
        <w:t xml:space="preserve">(cancelada em decorrência da aglutinação ao item I da Súmula nº 437) </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Após a edição da Lei nº 8.923/94, a não-concessão total ou parcial do intervalo intrajornada mínimo, para repouso e alimentação, implica o pagamento total do período correspondente, com acréscimo de, no mínimo, 50% sobre o valor da remuneração da hora normal de trabalho (art. 71 da CLT).</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OJ N.º 342 SBDI-1</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INTERVALO INTRAJORNADA PARA REPOUSO E ALIMENTAÇÃO. NÃO CONCESSÃO OU REDUÇÃO. PREVISÃO EM NORMA COLETIVA. INVALIDADE. EXCEÇÃO AOS CONDUTORES DE VEÍCULOS RODOVIÁRIOS, EMPREGADOS EM EMPRESAS DE TRANSPORTE COLETIVO URBANO (alterada em decorrência do julgamento do processo TST IUJEEDEDRR 1226/2005-005-24-00.1) – Res. 159/2009, DEJT divulgado em 23, 24 e 25.11.2009 </w:t>
      </w:r>
      <w:r w:rsidRPr="00FC0850">
        <w:rPr>
          <w:rFonts w:ascii="Times New Roman" w:hAnsi="Times New Roman"/>
          <w:sz w:val="24"/>
          <w:szCs w:val="24"/>
        </w:rPr>
        <w:t>(cancelada. Convertido o item I no item II da Súmula nº 437)</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 - É inválida cláusula de acordo ou convenção coletiva de trabalho contemplando a supressão ou redução do intervalo intrajornada porque este constitui medida de higiene, saúde e segurança do trabalho, garantido por norma de ordem pública (art. 71 da CLT e art. 7º, XXII, da CF/1988), infenso à negociação coletiva.</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II – Ante a natureza do serviço e em virtude das condições especiais de trabalho a que são submetidos estritamente os condutores e cobradores de veículos rodoviários, empregados em empresas de transporte público coletivo urbano, é válida cláusula de acordo ou convenção coletiva de trabalho contemplando a redução do intervalo intrajornada, desde que garantida a redução da jornada para, no mínimo, sete horas diárias ou quarenta e duas semanais, não prorrogada, mantida a mesma remuneração e concedidos intervalos para descanso menores e fracionados ao final de cada viagem, não descontados da jornada.</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OJ N.º 352 SBDI-1</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PROCEDIMENTO SUMARÍSSIMO. RECURSO DE REVISTA FUNDAMENTADO EM CONTRARIEDADE A ORIENTAÇÃO JURISPRUDENCIAL. INADMISSIBILIDADE. ART. 896, § 6º, DA CLT, ACRESCENTADO PELA LEI Nº 9.957, DE 12.01.2000. </w:t>
      </w:r>
      <w:r w:rsidRPr="00FC0850">
        <w:rPr>
          <w:rFonts w:ascii="Times New Roman" w:hAnsi="Times New Roman"/>
          <w:sz w:val="24"/>
          <w:szCs w:val="24"/>
        </w:rPr>
        <w:t>(cancelada em decorrência da conversão na Súmula nº 442)</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Nas causas sujeitas ao procedimento sumaríssimo, a admissibilidade de recurso de revista está limitada à demonstração de violação direta a dispositivo da Constituição Federal ou contrariedade a Súmula do Tribunal Superior do Trabalho, não se admitindo o recurso por contrariedade a Orientação Jurisprudencial deste Tribunal (Livro II, Título II, Capítulo III, do RITST), ante a ausência de previsão no art. 896, § 6º, da CLT.</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OJ N.º 354 SBDI-1</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INTERVALO INTRAJORNADA. ART. 71, § 4º, DA CLT. NÃO CONCESSÃO OU REDUÇÃO. NATUREZA JURÍDICA SALARIAL (DJ 14.03.2008) </w:t>
      </w:r>
      <w:r w:rsidRPr="00FC0850">
        <w:rPr>
          <w:rFonts w:ascii="Times New Roman" w:hAnsi="Times New Roman"/>
          <w:sz w:val="24"/>
          <w:szCs w:val="24"/>
        </w:rPr>
        <w:t>(cancelada em decorrência da conversão no item III da Súmula nº 437)</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Possui natureza salarial a parcela prevista no art. 71, § 4º, da CLT, com redação introduzida pela Lei nº 8.923, de 27 de julho de 1994, quando não concedido ou reduzido pelo empregador o intervalo mínimo intrajornada para repouso e alimentação, repercutindo, assim, no cálculo de outras parcelas salariais.</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OJ N.º 380 SBDI-1</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INTERVALO INTRAJORNADA. JORNADA CONTRATUAL DE SEIS HORAS DIÁRIAS. PRORROGAÇÃO HABITUAL. APLICAÇÃO DO ART. 71, “CAPUT” E § 4º, DA CLT. (DEJT DIVULGADO EM 19, 20 E 22.04.2010) </w:t>
      </w:r>
      <w:r w:rsidRPr="00FC0850">
        <w:rPr>
          <w:rFonts w:ascii="Times New Roman" w:hAnsi="Times New Roman"/>
          <w:sz w:val="24"/>
          <w:szCs w:val="24"/>
        </w:rPr>
        <w:t>(cancelada em decorrência da conversão no item IV da Súmula nº 437)</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Ultrapassada habitualmente a jornada de seis horas de trabalho, é devido o gozo do intervalo intrajornada mínimo de uma hora, obrigando o empregador a remunerar o período para descanso e alimentação não usufruído como extra, acrescido do respectivo adicional, na forma prevista no art. 71, “caput” e § 4, da CLT.</w:t>
      </w:r>
    </w:p>
    <w:p w:rsidR="00227854" w:rsidRPr="00DE5E3D" w:rsidRDefault="00227854" w:rsidP="00227854">
      <w:pPr>
        <w:pStyle w:val="BDRESOLVE"/>
        <w:ind w:firstLine="0"/>
        <w:jc w:val="both"/>
        <w:rPr>
          <w:rFonts w:ascii="Times New Roman" w:hAnsi="Times New Roman"/>
          <w:b w:val="0"/>
        </w:rPr>
      </w:pPr>
    </w:p>
    <w:p w:rsidR="00227854" w:rsidRDefault="00227854" w:rsidP="00227854">
      <w:pPr>
        <w:pStyle w:val="BDRESOLVE"/>
        <w:ind w:firstLine="0"/>
        <w:jc w:val="both"/>
        <w:rPr>
          <w:rFonts w:ascii="Times New Roman" w:hAnsi="Times New Roman"/>
          <w:sz w:val="24"/>
          <w:szCs w:val="24"/>
        </w:rPr>
      </w:pPr>
      <w:r w:rsidRPr="00FC0850">
        <w:rPr>
          <w:rFonts w:ascii="Times New Roman" w:hAnsi="Times New Roman"/>
          <w:sz w:val="24"/>
          <w:szCs w:val="24"/>
        </w:rPr>
        <w:t>OJ N.º 381 SBDI-1</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 xml:space="preserve">INTERVALO INTRAJORNADA. RURÍCOLA. LEI N.º 5.889, DE 08.06.1973. SUPRESSÃO TOTAL OU PARCIAL. DECRETO N.º 73.626, DE 12.02.1974. APLICAÇÃO DO ART. 71, § 4º, DA CLT. (DEJT divulgado em 19, 20 e 22.04.2010) </w:t>
      </w:r>
      <w:r w:rsidRPr="00FC0850">
        <w:rPr>
          <w:rFonts w:ascii="Times New Roman" w:hAnsi="Times New Roman"/>
          <w:sz w:val="24"/>
          <w:szCs w:val="24"/>
        </w:rPr>
        <w:t>(cancelada em decorrência da aglutinação ao item I da Súmula nº 437)</w:t>
      </w:r>
    </w:p>
    <w:p w:rsidR="00227854" w:rsidRPr="00FC0850" w:rsidRDefault="00227854" w:rsidP="00227854">
      <w:pPr>
        <w:pStyle w:val="BDRESOLVE"/>
        <w:ind w:firstLine="0"/>
        <w:jc w:val="both"/>
        <w:rPr>
          <w:rFonts w:ascii="Times New Roman" w:hAnsi="Times New Roman"/>
          <w:b w:val="0"/>
          <w:sz w:val="24"/>
          <w:szCs w:val="24"/>
        </w:rPr>
      </w:pPr>
      <w:r w:rsidRPr="00FC0850">
        <w:rPr>
          <w:rFonts w:ascii="Times New Roman" w:hAnsi="Times New Roman"/>
          <w:b w:val="0"/>
          <w:sz w:val="24"/>
          <w:szCs w:val="24"/>
        </w:rPr>
        <w:t>A não concessão total ou parcial do intervalo mínimo intrajornada de uma hora ao trabalhador rural, fixado no Decreto n.º 73.626, de 12.02.1974, que regulamentou a Lei n.º 5.889, de 08.06.1973, acarreta o pagamento do período total, acrescido do respectivo adicional, por aplicação subsidiária do art. 71, § 4º, da CLT.</w:t>
      </w:r>
    </w:p>
    <w:p w:rsidR="00227854" w:rsidRPr="00DE5E3D" w:rsidRDefault="00227854" w:rsidP="00227854">
      <w:pPr>
        <w:pStyle w:val="BDRESOLVE"/>
        <w:ind w:firstLine="0"/>
        <w:jc w:val="both"/>
        <w:rPr>
          <w:rFonts w:ascii="Times New Roman" w:hAnsi="Times New Roman"/>
          <w:b w:val="0"/>
        </w:rPr>
      </w:pPr>
    </w:p>
    <w:p w:rsidR="00227854" w:rsidRDefault="00227854" w:rsidP="00227854">
      <w:pPr>
        <w:widowControl w:val="0"/>
        <w:jc w:val="both"/>
        <w:rPr>
          <w:b/>
          <w:snapToGrid w:val="0"/>
          <w:sz w:val="24"/>
          <w:szCs w:val="24"/>
        </w:rPr>
      </w:pPr>
      <w:r w:rsidRPr="00FC0850">
        <w:rPr>
          <w:b/>
          <w:snapToGrid w:val="0"/>
          <w:sz w:val="24"/>
          <w:szCs w:val="24"/>
        </w:rPr>
        <w:t>OJ N.º 384 SBDI-1</w:t>
      </w:r>
    </w:p>
    <w:p w:rsidR="00227854" w:rsidRPr="00FC0850" w:rsidRDefault="00227854" w:rsidP="00227854">
      <w:pPr>
        <w:widowControl w:val="0"/>
        <w:jc w:val="both"/>
        <w:rPr>
          <w:snapToGrid w:val="0"/>
          <w:sz w:val="24"/>
          <w:szCs w:val="24"/>
        </w:rPr>
      </w:pPr>
      <w:r w:rsidRPr="00FC0850">
        <w:rPr>
          <w:snapToGrid w:val="0"/>
          <w:sz w:val="24"/>
          <w:szCs w:val="24"/>
        </w:rPr>
        <w:t xml:space="preserve">TRABALHADOR AVULSO. PRESCRIÇÃO BIENAL. TERMO INICIAL. </w:t>
      </w:r>
      <w:r w:rsidRPr="00FC0850">
        <w:rPr>
          <w:b/>
          <w:snapToGrid w:val="0"/>
          <w:sz w:val="24"/>
          <w:szCs w:val="24"/>
        </w:rPr>
        <w:t>(cancelada)</w:t>
      </w:r>
    </w:p>
    <w:p w:rsidR="00227854" w:rsidRDefault="00227854" w:rsidP="00227854">
      <w:pPr>
        <w:widowControl w:val="0"/>
        <w:jc w:val="both"/>
        <w:rPr>
          <w:snapToGrid w:val="0"/>
          <w:sz w:val="24"/>
          <w:szCs w:val="24"/>
        </w:rPr>
      </w:pPr>
      <w:r w:rsidRPr="00FC0850">
        <w:rPr>
          <w:snapToGrid w:val="0"/>
          <w:sz w:val="24"/>
          <w:szCs w:val="24"/>
        </w:rPr>
        <w:t>É aplicável a prescrição bienal prevista no art. 7º, XXIX, da Constituição de 1988 ao trabalhador avulso, tendo como marco inicial a cessação do trabalho ultimado para cada tomador de serviço.</w:t>
      </w:r>
    </w:p>
    <w:p w:rsidR="00227854" w:rsidRPr="00DE5E3D" w:rsidRDefault="00227854" w:rsidP="00227854">
      <w:pPr>
        <w:widowControl w:val="0"/>
        <w:jc w:val="both"/>
        <w:rPr>
          <w:snapToGrid w:val="0"/>
        </w:rPr>
      </w:pPr>
    </w:p>
    <w:p w:rsidR="00227854" w:rsidRDefault="00227854" w:rsidP="00227854">
      <w:pPr>
        <w:widowControl w:val="0"/>
        <w:jc w:val="both"/>
        <w:rPr>
          <w:b/>
          <w:snapToGrid w:val="0"/>
          <w:sz w:val="24"/>
          <w:szCs w:val="24"/>
          <w:lang w:val="en-US"/>
        </w:rPr>
      </w:pPr>
      <w:r w:rsidRPr="00FC0850">
        <w:rPr>
          <w:b/>
          <w:snapToGrid w:val="0"/>
          <w:sz w:val="24"/>
          <w:szCs w:val="24"/>
          <w:lang w:val="en-US"/>
        </w:rPr>
        <w:t>OJ N.º 73 SBDI-2</w:t>
      </w:r>
    </w:p>
    <w:p w:rsidR="00227854" w:rsidRPr="00FC0850" w:rsidRDefault="00227854" w:rsidP="00227854">
      <w:pPr>
        <w:widowControl w:val="0"/>
        <w:jc w:val="both"/>
        <w:rPr>
          <w:snapToGrid w:val="0"/>
          <w:sz w:val="24"/>
          <w:szCs w:val="24"/>
        </w:rPr>
      </w:pPr>
      <w:r w:rsidRPr="00FC0850">
        <w:rPr>
          <w:snapToGrid w:val="0"/>
          <w:sz w:val="24"/>
          <w:szCs w:val="24"/>
          <w:lang w:val="en-US"/>
        </w:rPr>
        <w:t xml:space="preserve">ART. 557 DO CPC. </w:t>
      </w:r>
      <w:r w:rsidRPr="00FC0850">
        <w:rPr>
          <w:snapToGrid w:val="0"/>
          <w:sz w:val="24"/>
          <w:szCs w:val="24"/>
        </w:rPr>
        <w:t xml:space="preserve">CONSTITUCIONALIDADE </w:t>
      </w:r>
      <w:r w:rsidRPr="00FC0850">
        <w:rPr>
          <w:b/>
          <w:snapToGrid w:val="0"/>
          <w:sz w:val="24"/>
          <w:szCs w:val="24"/>
        </w:rPr>
        <w:t>(cancelada em razão da conversão na Súmula nº 435)</w:t>
      </w:r>
    </w:p>
    <w:p w:rsidR="00227854" w:rsidRDefault="00227854" w:rsidP="00227854">
      <w:pPr>
        <w:widowControl w:val="0"/>
        <w:jc w:val="both"/>
        <w:rPr>
          <w:snapToGrid w:val="0"/>
          <w:sz w:val="24"/>
          <w:szCs w:val="24"/>
        </w:rPr>
      </w:pPr>
      <w:r w:rsidRPr="00FC0850">
        <w:rPr>
          <w:snapToGrid w:val="0"/>
          <w:sz w:val="24"/>
          <w:szCs w:val="24"/>
        </w:rPr>
        <w:t>Não há como se cogitar da inconstitucionalidade do art. 557 do CPC, meramente pelo fato de a decisão ser exarada pelo Relator, sem a participação do Colegiado, porquanto o princípio da publicidade insculpido no inciso IX do art. 93 da CF/1988 não está jungido ao julgamento pelo Colegiado e sim o acesso ao processo pelas partes, seus advogados ou terceiros interessados, direito preservado pela Lei nº 9.756/1998, ficando, outrossim, assegurado o acesso ao Colegiado através de agravo.</w:t>
      </w:r>
    </w:p>
    <w:p w:rsidR="00227854" w:rsidRPr="00DE5E3D" w:rsidRDefault="00227854" w:rsidP="00227854">
      <w:pPr>
        <w:widowControl w:val="0"/>
        <w:jc w:val="both"/>
        <w:rPr>
          <w:snapToGrid w:val="0"/>
        </w:rPr>
      </w:pPr>
    </w:p>
    <w:p w:rsidR="00227854" w:rsidRDefault="00227854" w:rsidP="00227854">
      <w:pPr>
        <w:widowControl w:val="0"/>
        <w:jc w:val="both"/>
        <w:rPr>
          <w:b/>
          <w:snapToGrid w:val="0"/>
          <w:sz w:val="24"/>
          <w:szCs w:val="24"/>
        </w:rPr>
      </w:pPr>
      <w:r w:rsidRPr="00FC0850">
        <w:rPr>
          <w:b/>
          <w:snapToGrid w:val="0"/>
          <w:sz w:val="24"/>
          <w:szCs w:val="24"/>
        </w:rPr>
        <w:t>OJ N.º 130 SBDI-2</w:t>
      </w:r>
    </w:p>
    <w:p w:rsidR="00227854" w:rsidRPr="00FC0850" w:rsidRDefault="00227854" w:rsidP="00227854">
      <w:pPr>
        <w:widowControl w:val="0"/>
        <w:jc w:val="both"/>
        <w:rPr>
          <w:snapToGrid w:val="0"/>
          <w:sz w:val="24"/>
          <w:szCs w:val="24"/>
        </w:rPr>
      </w:pPr>
      <w:r w:rsidRPr="00FC0850">
        <w:rPr>
          <w:snapToGrid w:val="0"/>
          <w:sz w:val="24"/>
          <w:szCs w:val="24"/>
        </w:rPr>
        <w:t xml:space="preserve">AÇÃO CIVIL PÚBLICA. COMPETÊNCIA. LOCAL DO DANO. LEI Nº 7.347/1985, ART. 2º. CÓDIGO DE DEFESA DO CONSUMIDOR, ART. 93 </w:t>
      </w:r>
      <w:r w:rsidRPr="00FC0850">
        <w:rPr>
          <w:b/>
          <w:snapToGrid w:val="0"/>
          <w:sz w:val="24"/>
          <w:szCs w:val="24"/>
        </w:rPr>
        <w:t>(redação alterada na sessão do Tribunal Pleno realizada em 14.09.2012)</w:t>
      </w:r>
    </w:p>
    <w:p w:rsidR="00227854" w:rsidRPr="00FC0850" w:rsidRDefault="00227854" w:rsidP="00227854">
      <w:pPr>
        <w:widowControl w:val="0"/>
        <w:jc w:val="both"/>
        <w:rPr>
          <w:snapToGrid w:val="0"/>
          <w:sz w:val="24"/>
          <w:szCs w:val="24"/>
        </w:rPr>
      </w:pPr>
      <w:r w:rsidRPr="00FC0850">
        <w:rPr>
          <w:snapToGrid w:val="0"/>
          <w:sz w:val="24"/>
          <w:szCs w:val="24"/>
        </w:rPr>
        <w:t>I – A competência para a Ação Civil Pública fixa-se pela extensão do dano.</w:t>
      </w:r>
    </w:p>
    <w:p w:rsidR="00227854" w:rsidRPr="00FC0850" w:rsidRDefault="00227854" w:rsidP="00227854">
      <w:pPr>
        <w:widowControl w:val="0"/>
        <w:jc w:val="both"/>
        <w:rPr>
          <w:snapToGrid w:val="0"/>
          <w:sz w:val="24"/>
          <w:szCs w:val="24"/>
        </w:rPr>
      </w:pPr>
      <w:r w:rsidRPr="00FC0850">
        <w:rPr>
          <w:snapToGrid w:val="0"/>
          <w:sz w:val="24"/>
          <w:szCs w:val="24"/>
        </w:rPr>
        <w:t>II – Em caso de dano de abrangência regional, que atinja cidades sujeitas à jurisdição de mais de uma Vara do Trabalho, a competência será de qualquer das Varas das localidades atingidas, ainda que vinculadas a Tribunais Regionais do Trabalho distintos.</w:t>
      </w:r>
    </w:p>
    <w:p w:rsidR="00227854" w:rsidRPr="00FC0850" w:rsidRDefault="00227854" w:rsidP="00227854">
      <w:pPr>
        <w:widowControl w:val="0"/>
        <w:jc w:val="both"/>
        <w:rPr>
          <w:snapToGrid w:val="0"/>
          <w:sz w:val="24"/>
          <w:szCs w:val="24"/>
        </w:rPr>
      </w:pPr>
      <w:r w:rsidRPr="00FC0850">
        <w:rPr>
          <w:snapToGrid w:val="0"/>
          <w:sz w:val="24"/>
          <w:szCs w:val="24"/>
        </w:rPr>
        <w:t>III – Em caso de dano de abrangência suprarregional ou nacional, há competência concorrente para a Ação Civil Pública das Varas do Trabalho das sedes dos Tribunais Regionais do Trabalho.</w:t>
      </w:r>
    </w:p>
    <w:p w:rsidR="00227854" w:rsidRPr="00FC0850" w:rsidRDefault="00227854" w:rsidP="00227854">
      <w:pPr>
        <w:widowControl w:val="0"/>
        <w:jc w:val="both"/>
        <w:rPr>
          <w:snapToGrid w:val="0"/>
          <w:sz w:val="24"/>
          <w:szCs w:val="24"/>
        </w:rPr>
      </w:pPr>
      <w:r w:rsidRPr="00FC0850">
        <w:rPr>
          <w:snapToGrid w:val="0"/>
          <w:sz w:val="24"/>
          <w:szCs w:val="24"/>
        </w:rPr>
        <w:t>IV – Estará prevento o juízo a que a primeira ação houver sido distribuída.</w:t>
      </w:r>
    </w:p>
    <w:p w:rsidR="00227854" w:rsidRPr="00DE5E3D" w:rsidRDefault="00227854" w:rsidP="00227854">
      <w:pPr>
        <w:widowControl w:val="0"/>
        <w:jc w:val="both"/>
        <w:rPr>
          <w:snapToGrid w:val="0"/>
        </w:rPr>
      </w:pPr>
    </w:p>
    <w:p w:rsidR="00227854" w:rsidRDefault="00227854" w:rsidP="00227854">
      <w:pPr>
        <w:widowControl w:val="0"/>
        <w:jc w:val="both"/>
        <w:rPr>
          <w:b/>
          <w:snapToGrid w:val="0"/>
          <w:sz w:val="24"/>
          <w:szCs w:val="24"/>
        </w:rPr>
      </w:pPr>
      <w:r w:rsidRPr="00FC0850">
        <w:rPr>
          <w:b/>
          <w:snapToGrid w:val="0"/>
          <w:sz w:val="24"/>
          <w:szCs w:val="24"/>
        </w:rPr>
        <w:t>OJ N.º 5 SDC</w:t>
      </w:r>
    </w:p>
    <w:p w:rsidR="00227854" w:rsidRPr="00FC0850" w:rsidRDefault="00227854" w:rsidP="00227854">
      <w:pPr>
        <w:widowControl w:val="0"/>
        <w:jc w:val="both"/>
        <w:rPr>
          <w:snapToGrid w:val="0"/>
          <w:sz w:val="24"/>
          <w:szCs w:val="24"/>
        </w:rPr>
      </w:pPr>
      <w:r w:rsidRPr="00FC0850">
        <w:rPr>
          <w:snapToGrid w:val="0"/>
          <w:sz w:val="24"/>
          <w:szCs w:val="24"/>
        </w:rPr>
        <w:t xml:space="preserve">DISSÍDIO COLETIVO. PESSOA JURÍDICA DE DIREITO PÚBLICO. POSSIBILIDADE JURÍDICA. CLÁUSULA DE NATUREZA SOCIAL </w:t>
      </w:r>
      <w:r w:rsidRPr="00990997">
        <w:rPr>
          <w:b/>
          <w:snapToGrid w:val="0"/>
          <w:sz w:val="24"/>
          <w:szCs w:val="24"/>
        </w:rPr>
        <w:t>(redação alterada na sessão do Tribunal Pleno realizada em 14.09.2012)</w:t>
      </w:r>
    </w:p>
    <w:p w:rsidR="00227854" w:rsidRPr="00FC0850" w:rsidRDefault="00227854" w:rsidP="00227854">
      <w:pPr>
        <w:widowControl w:val="0"/>
        <w:jc w:val="both"/>
        <w:rPr>
          <w:snapToGrid w:val="0"/>
          <w:sz w:val="24"/>
          <w:szCs w:val="24"/>
        </w:rPr>
      </w:pPr>
      <w:r w:rsidRPr="00FC0850">
        <w:rPr>
          <w:snapToGrid w:val="0"/>
          <w:sz w:val="24"/>
          <w:szCs w:val="24"/>
        </w:rPr>
        <w:t>Em face de pessoa jurídica de direito público que mantenha empregados, cabe dissídio coletivo exclusivamente para apreciação de cláusulas de natureza social. Inteligência da Convenção nº 151 da Organização Internacional do Trabalho, ratificada pelo Decreto Legislativo nº 206/2010.</w:t>
      </w:r>
    </w:p>
    <w:p w:rsidR="00631F1C" w:rsidRPr="00971E07" w:rsidRDefault="00631F1C" w:rsidP="00631F1C">
      <w:pPr>
        <w:pStyle w:val="Corpo"/>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5D1DE4" w:rsidRDefault="00FE00AD" w:rsidP="00F82D8F">
      <w:pPr>
        <w:pStyle w:val="Corpodetexto2"/>
        <w:jc w:val="center"/>
        <w:rPr>
          <w:b/>
          <w:bCs/>
          <w:emboss/>
          <w:sz w:val="10"/>
          <w:szCs w:val="10"/>
        </w:rPr>
      </w:pPr>
    </w:p>
    <w:p w:rsidR="00FE00AD" w:rsidRPr="005D1DE4" w:rsidRDefault="00FE00AD" w:rsidP="00F82D8F">
      <w:pPr>
        <w:pStyle w:val="Corpodetexto2"/>
        <w:jc w:val="center"/>
        <w:rPr>
          <w:b/>
          <w:bCs/>
          <w:emboss/>
          <w:sz w:val="10"/>
          <w:szCs w:val="10"/>
        </w:rPr>
      </w:pPr>
    </w:p>
    <w:p w:rsidR="00DE5E3D" w:rsidRPr="00DE5E3D" w:rsidRDefault="00DE5E3D" w:rsidP="00DE5E3D">
      <w:pPr>
        <w:jc w:val="both"/>
        <w:rPr>
          <w:b/>
          <w:i/>
          <w:sz w:val="24"/>
          <w:szCs w:val="24"/>
        </w:rPr>
      </w:pPr>
      <w:r w:rsidRPr="00DE5E3D">
        <w:rPr>
          <w:b/>
          <w:i/>
          <w:sz w:val="24"/>
          <w:szCs w:val="24"/>
        </w:rPr>
        <w:t xml:space="preserve">Recurso enviado por fac-símile. Transmissão incompleta. Petição original protocolizada no prazo legal. Preclusão consumativa. Não configuração. </w:t>
      </w:r>
    </w:p>
    <w:p w:rsidR="00DE5E3D" w:rsidRPr="00DE5E3D" w:rsidRDefault="00DE5E3D" w:rsidP="00DE5E3D">
      <w:pPr>
        <w:jc w:val="both"/>
        <w:rPr>
          <w:sz w:val="24"/>
          <w:szCs w:val="24"/>
          <w:u w:val="single"/>
        </w:rPr>
      </w:pPr>
      <w:r w:rsidRPr="00DE5E3D">
        <w:rPr>
          <w:sz w:val="24"/>
          <w:szCs w:val="24"/>
        </w:rPr>
        <w:t>Não se aplica a preclusão consumativa ao caso em que, não obstante o recurso transmitido via fac-símile estivesse incompleto, a parte protocolou a petição original no prazo recursal. Na hipótese, o documento enviado por fax deve ser tido por inexistente, porque, ao não conferir com os originais apresentados, não se pode considerar ratificado, conforme exige a Lei nº 9.800/99. Com esse entendimento, a SBDI-I, por unanimidade, conheceu dos embargos por violação do art. 5º, LV, da CF, e, no mérito, deu-lhes provimento para, anulando os acórdãos de fls. 512/513 e 519/520, determinar o retorno dos autos à Turma de origem, a fim de que prossiga no julgamento dos primeiros embargos de declaração do sindicato reclamante como entender de direito, ficando prejudicado o exame dos demais temas do recurso de embargos.</w:t>
      </w:r>
      <w:hyperlink r:id="rId8" w:history="1">
        <w:r w:rsidRPr="00266276">
          <w:rPr>
            <w:rStyle w:val="Hyperlink"/>
            <w:sz w:val="24"/>
            <w:szCs w:val="24"/>
          </w:rPr>
          <w:t>TST-E-ED-RR-91600-02.2002.5.03.0042</w:t>
        </w:r>
      </w:hyperlink>
      <w:r w:rsidRPr="00DE5E3D">
        <w:rPr>
          <w:sz w:val="24"/>
          <w:szCs w:val="24"/>
          <w:u w:val="single"/>
        </w:rPr>
        <w:t>, SBDI-I, rel. Min. Renato de Lacerda Paiva, 20.9.2012</w:t>
      </w:r>
      <w:r w:rsidRPr="00DE5E3D">
        <w:rPr>
          <w:sz w:val="24"/>
          <w:szCs w:val="24"/>
        </w:rPr>
        <w:t xml:space="preserve"> </w:t>
      </w:r>
      <w:r w:rsidRPr="00D13188">
        <w:t xml:space="preserve">(No mesmo sentido, </w:t>
      </w:r>
      <w:hyperlink r:id="rId9" w:history="1">
        <w:r w:rsidRPr="00D13188">
          <w:rPr>
            <w:rStyle w:val="Hyperlink"/>
          </w:rPr>
          <w:t>TST-E-ED-AIRR-384240-64.2005.5.12.0016</w:t>
        </w:r>
      </w:hyperlink>
      <w:r w:rsidRPr="00D13188">
        <w:t>, SBDI-I, rel. Min. Ives Gandra Martins Filho, 20.9.2012.)</w:t>
      </w:r>
    </w:p>
    <w:p w:rsidR="00DE5E3D" w:rsidRPr="00DE5E3D" w:rsidRDefault="00DE5E3D" w:rsidP="00DE5E3D">
      <w:pPr>
        <w:jc w:val="both"/>
        <w:rPr>
          <w:b/>
          <w:i/>
          <w:sz w:val="24"/>
          <w:szCs w:val="24"/>
        </w:rPr>
      </w:pPr>
      <w:r w:rsidRPr="00DE5E3D">
        <w:rPr>
          <w:b/>
          <w:i/>
          <w:sz w:val="24"/>
          <w:szCs w:val="24"/>
        </w:rPr>
        <w:t>Adicional de periculosidade. Motorista. Abastecimento do veículo. Regularidade do contato.</w:t>
      </w:r>
    </w:p>
    <w:p w:rsidR="00DE5E3D" w:rsidRPr="00DE5E3D" w:rsidRDefault="00DE5E3D" w:rsidP="00DE5E3D">
      <w:pPr>
        <w:jc w:val="both"/>
        <w:rPr>
          <w:sz w:val="24"/>
          <w:szCs w:val="24"/>
          <w:u w:val="single"/>
        </w:rPr>
      </w:pPr>
      <w:r w:rsidRPr="00DE5E3D">
        <w:rPr>
          <w:sz w:val="24"/>
          <w:szCs w:val="24"/>
        </w:rPr>
        <w:t xml:space="preserve">A permanência habitual na presença de inflamáveis, ainda que por poucos minutos, caracteriza exposição intermitente, para efeito de pagamento de adicional de periculosidade. O tempo de exposição é irrelevante, havendo perigo de evento danoso tanto para o empregado que permanece por longo tempo na área de risco quanto para o que permanece por tempo reduzido, dada a imprevisibilidade do sinistro. Com base nesse entendimento, a SBDI-I, por unanimidade, conheceu dos embargos do reclamante, por divergência jurisprudencial, e, no mérito, deu-lhe provimento para condenar a reclamada ao pagamento do adicional de periculosidade e reflexos. Vencidos os Ministros Ives Gandra Martins Filho, Aloysio Corrêa da Veiga e Maria Cristina Irigoyen Peduzzi. Na espécie, consignou-se que o reclamante, no exercício da função de motorista, abastecia, às vezes pessoalmente, o veículo por ele utilizado, demandando um tempo médio de dez minutos. </w:t>
      </w:r>
      <w:hyperlink r:id="rId10" w:history="1">
        <w:r w:rsidRPr="00D13188">
          <w:rPr>
            <w:rStyle w:val="Hyperlink"/>
            <w:sz w:val="24"/>
            <w:szCs w:val="24"/>
          </w:rPr>
          <w:t>TST-E-ED-RR-1600-72.2005.5.15.0120</w:t>
        </w:r>
      </w:hyperlink>
      <w:r w:rsidRPr="00DE5E3D">
        <w:rPr>
          <w:sz w:val="24"/>
          <w:szCs w:val="24"/>
          <w:u w:val="single"/>
        </w:rPr>
        <w:t>, SBDI-I, Min. João Batista Brito Pereira, 20.9.2012</w:t>
      </w:r>
    </w:p>
    <w:p w:rsidR="004B21AD" w:rsidRPr="00DE5E3D" w:rsidRDefault="004B21AD" w:rsidP="009027C8">
      <w:pPr>
        <w:pStyle w:val="tema"/>
        <w:tabs>
          <w:tab w:val="left" w:pos="11482"/>
          <w:tab w:val="left" w:pos="11624"/>
        </w:tabs>
        <w:ind w:left="0"/>
        <w:rPr>
          <w:rFonts w:ascii="Times New Roman" w:hAnsi="Times New Roman" w:cs="Times New Roman"/>
          <w:bCs w:val="0"/>
          <w:i/>
          <w:iCs/>
          <w:caps w:val="0"/>
          <w:color w:val="auto"/>
          <w:sz w:val="20"/>
          <w:szCs w:val="20"/>
        </w:rPr>
      </w:pPr>
    </w:p>
    <w:p w:rsidR="00DE5E3D" w:rsidRPr="00DE5E3D" w:rsidRDefault="00DE5E3D" w:rsidP="00DE5E3D">
      <w:pPr>
        <w:jc w:val="both"/>
        <w:rPr>
          <w:b/>
          <w:i/>
          <w:sz w:val="24"/>
          <w:szCs w:val="24"/>
        </w:rPr>
      </w:pPr>
      <w:r w:rsidRPr="00DE5E3D">
        <w:rPr>
          <w:b/>
          <w:i/>
          <w:sz w:val="24"/>
          <w:szCs w:val="24"/>
        </w:rPr>
        <w:t>Comissão de conciliação prévia. Acordo firmado sem ressalvas. Eficácia liberatória geral.</w:t>
      </w:r>
    </w:p>
    <w:p w:rsidR="00DE5E3D" w:rsidRPr="00DE5E3D" w:rsidRDefault="00DE5E3D" w:rsidP="00DE5E3D">
      <w:pPr>
        <w:jc w:val="both"/>
        <w:rPr>
          <w:sz w:val="24"/>
          <w:szCs w:val="24"/>
        </w:rPr>
      </w:pPr>
      <w:r w:rsidRPr="00DE5E3D">
        <w:rPr>
          <w:sz w:val="24"/>
          <w:szCs w:val="24"/>
        </w:rPr>
        <w:t xml:space="preserve">Reafirmando posicionamento da Corte no sentido de possuir eficácia liberatória geral, quanto ao contrato de trabalho, o acordo firmado perante a comissão de conciliação prévia, quando inexistentes ressalvas, a SBDI-I, por maioria, negou provimento ao agravo e manteve a decisão que negou seguimento aos embargos. Vencidos os Ministros José Roberto Freire Pimenta e Delaíde Miranda Arantes, que davam provimento ao agravo para restabelecer a decisão do Regional, ao fundamento de que, na hipótese, o termo de conciliação firmado pelas partes diante da comissão de conciliação prévia se deu em substituição ao procedimento homologatório regular, em desvio de finalidade, inviabilizando, portanto, a eficácia liberatória pretendida. </w:t>
      </w:r>
      <w:hyperlink r:id="rId11" w:history="1">
        <w:r w:rsidRPr="00D13188">
          <w:rPr>
            <w:rStyle w:val="Hyperlink"/>
            <w:sz w:val="24"/>
            <w:szCs w:val="24"/>
          </w:rPr>
          <w:t>TST-Ag-E-RR-131240-28.2008.5.03.0098</w:t>
        </w:r>
      </w:hyperlink>
      <w:r w:rsidRPr="00DE5E3D">
        <w:rPr>
          <w:sz w:val="24"/>
          <w:szCs w:val="24"/>
          <w:u w:val="single"/>
        </w:rPr>
        <w:t>, SBDI-1, rel. Min. Ives Gandra Martins Filho, 20.9.2012</w:t>
      </w:r>
    </w:p>
    <w:p w:rsidR="00DE5E3D" w:rsidRPr="00DE5E3D" w:rsidRDefault="00DE5E3D" w:rsidP="009027C8">
      <w:pPr>
        <w:pStyle w:val="tema"/>
        <w:tabs>
          <w:tab w:val="left" w:pos="11482"/>
          <w:tab w:val="left" w:pos="11624"/>
        </w:tabs>
        <w:ind w:left="0"/>
        <w:rPr>
          <w:rFonts w:ascii="Times New Roman" w:hAnsi="Times New Roman" w:cs="Times New Roman"/>
          <w:bCs w:val="0"/>
          <w:i/>
          <w:iCs/>
          <w:caps w:val="0"/>
          <w:color w:val="auto"/>
          <w:sz w:val="20"/>
          <w:szCs w:val="20"/>
        </w:rPr>
      </w:pPr>
    </w:p>
    <w:p w:rsidR="00DE5E3D" w:rsidRPr="00DE5E3D" w:rsidRDefault="00DE5E3D" w:rsidP="00DE5E3D">
      <w:pPr>
        <w:jc w:val="both"/>
        <w:rPr>
          <w:b/>
          <w:i/>
          <w:sz w:val="24"/>
          <w:szCs w:val="24"/>
        </w:rPr>
      </w:pPr>
      <w:r w:rsidRPr="00DE5E3D">
        <w:rPr>
          <w:b/>
          <w:i/>
          <w:sz w:val="24"/>
          <w:szCs w:val="24"/>
        </w:rPr>
        <w:t>Horas Extras. Habitualidade. Pagamento suspenso transitoriamente por força do Decreto nº 29.019/2008 do Distrito Federal. Indenização devida. Súmula nº 291 do TST.</w:t>
      </w:r>
    </w:p>
    <w:p w:rsidR="00DE5E3D" w:rsidRPr="00DE5E3D" w:rsidRDefault="00DE5E3D" w:rsidP="00DE5E3D">
      <w:pPr>
        <w:jc w:val="both"/>
        <w:rPr>
          <w:sz w:val="24"/>
          <w:szCs w:val="24"/>
        </w:rPr>
      </w:pPr>
      <w:r w:rsidRPr="00DE5E3D">
        <w:rPr>
          <w:sz w:val="24"/>
          <w:szCs w:val="24"/>
        </w:rPr>
        <w:t xml:space="preserve">A suspensão transitória de serviço suplementar prestado com habitualidade, por força do Decreto nº 29.019/2008 do Distrito Federal, assegura ao empregado o direito à indenização correspondente ao valor de um mês das horas suprimidas, total ou parcialmente, para cada ano ou fração igual ou superior a seis meses de prestação de serviço acima da jornada normal, a que se refere a Súmula nº 291 do TST. Com esse entendimento, a SBDI-I, por unanimidade, conheceu dos embargos, por divergência jurisprudencial, e, no mérito, por maioria, negou-lhes provimento. Vencidos os Ministros Ives Gandra Martins Filho, relator, João Batista Brito Pereira, Dora Maria da Costa, Augusto César Leite de Carvalho e Maria Cristina Irigoyen Peduzzi, os quais davam provimento ao recurso por entender pela má aplicação da Súmula nº 291 do TST na medida em que o referido verbete não trata da hipótese de suspensão temporária de horas extras </w:t>
      </w:r>
      <w:hyperlink r:id="rId12" w:history="1">
        <w:r w:rsidRPr="00D13188">
          <w:rPr>
            <w:rStyle w:val="Hyperlink"/>
            <w:sz w:val="24"/>
            <w:szCs w:val="24"/>
          </w:rPr>
          <w:t>TST-E-RR-2706-06.2010.5.10.0000</w:t>
        </w:r>
      </w:hyperlink>
      <w:r w:rsidRPr="00DE5E3D">
        <w:rPr>
          <w:sz w:val="24"/>
          <w:szCs w:val="24"/>
          <w:u w:val="single"/>
        </w:rPr>
        <w:t xml:space="preserve">, SBDI-I, rel. Min. Ives Gandra Martins Filho, </w:t>
      </w:r>
      <w:r w:rsidRPr="00DE5E3D">
        <w:rPr>
          <w:bCs/>
          <w:color w:val="000000"/>
          <w:sz w:val="24"/>
          <w:szCs w:val="24"/>
          <w:u w:val="single"/>
        </w:rPr>
        <w:t xml:space="preserve">red. p/ acórdão </w:t>
      </w:r>
      <w:r w:rsidRPr="00DE5E3D">
        <w:rPr>
          <w:sz w:val="24"/>
          <w:szCs w:val="24"/>
          <w:u w:val="single"/>
        </w:rPr>
        <w:t>Min. Aloysio Corrêa da Veiga, 20.9.2012</w:t>
      </w:r>
    </w:p>
    <w:p w:rsidR="00DE5E3D" w:rsidRPr="00DE5E3D" w:rsidRDefault="00DE5E3D" w:rsidP="009027C8">
      <w:pPr>
        <w:pStyle w:val="tema"/>
        <w:tabs>
          <w:tab w:val="left" w:pos="11482"/>
          <w:tab w:val="left" w:pos="11624"/>
        </w:tabs>
        <w:ind w:left="0"/>
        <w:rPr>
          <w:rFonts w:ascii="Times New Roman" w:hAnsi="Times New Roman" w:cs="Times New Roman"/>
          <w:bCs w:val="0"/>
          <w:i/>
          <w:iCs/>
          <w:caps w:val="0"/>
          <w:color w:val="auto"/>
          <w:sz w:val="20"/>
          <w:szCs w:val="20"/>
        </w:rPr>
      </w:pPr>
    </w:p>
    <w:p w:rsidR="00DE5E3D" w:rsidRPr="00DE5E3D" w:rsidRDefault="00DE5E3D" w:rsidP="00DE5E3D">
      <w:pPr>
        <w:jc w:val="both"/>
        <w:rPr>
          <w:b/>
          <w:i/>
          <w:sz w:val="24"/>
          <w:szCs w:val="24"/>
        </w:rPr>
      </w:pPr>
      <w:r w:rsidRPr="00DE5E3D">
        <w:rPr>
          <w:b/>
          <w:i/>
          <w:sz w:val="24"/>
          <w:szCs w:val="24"/>
        </w:rPr>
        <w:t>Agravo de instrumento. Recurso de revista com traslado incompleto. Conhecimento do apelo apenas quanto aos temas cujas razões tenham sido trasladadas. Impossibilidade.</w:t>
      </w:r>
    </w:p>
    <w:p w:rsidR="00DE5E3D" w:rsidRPr="00DE5E3D" w:rsidRDefault="00DE5E3D" w:rsidP="00DE5E3D">
      <w:pPr>
        <w:jc w:val="both"/>
        <w:rPr>
          <w:sz w:val="24"/>
          <w:szCs w:val="24"/>
          <w:u w:val="single"/>
        </w:rPr>
      </w:pPr>
      <w:r w:rsidRPr="00DE5E3D">
        <w:rPr>
          <w:sz w:val="24"/>
          <w:szCs w:val="24"/>
        </w:rPr>
        <w:t>O traslado obrigatório da petição do recurso de revista decorre da necessidade de possibilitar, caso provido o agravo de instrumento, o imediato julgamento do recurso denegado, conforme dispõe o art. 897, § 5º, da CLT e a Instrução Normativa nº 16/99. Trata-se de pressuposto extrínseco de admissibilidade, e somente quando superado</w:t>
      </w:r>
      <w:r w:rsidR="00B166EB">
        <w:rPr>
          <w:sz w:val="24"/>
          <w:szCs w:val="24"/>
        </w:rPr>
        <w:t xml:space="preserve"> possibilita </w:t>
      </w:r>
      <w:r w:rsidRPr="00DE5E3D">
        <w:rPr>
          <w:sz w:val="24"/>
          <w:szCs w:val="24"/>
        </w:rPr>
        <w:t>a análise do mérito do apelo. Assim, deficiente o traslado, porque ausente a última folha do recurso de revista do reclamado, contendo os pedidos e as assinaturas, não é p</w:t>
      </w:r>
      <w:r w:rsidR="00B166EB">
        <w:rPr>
          <w:sz w:val="24"/>
          <w:szCs w:val="24"/>
        </w:rPr>
        <w:t>a</w:t>
      </w:r>
      <w:r w:rsidRPr="00DE5E3D">
        <w:rPr>
          <w:sz w:val="24"/>
          <w:szCs w:val="24"/>
        </w:rPr>
        <w:t xml:space="preserve">ssível </w:t>
      </w:r>
      <w:r w:rsidR="00B166EB">
        <w:rPr>
          <w:sz w:val="24"/>
          <w:szCs w:val="24"/>
        </w:rPr>
        <w:t>de</w:t>
      </w:r>
      <w:r w:rsidRPr="00DE5E3D">
        <w:rPr>
          <w:sz w:val="24"/>
          <w:szCs w:val="24"/>
        </w:rPr>
        <w:t xml:space="preserve"> conhecimento o agravo de instrumento, nem mesmo quanto aos temas cujas razões tenham sido totalmente trasladadas. Com esse entendimento, a SBDI-I, por maioria, conheceu dos embargos, por divergência jurisprudencial, vencidos os Ministros Lelio Bentes Corrêa, Aloysio Corrêa da Veiga e Luiz Philippe Vieira de Mello Filho e, no mérito, ainda por maioria, negou-lhes provimento, vencido o Ministro Ives Gandra Martins Filho, relator. </w:t>
      </w:r>
      <w:hyperlink r:id="rId13" w:history="1">
        <w:r w:rsidRPr="00D13188">
          <w:rPr>
            <w:rStyle w:val="Hyperlink"/>
            <w:sz w:val="24"/>
            <w:szCs w:val="24"/>
          </w:rPr>
          <w:t>TST-E-ED-A-AIRR</w:t>
        </w:r>
        <w:r w:rsidR="00D13188" w:rsidRPr="00D13188">
          <w:rPr>
            <w:rStyle w:val="Hyperlink"/>
            <w:sz w:val="24"/>
            <w:szCs w:val="24"/>
          </w:rPr>
          <w:t>-</w:t>
        </w:r>
        <w:r w:rsidRPr="00D13188">
          <w:rPr>
            <w:rStyle w:val="Hyperlink"/>
            <w:sz w:val="24"/>
            <w:szCs w:val="24"/>
          </w:rPr>
          <w:t>1102240-92.2004.5.09.0015</w:t>
        </w:r>
      </w:hyperlink>
      <w:r w:rsidRPr="00DE5E3D">
        <w:rPr>
          <w:sz w:val="24"/>
          <w:szCs w:val="24"/>
          <w:u w:val="single"/>
        </w:rPr>
        <w:t>, SBDI-I, rel. Min</w:t>
      </w:r>
      <w:r w:rsidRPr="00D13188">
        <w:rPr>
          <w:sz w:val="24"/>
          <w:szCs w:val="24"/>
          <w:u w:val="single"/>
        </w:rPr>
        <w:t xml:space="preserve">. </w:t>
      </w:r>
      <w:r w:rsidRPr="00DE5E3D">
        <w:rPr>
          <w:sz w:val="24"/>
          <w:szCs w:val="24"/>
          <w:u w:val="single"/>
        </w:rPr>
        <w:t>Ives Gandra da Silva Martins Filho, red. p/acórdão Min. Renato de Lacerda Paiva, 20.9.2012</w:t>
      </w:r>
    </w:p>
    <w:p w:rsidR="00DE5E3D" w:rsidRPr="00DE5E3D" w:rsidRDefault="00DE5E3D" w:rsidP="009027C8">
      <w:pPr>
        <w:pStyle w:val="tema"/>
        <w:tabs>
          <w:tab w:val="left" w:pos="11482"/>
          <w:tab w:val="left" w:pos="11624"/>
        </w:tabs>
        <w:ind w:left="0"/>
        <w:rPr>
          <w:rFonts w:ascii="Times New Roman" w:hAnsi="Times New Roman" w:cs="Times New Roman"/>
          <w:bCs w:val="0"/>
          <w:i/>
          <w:iCs/>
          <w:caps w:val="0"/>
          <w:color w:val="auto"/>
          <w:sz w:val="20"/>
          <w:szCs w:val="20"/>
        </w:rPr>
      </w:pPr>
    </w:p>
    <w:p w:rsidR="00DE5E3D" w:rsidRPr="00DE5E3D" w:rsidRDefault="00DE5E3D" w:rsidP="00DE5E3D">
      <w:pPr>
        <w:jc w:val="both"/>
        <w:rPr>
          <w:b/>
          <w:i/>
          <w:sz w:val="24"/>
          <w:szCs w:val="24"/>
        </w:rPr>
      </w:pPr>
      <w:r w:rsidRPr="00DE5E3D">
        <w:rPr>
          <w:b/>
          <w:i/>
          <w:sz w:val="24"/>
          <w:szCs w:val="24"/>
        </w:rPr>
        <w:t xml:space="preserve">Bancário. Gerente-geral. Tempo despendido na realização de cursos pela internet e à distância, fora do horário de trabalho. Horas extras. Indeferimento. </w:t>
      </w:r>
    </w:p>
    <w:p w:rsidR="00DE5E3D" w:rsidRPr="00DE5E3D" w:rsidRDefault="00DE5E3D" w:rsidP="00DE5E3D">
      <w:pPr>
        <w:pStyle w:val="tema"/>
        <w:spacing w:line="240" w:lineRule="auto"/>
        <w:ind w:left="0"/>
        <w:rPr>
          <w:rFonts w:ascii="Times New Roman" w:hAnsi="Times New Roman"/>
          <w:b w:val="0"/>
          <w:bCs w:val="0"/>
          <w:caps w:val="0"/>
          <w:color w:val="auto"/>
          <w:u w:val="single"/>
        </w:rPr>
      </w:pPr>
      <w:r w:rsidRPr="00DE5E3D">
        <w:rPr>
          <w:rFonts w:ascii="Times New Roman" w:eastAsia="Calibri" w:hAnsi="Times New Roman"/>
          <w:b w:val="0"/>
          <w:caps w:val="0"/>
          <w:color w:val="auto"/>
          <w:lang w:eastAsia="en-US"/>
        </w:rPr>
        <w:t xml:space="preserve">Os cursos realizados por exigência do empregador, via internet e à distância, fora do horário de trabalho, por empregado gerente-geral de agência bancária, não ensejam o pagamento de horas extras, porquanto o trabalhador que se enquadra no art. 62, II, da CLT não tem direito a qualquer parcela regida pelo capítulo “Da Duração do Trabalho”. Com esse entendimento, a SBDI-I, por maioria, conheceu dos embargos, por contrariedade à Súmula n.º 287 do TST, e, no mérito, deu-lhes provimento para excluir da condenação o pagamento das horas extras decorrentes da realização de cursos desempenhados via internet e à distância, fora do horário de trabalho. Vencidos os Ministros Lelio Bentes Corrêa, relator, Luiz Philippe Vieira de Mello Filho, Augusto César Leite de Carvalho, José Roberto Freire Pimenta e Delaíde Miranda Arantes. </w:t>
      </w:r>
      <w:hyperlink r:id="rId14" w:history="1">
        <w:r w:rsidRPr="00D13188">
          <w:rPr>
            <w:rStyle w:val="Hyperlink"/>
            <w:rFonts w:ascii="Times New Roman" w:eastAsia="Calibri" w:hAnsi="Times New Roman" w:cs="Courier New"/>
            <w:b w:val="0"/>
            <w:caps w:val="0"/>
            <w:lang w:eastAsia="en-US"/>
          </w:rPr>
          <w:t>TST-ERR-</w:t>
        </w:r>
        <w:r w:rsidRPr="00D13188">
          <w:rPr>
            <w:rStyle w:val="Hyperlink"/>
            <w:rFonts w:ascii="Times New Roman" w:hAnsi="Times New Roman" w:cs="Courier New"/>
            <w:b w:val="0"/>
            <w:caps w:val="0"/>
          </w:rPr>
          <w:t>82700-69.2006.5.04.0007</w:t>
        </w:r>
      </w:hyperlink>
      <w:r w:rsidRPr="00DE5E3D">
        <w:rPr>
          <w:rFonts w:ascii="Times New Roman" w:hAnsi="Times New Roman"/>
          <w:b w:val="0"/>
          <w:caps w:val="0"/>
          <w:color w:val="auto"/>
          <w:u w:val="single"/>
        </w:rPr>
        <w:t xml:space="preserve">, SBDI-I, rel. Min. Lelio Bentes Corrêa, red. p/ </w:t>
      </w:r>
      <w:r w:rsidRPr="00DE5E3D">
        <w:rPr>
          <w:rFonts w:ascii="Times New Roman" w:hAnsi="Times New Roman"/>
          <w:b w:val="0"/>
          <w:caps w:val="0"/>
          <w:u w:val="single"/>
        </w:rPr>
        <w:t>acórdão Min. João Oreste Dalazen,</w:t>
      </w:r>
      <w:r w:rsidRPr="00DE5E3D">
        <w:rPr>
          <w:rFonts w:ascii="Times New Roman" w:hAnsi="Times New Roman"/>
          <w:b w:val="0"/>
          <w:caps w:val="0"/>
          <w:color w:val="auto"/>
          <w:u w:val="single"/>
        </w:rPr>
        <w:t xml:space="preserve"> 20.09.2012</w:t>
      </w:r>
    </w:p>
    <w:p w:rsidR="00DE5E3D" w:rsidRPr="005D1DE4" w:rsidRDefault="00DE5E3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bCs/>
          <w:snapToGrid w:val="0"/>
        </w:rPr>
      </w:pPr>
      <w:r w:rsidRPr="005D1DE4">
        <w:rPr>
          <w:b/>
          <w:bCs/>
          <w:snapToGrid w:val="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bCs/>
          <w:snapToGrid w:val="0"/>
        </w:rPr>
      </w:pPr>
      <w:r w:rsidRPr="005D1DE4">
        <w:rPr>
          <w:b/>
          <w:bCs/>
          <w:snapToGrid w:val="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C6" w:rsidRDefault="003667C6">
      <w:r>
        <w:separator/>
      </w:r>
    </w:p>
  </w:endnote>
  <w:endnote w:type="continuationSeparator" w:id="0">
    <w:p w:rsidR="003667C6" w:rsidRDefault="0036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76" w:rsidRDefault="0026627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11E7">
      <w:rPr>
        <w:rStyle w:val="Nmerodepgina"/>
        <w:noProof/>
      </w:rPr>
      <w:t>2</w:t>
    </w:r>
    <w:r>
      <w:rPr>
        <w:rStyle w:val="Nmerodepgina"/>
      </w:rPr>
      <w:fldChar w:fldCharType="end"/>
    </w:r>
  </w:p>
  <w:p w:rsidR="00266276" w:rsidRDefault="00266276">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76" w:rsidRDefault="00266276">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F14B7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C6" w:rsidRDefault="003667C6">
      <w:r>
        <w:separator/>
      </w:r>
    </w:p>
  </w:footnote>
  <w:footnote w:type="continuationSeparator" w:id="0">
    <w:p w:rsidR="003667C6" w:rsidRDefault="00366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76" w:rsidRPr="00971E07" w:rsidRDefault="00266276">
    <w:pPr>
      <w:pStyle w:val="Corpodetexto"/>
      <w:jc w:val="right"/>
      <w:rPr>
        <w:shadow/>
        <w:sz w:val="24"/>
        <w:szCs w:val="24"/>
      </w:rPr>
    </w:pPr>
    <w:r w:rsidRPr="00971E07">
      <w:rPr>
        <w:shadow/>
        <w:sz w:val="24"/>
        <w:szCs w:val="24"/>
      </w:rPr>
      <w:t xml:space="preserve">Informativo TST - </w:t>
    </w:r>
    <w:r>
      <w:rPr>
        <w:shadow/>
        <w:sz w:val="24"/>
        <w:szCs w:val="24"/>
      </w:rPr>
      <w:t>nº 22</w:t>
    </w:r>
  </w:p>
  <w:p w:rsidR="00266276" w:rsidRPr="00971E07" w:rsidRDefault="00266276">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Período: 20</w:t>
    </w:r>
    <w:r w:rsidRPr="00971E07">
      <w:rPr>
        <w:sz w:val="20"/>
        <w:szCs w:val="20"/>
      </w:rPr>
      <w:t xml:space="preserve"> a </w:t>
    </w:r>
    <w:r>
      <w:rPr>
        <w:sz w:val="20"/>
        <w:szCs w:val="20"/>
      </w:rPr>
      <w:t>24</w:t>
    </w:r>
    <w:r w:rsidRPr="00971E07">
      <w:rPr>
        <w:sz w:val="20"/>
        <w:szCs w:val="20"/>
      </w:rPr>
      <w:t xml:space="preserve"> de </w:t>
    </w:r>
    <w:r>
      <w:rPr>
        <w:sz w:val="20"/>
        <w:szCs w:val="20"/>
      </w:rPr>
      <w:t>setembro</w:t>
    </w:r>
    <w:r w:rsidRPr="00971E07">
      <w:rPr>
        <w:sz w:val="20"/>
        <w:szCs w:val="20"/>
      </w:rPr>
      <w:t xml:space="preserve"> 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76" w:rsidRDefault="0026627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266276" w:rsidRPr="002168DE" w:rsidRDefault="00266276" w:rsidP="00075BDB">
    <w:pPr>
      <w:pStyle w:val="Cabealho"/>
      <w:tabs>
        <w:tab w:val="clear" w:pos="4419"/>
        <w:tab w:val="clear" w:pos="8838"/>
        <w:tab w:val="left" w:pos="2793"/>
      </w:tabs>
      <w:jc w:val="right"/>
      <w:rPr>
        <w:b/>
        <w:sz w:val="40"/>
        <w:szCs w:val="40"/>
      </w:rPr>
    </w:pPr>
    <w:r>
      <w:tab/>
    </w:r>
    <w:r>
      <w:tab/>
    </w:r>
    <w:r>
      <w:tab/>
    </w:r>
    <w:r>
      <w:tab/>
    </w:r>
    <w:r>
      <w:tab/>
    </w:r>
    <w:r>
      <w:tab/>
    </w:r>
    <w:r>
      <w:rPr>
        <w:b/>
        <w:sz w:val="40"/>
        <w:szCs w:val="40"/>
      </w:rPr>
      <w:t>Nº 22</w:t>
    </w:r>
  </w:p>
  <w:p w:rsidR="00266276" w:rsidRPr="005D1DE4" w:rsidRDefault="00266276">
    <w:pPr>
      <w:pStyle w:val="Cabealho"/>
      <w:jc w:val="right"/>
      <w:rPr>
        <w:i/>
        <w:iCs/>
        <w:sz w:val="10"/>
        <w:szCs w:val="10"/>
      </w:rPr>
    </w:pPr>
  </w:p>
  <w:p w:rsidR="00266276" w:rsidRPr="005D1DE4" w:rsidRDefault="00266276">
    <w:pPr>
      <w:pStyle w:val="Cabealho"/>
      <w:jc w:val="right"/>
    </w:pPr>
    <w:r>
      <w:rPr>
        <w:i/>
        <w:iCs/>
      </w:rPr>
      <w:t>Período:</w:t>
    </w:r>
    <w:r w:rsidRPr="005D1DE4">
      <w:rPr>
        <w:i/>
        <w:iCs/>
      </w:rPr>
      <w:t xml:space="preserve"> </w:t>
    </w:r>
    <w:r>
      <w:rPr>
        <w:i/>
        <w:iCs/>
      </w:rPr>
      <w:t>20</w:t>
    </w:r>
    <w:r w:rsidRPr="005D1DE4">
      <w:rPr>
        <w:i/>
        <w:iCs/>
      </w:rPr>
      <w:t xml:space="preserve"> a </w:t>
    </w:r>
    <w:r>
      <w:rPr>
        <w:i/>
        <w:iCs/>
      </w:rPr>
      <w:t>24</w:t>
    </w:r>
    <w:r w:rsidRPr="005D1DE4">
      <w:rPr>
        <w:i/>
        <w:iCs/>
      </w:rPr>
      <w:t xml:space="preserve"> de </w:t>
    </w:r>
    <w:r>
      <w:rPr>
        <w:i/>
        <w:iCs/>
      </w:rPr>
      <w:t>setembro</w:t>
    </w:r>
    <w:r w:rsidRPr="005D1DE4">
      <w:rPr>
        <w:i/>
        <w:iCs/>
      </w:rPr>
      <w:t xml:space="preserve"> de 2012</w:t>
    </w:r>
  </w:p>
  <w:p w:rsidR="00266276" w:rsidRDefault="00266276"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27854"/>
    <w:rsid w:val="0023559D"/>
    <w:rsid w:val="002402B0"/>
    <w:rsid w:val="002449F9"/>
    <w:rsid w:val="002635ED"/>
    <w:rsid w:val="00266276"/>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67C6"/>
    <w:rsid w:val="003671FE"/>
    <w:rsid w:val="003708FD"/>
    <w:rsid w:val="0037667D"/>
    <w:rsid w:val="00384075"/>
    <w:rsid w:val="003908C5"/>
    <w:rsid w:val="00396053"/>
    <w:rsid w:val="003A4086"/>
    <w:rsid w:val="003A5E5B"/>
    <w:rsid w:val="003A7EBD"/>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055EA"/>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1EA3"/>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E5870"/>
    <w:rsid w:val="008F26CB"/>
    <w:rsid w:val="008F6509"/>
    <w:rsid w:val="008F79D9"/>
    <w:rsid w:val="009027C8"/>
    <w:rsid w:val="0093467A"/>
    <w:rsid w:val="0094155C"/>
    <w:rsid w:val="00951531"/>
    <w:rsid w:val="00960A3B"/>
    <w:rsid w:val="00960BBF"/>
    <w:rsid w:val="00967DE0"/>
    <w:rsid w:val="00971E07"/>
    <w:rsid w:val="00980944"/>
    <w:rsid w:val="00986D77"/>
    <w:rsid w:val="0099099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499E"/>
    <w:rsid w:val="00AB507C"/>
    <w:rsid w:val="00AD6E76"/>
    <w:rsid w:val="00AE3EAA"/>
    <w:rsid w:val="00AE5EDF"/>
    <w:rsid w:val="00B14F7F"/>
    <w:rsid w:val="00B166EB"/>
    <w:rsid w:val="00B16EB9"/>
    <w:rsid w:val="00B22F24"/>
    <w:rsid w:val="00B22F53"/>
    <w:rsid w:val="00B24DBE"/>
    <w:rsid w:val="00B34EB2"/>
    <w:rsid w:val="00B517C3"/>
    <w:rsid w:val="00B518B2"/>
    <w:rsid w:val="00B526EA"/>
    <w:rsid w:val="00B536FE"/>
    <w:rsid w:val="00B711E7"/>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188"/>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DE5E3D"/>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4B7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rFonts w:ascii="Cambria" w:hAnsi="Cambria"/>
      <w:b/>
      <w:bCs/>
      <w:kern w:val="32"/>
      <w:sz w:val="32"/>
      <w:szCs w:val="32"/>
      <w:lang w:val="x-none" w:eastAsia="x-none"/>
    </w:rPr>
  </w:style>
  <w:style w:type="paragraph" w:styleId="Ttulo5">
    <w:name w:val="heading 5"/>
    <w:basedOn w:val="Normal"/>
    <w:next w:val="Normal"/>
    <w:link w:val="Ttulo5Char"/>
    <w:uiPriority w:val="99"/>
    <w:qFormat/>
    <w:pPr>
      <w:keepNext/>
      <w:jc w:val="both"/>
      <w:outlineLvl w:val="4"/>
    </w:pPr>
    <w:rPr>
      <w:rFonts w:ascii="Calibri" w:hAnsi="Calibri"/>
      <w:b/>
      <w:bCs/>
      <w:i/>
      <w:iCs/>
      <w:sz w:val="26"/>
      <w:szCs w:val="26"/>
      <w:lang w:val="x-none" w:eastAsia="x-none"/>
    </w:rPr>
  </w:style>
  <w:style w:type="paragraph" w:styleId="Ttulo6">
    <w:name w:val="heading 6"/>
    <w:basedOn w:val="Normal"/>
    <w:next w:val="Normal"/>
    <w:link w:val="Ttulo6Char"/>
    <w:uiPriority w:val="99"/>
    <w:qFormat/>
    <w:pPr>
      <w:keepNext/>
      <w:jc w:val="center"/>
      <w:outlineLvl w:val="5"/>
    </w:pPr>
    <w:rPr>
      <w:rFonts w:ascii="Calibri" w:hAnsi="Calibri"/>
      <w:b/>
      <w:bCs/>
      <w:sz w:val="22"/>
      <w:szCs w:val="22"/>
      <w:lang w:val="x-none" w:eastAsia="x-none"/>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rPr>
      <w:rFonts w:ascii="Calibri" w:hAnsi="Calibri"/>
      <w:lang w:val="x-none" w:eastAsia="x-none"/>
    </w:r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rPr>
      <w:rFonts w:ascii="Calibri" w:hAnsi="Calibri"/>
      <w:lang w:val="x-none" w:eastAsia="x-none"/>
    </w:r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rFonts w:ascii="Calibri" w:hAnsi="Calibri"/>
      <w:lang w:val="x-none" w:eastAsia="x-none"/>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rFonts w:ascii="Calibri" w:hAnsi="Calibri"/>
      <w:sz w:val="16"/>
      <w:szCs w:val="16"/>
      <w:lang w:val="x-none" w:eastAsia="x-none"/>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rFonts w:ascii="Calibri" w:hAnsi="Calibri"/>
      <w:sz w:val="22"/>
      <w:szCs w:val="22"/>
      <w:lang w:val="x-none" w:eastAsia="x-none"/>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alibri" w:hAnsi="Calibri"/>
      <w:lang w:val="x-none" w:eastAsia="x-none"/>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rPr>
      <w:rFonts w:ascii="Calibri" w:hAnsi="Calibri"/>
      <w:lang w:val="x-none" w:eastAsia="x-none"/>
    </w:r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rFonts w:ascii="Calibri" w:hAnsi="Calibri" w:cs="Times New Roman"/>
      <w:color w:val="auto"/>
      <w:sz w:val="20"/>
      <w:szCs w:val="20"/>
      <w:lang w:val="x-none" w:eastAsia="x-none"/>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sz w:val="16"/>
      <w:szCs w:val="16"/>
      <w:lang w:val="x-none" w:eastAsia="x-none"/>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paragraph" w:customStyle="1" w:styleId="Default">
    <w:name w:val="Default"/>
    <w:rsid w:val="00227854"/>
    <w:pPr>
      <w:autoSpaceDE w:val="0"/>
      <w:autoSpaceDN w:val="0"/>
      <w:adjustRightInd w:val="0"/>
    </w:pPr>
    <w:rPr>
      <w:rFonts w:ascii="Times New Roman" w:hAnsi="Times New Roman"/>
      <w:color w:val="000000"/>
      <w:sz w:val="24"/>
      <w:szCs w:val="24"/>
    </w:rPr>
  </w:style>
  <w:style w:type="paragraph" w:customStyle="1" w:styleId="BDRESOLVE">
    <w:name w:val="BDRESOLVE"/>
    <w:basedOn w:val="Normal"/>
    <w:link w:val="BDRESOLVEChar"/>
    <w:qFormat/>
    <w:rsid w:val="00227854"/>
    <w:pPr>
      <w:widowControl w:val="0"/>
      <w:autoSpaceDE/>
      <w:autoSpaceDN/>
      <w:ind w:firstLine="1418"/>
    </w:pPr>
    <w:rPr>
      <w:rFonts w:ascii="Verdana" w:hAnsi="Verdana"/>
      <w:b/>
      <w:snapToGrid w:val="0"/>
      <w:color w:val="000000"/>
      <w:lang w:val="x-none" w:eastAsia="x-none"/>
    </w:rPr>
  </w:style>
  <w:style w:type="character" w:customStyle="1" w:styleId="BDRESOLVEChar">
    <w:name w:val="BDRESOLVE Char"/>
    <w:link w:val="BDRESOLVE"/>
    <w:rsid w:val="00227854"/>
    <w:rPr>
      <w:rFonts w:ascii="Verdana" w:hAnsi="Verdana"/>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91600&amp;digitoTst=02&amp;anoTst=2002&amp;orgaoTst=5&amp;tribunalTst=03&amp;varaTst=0042" TargetMode="External"/><Relationship Id="rId13" Type="http://schemas.openxmlformats.org/officeDocument/2006/relationships/hyperlink" Target="https://aplicacao5.tst.jus.br/consultaProcessual/consultaTstNumUnica.do?consulta=Consultar&amp;conscsjt=&amp;numeroTst=1102240&amp;digitoTst=92&amp;anoTst=2004&amp;orgaoTst=5&amp;tribunalTst=09&amp;varaTst=001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2706&amp;digitoTst=06&amp;anoTst=2010&amp;orgaoTst=5&amp;tribunalTst=10&amp;varaTst=0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31240&amp;digitoTst=28&amp;anoTst=2008&amp;orgaoTst=5&amp;tribunalTst=03&amp;varaTst=00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licacao5.tst.jus.br/consultaProcessual/consultaTstNumUnica.do?consulta=Consultar&amp;conscsjt=&amp;numeroTst=1600&amp;digitoTst=72&amp;anoTst=2005&amp;orgaoTst=5&amp;tribunalTst=15&amp;varaTst=01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384240&amp;digitoTst=64&amp;anoTst=2005&amp;orgaoTst=5&amp;tribunalTst=12&amp;varaTst=0016" TargetMode="External"/><Relationship Id="rId14" Type="http://schemas.openxmlformats.org/officeDocument/2006/relationships/hyperlink" Target="https://aplicacao5.tst.jus.br/consultaProcessual/consultaTstNumUnica.do?consulta=Consultar&amp;conscsjt=&amp;numeroTst=82700&amp;digitoTst=69&amp;anoTst=2006&amp;orgaoTst=5&amp;tribunalTst=04&amp;varaTst=00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EBBF-0351-4D33-A167-E4FC3039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5315</Words>
  <Characters>28702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33950</CharactersWithSpaces>
  <SharedDoc>false</SharedDoc>
  <HLinks>
    <vt:vector size="42" baseType="variant">
      <vt:variant>
        <vt:i4>1638413</vt:i4>
      </vt:variant>
      <vt:variant>
        <vt:i4>18</vt:i4>
      </vt:variant>
      <vt:variant>
        <vt:i4>0</vt:i4>
      </vt:variant>
      <vt:variant>
        <vt:i4>5</vt:i4>
      </vt:variant>
      <vt:variant>
        <vt:lpwstr>https://aplicacao5.tst.jus.br/consultaProcessual/consultaTstNumUnica.do?consulta=Consultar&amp;conscsjt=&amp;numeroTst=82700&amp;digitoTst=69&amp;anoTst=2006&amp;orgaoTst=5&amp;tribunalTst=04&amp;varaTst=0007</vt:lpwstr>
      </vt:variant>
      <vt:variant>
        <vt:lpwstr/>
      </vt:variant>
      <vt:variant>
        <vt:i4>2621501</vt:i4>
      </vt:variant>
      <vt:variant>
        <vt:i4>15</vt:i4>
      </vt:variant>
      <vt:variant>
        <vt:i4>0</vt:i4>
      </vt:variant>
      <vt:variant>
        <vt:i4>5</vt:i4>
      </vt:variant>
      <vt:variant>
        <vt:lpwstr>https://aplicacao5.tst.jus.br/consultaProcessual/consultaTstNumUnica.do?consulta=Consultar&amp;conscsjt=&amp;numeroTst=1102240&amp;digitoTst=92&amp;anoTst=2004&amp;orgaoTst=5&amp;tribunalTst=09&amp;varaTst=0015</vt:lpwstr>
      </vt:variant>
      <vt:variant>
        <vt:lpwstr/>
      </vt:variant>
      <vt:variant>
        <vt:i4>7274617</vt:i4>
      </vt:variant>
      <vt:variant>
        <vt:i4>12</vt:i4>
      </vt:variant>
      <vt:variant>
        <vt:i4>0</vt:i4>
      </vt:variant>
      <vt:variant>
        <vt:i4>5</vt:i4>
      </vt:variant>
      <vt:variant>
        <vt:lpwstr>https://aplicacao5.tst.jus.br/consultaProcessual/consultaTstNumUnica.do?consulta=Consultar&amp;conscsjt=&amp;numeroTst=2706&amp;digitoTst=06&amp;anoTst=2010&amp;orgaoTst=5&amp;tribunalTst=10&amp;varaTst=0000</vt:lpwstr>
      </vt:variant>
      <vt:variant>
        <vt:lpwstr/>
      </vt:variant>
      <vt:variant>
        <vt:i4>5570635</vt:i4>
      </vt:variant>
      <vt:variant>
        <vt:i4>9</vt:i4>
      </vt:variant>
      <vt:variant>
        <vt:i4>0</vt:i4>
      </vt:variant>
      <vt:variant>
        <vt:i4>5</vt:i4>
      </vt:variant>
      <vt:variant>
        <vt:lpwstr>https://aplicacao5.tst.jus.br/consultaProcessual/consultaTstNumUnica.do?consulta=Consultar&amp;conscsjt=&amp;numeroTst=131240&amp;digitoTst=28&amp;anoTst=2008&amp;orgaoTst=5&amp;tribunalTst=03&amp;varaTst=0098</vt:lpwstr>
      </vt:variant>
      <vt:variant>
        <vt:lpwstr/>
      </vt:variant>
      <vt:variant>
        <vt:i4>6946937</vt:i4>
      </vt:variant>
      <vt:variant>
        <vt:i4>6</vt:i4>
      </vt:variant>
      <vt:variant>
        <vt:i4>0</vt:i4>
      </vt:variant>
      <vt:variant>
        <vt:i4>5</vt:i4>
      </vt:variant>
      <vt:variant>
        <vt:lpwstr>https://aplicacao5.tst.jus.br/consultaProcessual/consultaTstNumUnica.do?consulta=Consultar&amp;conscsjt=&amp;numeroTst=1600&amp;digitoTst=72&amp;anoTst=2005&amp;orgaoTst=5&amp;tribunalTst=15&amp;varaTst=0120</vt:lpwstr>
      </vt:variant>
      <vt:variant>
        <vt:lpwstr/>
      </vt:variant>
      <vt:variant>
        <vt:i4>5898309</vt:i4>
      </vt:variant>
      <vt:variant>
        <vt:i4>3</vt:i4>
      </vt:variant>
      <vt:variant>
        <vt:i4>0</vt:i4>
      </vt:variant>
      <vt:variant>
        <vt:i4>5</vt:i4>
      </vt:variant>
      <vt:variant>
        <vt:lpwstr>https://aplicacao5.tst.jus.br/consultaProcessual/consultaTstNumUnica.do?consulta=Consultar&amp;conscsjt=&amp;numeroTst=384240&amp;digitoTst=64&amp;anoTst=2005&amp;orgaoTst=5&amp;tribunalTst=12&amp;varaTst=0016</vt:lpwstr>
      </vt:variant>
      <vt:variant>
        <vt:lpwstr/>
      </vt:variant>
      <vt:variant>
        <vt:i4>1703938</vt:i4>
      </vt:variant>
      <vt:variant>
        <vt:i4>0</vt:i4>
      </vt:variant>
      <vt:variant>
        <vt:i4>0</vt:i4>
      </vt:variant>
      <vt:variant>
        <vt:i4>5</vt:i4>
      </vt:variant>
      <vt:variant>
        <vt:lpwstr>https://aplicacao5.tst.jus.br/consultaProcessual/consultaTstNumUnica.do?consulta=Consultar&amp;conscsjt=&amp;numeroTst=91600&amp;digitoTst=02&amp;anoTst=2002&amp;orgaoTst=5&amp;tribunalTst=03&amp;varaTst=0042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2018-06-27T22:30:00Z</dcterms:created>
  <dcterms:modified xsi:type="dcterms:W3CDTF">2018-06-27T22:30:00Z</dcterms:modified>
</cp:coreProperties>
</file>