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49" w:rsidRDefault="00A51749">
      <w:bookmarkStart w:id="0" w:name="_GoBack"/>
      <w:bookmarkEnd w:id="0"/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6DFB" w:rsidRPr="00187A37" w:rsidTr="00631F1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709" w:type="dxa"/>
          </w:tcPr>
          <w:p w:rsidR="00C26DFB" w:rsidRPr="0056029A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10"/>
                <w:szCs w:val="10"/>
                <w:lang w:val="pt-BR" w:eastAsia="pt-BR"/>
              </w:rPr>
            </w:pPr>
            <w:r w:rsidRPr="0056029A">
              <w:rPr>
                <w:rFonts w:ascii="Times New Roman" w:hAnsi="Times New Roman"/>
                <w:sz w:val="16"/>
                <w:szCs w:val="16"/>
                <w:lang w:val="pt-BR" w:eastAsia="pt-BR"/>
              </w:rPr>
              <w:t>Este Informativo, elaborado a partir de notas tomadas nas sessões de julgamentos, contém resumos não</w:t>
            </w:r>
            <w:r w:rsidR="00DC50EB" w:rsidRPr="0056029A">
              <w:rPr>
                <w:rFonts w:ascii="Times New Roman" w:hAnsi="Times New Roman"/>
                <w:sz w:val="16"/>
                <w:szCs w:val="16"/>
                <w:lang w:val="pt-BR" w:eastAsia="pt-BR"/>
              </w:rPr>
              <w:t xml:space="preserve"> </w:t>
            </w:r>
            <w:r w:rsidRPr="0056029A">
              <w:rPr>
                <w:rFonts w:ascii="Times New Roman" w:hAnsi="Times New Roman"/>
                <w:sz w:val="16"/>
                <w:szCs w:val="16"/>
                <w:lang w:val="pt-BR" w:eastAsia="pt-BR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56029A">
              <w:rPr>
                <w:rFonts w:ascii="Times New Roman" w:hAnsi="Times New Roman"/>
                <w:sz w:val="16"/>
                <w:szCs w:val="16"/>
                <w:lang w:val="pt-BR" w:eastAsia="pt-BR"/>
              </w:rPr>
              <w:t xml:space="preserve"> Eletrônico </w:t>
            </w:r>
            <w:r w:rsidRPr="0056029A">
              <w:rPr>
                <w:rFonts w:ascii="Times New Roman" w:hAnsi="Times New Roman"/>
                <w:sz w:val="16"/>
                <w:szCs w:val="16"/>
                <w:lang w:val="pt-BR" w:eastAsia="pt-BR"/>
              </w:rPr>
              <w:t>da Justiça</w:t>
            </w:r>
            <w:r w:rsidR="00980944" w:rsidRPr="0056029A">
              <w:rPr>
                <w:rFonts w:ascii="Times New Roman" w:hAnsi="Times New Roman"/>
                <w:sz w:val="16"/>
                <w:szCs w:val="16"/>
                <w:lang w:val="pt-BR" w:eastAsia="pt-BR"/>
              </w:rPr>
              <w:t xml:space="preserve"> do Trabalho</w:t>
            </w:r>
            <w:r w:rsidRPr="0056029A">
              <w:rPr>
                <w:rFonts w:ascii="Times New Roman" w:hAnsi="Times New Roman"/>
                <w:sz w:val="16"/>
                <w:szCs w:val="16"/>
                <w:lang w:val="pt-BR" w:eastAsia="pt-BR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771AFF" w:rsidRPr="00971E07" w:rsidRDefault="00631F1C" w:rsidP="00771AFF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771AFF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491628" w:rsidRPr="00491628" w:rsidRDefault="00491628" w:rsidP="00771AFF">
      <w:pPr>
        <w:ind w:right="-71"/>
        <w:jc w:val="both"/>
        <w:rPr>
          <w:b/>
          <w:i/>
          <w:sz w:val="10"/>
          <w:szCs w:val="10"/>
        </w:rPr>
      </w:pPr>
    </w:p>
    <w:p w:rsidR="00771AFF" w:rsidRPr="00771AFF" w:rsidRDefault="00771AFF" w:rsidP="00771AFF">
      <w:pPr>
        <w:ind w:right="-71"/>
        <w:jc w:val="both"/>
        <w:rPr>
          <w:b/>
          <w:i/>
          <w:sz w:val="24"/>
          <w:szCs w:val="24"/>
        </w:rPr>
      </w:pPr>
      <w:r w:rsidRPr="00771AFF">
        <w:rPr>
          <w:b/>
          <w:i/>
          <w:sz w:val="24"/>
          <w:szCs w:val="24"/>
        </w:rPr>
        <w:t>Terceirização. Cláusula convencional que veda a intermediação de mão de obra por condomínios e edifícios. Validade.</w:t>
      </w:r>
    </w:p>
    <w:p w:rsidR="00771AFF" w:rsidRPr="00771AFF" w:rsidRDefault="00771AFF" w:rsidP="00771AFF">
      <w:pPr>
        <w:ind w:right="-71"/>
        <w:jc w:val="both"/>
        <w:rPr>
          <w:sz w:val="24"/>
          <w:szCs w:val="24"/>
          <w:u w:val="single"/>
        </w:rPr>
      </w:pPr>
      <w:r w:rsidRPr="00771AFF">
        <w:rPr>
          <w:sz w:val="24"/>
          <w:szCs w:val="24"/>
        </w:rPr>
        <w:t xml:space="preserve">É válida a cláusula convencional que veda a contratação de empresas prestadoras de serviços por condomínios e edifícios para o fornecimento de mão de obra para atuar nas funções relacionadas à atividade fim, discriminadas na norma coletiva como de zelador, vigia, porteiro, jardineiro, faxineiro, ascensorista, garagista, manobrista e foguista. Na espécie, destacou-se que o ajuste agregou vantagem à categoria profissional, na medida em que valorizou a contratação direta de empregados, em detrimento da prática da terceirização. Com esse posicionamento, a SDC, por unanimidade, conheceu do recurso ordinário e, no mérito, por maioria, julgou improcedente o pedido de declaração de nulidade da referida cláusula. Vencido o relator, Ministro Walmir Oliveira da Costa.  </w:t>
      </w:r>
      <w:hyperlink r:id="rId8" w:history="1">
        <w:r w:rsidR="00177C0A">
          <w:rPr>
            <w:rStyle w:val="Hyperlink"/>
            <w:sz w:val="24"/>
            <w:szCs w:val="24"/>
          </w:rPr>
          <w:t>TST-RO-</w:t>
        </w:r>
        <w:r w:rsidRPr="002A18F4">
          <w:rPr>
            <w:rStyle w:val="Hyperlink"/>
            <w:sz w:val="24"/>
            <w:szCs w:val="24"/>
          </w:rPr>
          <w:t>116000-32.2009.</w:t>
        </w:r>
        <w:r w:rsidRPr="002A18F4">
          <w:rPr>
            <w:rStyle w:val="Hyperlink"/>
            <w:sz w:val="24"/>
            <w:szCs w:val="24"/>
          </w:rPr>
          <w:t>5</w:t>
        </w:r>
        <w:r w:rsidRPr="002A18F4">
          <w:rPr>
            <w:rStyle w:val="Hyperlink"/>
            <w:sz w:val="24"/>
            <w:szCs w:val="24"/>
          </w:rPr>
          <w:t>.15.0000</w:t>
        </w:r>
      </w:hyperlink>
      <w:r w:rsidRPr="00771AFF">
        <w:rPr>
          <w:sz w:val="24"/>
          <w:szCs w:val="24"/>
          <w:u w:val="single"/>
        </w:rPr>
        <w:t xml:space="preserve">, SDC, rel. Min. Walmir Oliveira da Costa, red. p/ </w:t>
      </w:r>
      <w:r w:rsidR="00177C0A">
        <w:rPr>
          <w:sz w:val="24"/>
          <w:szCs w:val="24"/>
          <w:u w:val="single"/>
        </w:rPr>
        <w:t>a</w:t>
      </w:r>
      <w:r w:rsidRPr="00771AFF">
        <w:rPr>
          <w:sz w:val="24"/>
          <w:szCs w:val="24"/>
          <w:u w:val="single"/>
        </w:rPr>
        <w:t>córdão Min. Márcio Eurico Vitral Amaro, 4.9.2012</w:t>
      </w:r>
    </w:p>
    <w:p w:rsidR="006145AC" w:rsidRPr="005D1DE4" w:rsidRDefault="006145AC" w:rsidP="00771AFF">
      <w:pPr>
        <w:ind w:right="-71"/>
        <w:jc w:val="both"/>
        <w:rPr>
          <w:sz w:val="24"/>
          <w:szCs w:val="24"/>
          <w:u w:val="single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491628" w:rsidRPr="00491628" w:rsidRDefault="00491628" w:rsidP="00771AFF">
      <w:pPr>
        <w:ind w:right="-71"/>
        <w:jc w:val="both"/>
        <w:rPr>
          <w:b/>
          <w:i/>
          <w:sz w:val="10"/>
          <w:szCs w:val="10"/>
        </w:rPr>
      </w:pPr>
    </w:p>
    <w:p w:rsidR="00771AFF" w:rsidRPr="00771AFF" w:rsidRDefault="00771AFF" w:rsidP="00771AFF">
      <w:pPr>
        <w:ind w:right="-71"/>
        <w:jc w:val="both"/>
        <w:rPr>
          <w:b/>
          <w:i/>
          <w:sz w:val="24"/>
          <w:szCs w:val="24"/>
        </w:rPr>
      </w:pPr>
      <w:r w:rsidRPr="00771AFF">
        <w:rPr>
          <w:b/>
          <w:i/>
          <w:sz w:val="24"/>
          <w:szCs w:val="24"/>
        </w:rPr>
        <w:t xml:space="preserve">Tesoureiro de Retaguarda. Função técnica. Fidúcia especial. Não caracterização. Art. 224, § 2º, da CLT. Não incidência. Horas extras. Devidas. </w:t>
      </w:r>
    </w:p>
    <w:p w:rsidR="002C2904" w:rsidRDefault="00771AFF" w:rsidP="00771AFF">
      <w:pPr>
        <w:ind w:right="-71"/>
        <w:jc w:val="both"/>
        <w:rPr>
          <w:sz w:val="24"/>
          <w:szCs w:val="24"/>
          <w:u w:val="single"/>
        </w:rPr>
      </w:pPr>
      <w:r w:rsidRPr="00771AFF">
        <w:rPr>
          <w:sz w:val="24"/>
          <w:szCs w:val="24"/>
        </w:rPr>
        <w:t>O denominado “Tesoureiro de Retaguarda” exerce função apenas técnica, sem fidúcia diferenciada, o que afasta o seu enquadramento na exceção prevista no § 2º do art. 224 da CLT. Na hipótese, registrou-se que a responsabilidade pelo manuseio de numerário e o percebimento de gratificação de função superior a um terço do salário do cargo efetivo não eram suficientes para atrair a aplicação imediata do art. 224, § 2º da CLT, porquanto imprescindível a investidura em poderes de direção ou chefia e o desempenho de atribuições diferentes daquelas delegadas aos demais empregados da instituição financeira, o que não ficou comprovado nos autos. Assim, a SBDI-I, por maioria, conheceu dos embargos e, no mérito, deu-lhes provimento para julgar procedente o pedido de horas extras excedentes à sexta hora diária, as quais deverão ser calculadas com base na gratificação relativa à jornada de seis horas, deduzindo-se a diferença entre a gratificação de função recebida, em face da opção pela jornada de oito horas, e a devida pela jornada de seis horas, nos termos da Orientação Jurisprudencial Transitória nº 70 da SBDI-I. Vencidos os Ministros Renato de Lacerda Paiva, Dora Maria da Costa e Maria Cristina Irigoyen Peduzzi</w:t>
      </w:r>
      <w:r w:rsidRPr="00491628">
        <w:rPr>
          <w:sz w:val="24"/>
          <w:szCs w:val="24"/>
        </w:rPr>
        <w:t xml:space="preserve">. </w:t>
      </w:r>
      <w:hyperlink r:id="rId9" w:history="1">
        <w:r w:rsidRPr="002A18F4">
          <w:rPr>
            <w:rStyle w:val="Hyperlink"/>
            <w:sz w:val="24"/>
            <w:szCs w:val="24"/>
          </w:rPr>
          <w:t>TST-E-ED-RR-116400-46.2008.5.12.0006, SBDI-I</w:t>
        </w:r>
      </w:hyperlink>
      <w:r w:rsidRPr="00771AFF">
        <w:rPr>
          <w:sz w:val="24"/>
          <w:szCs w:val="24"/>
          <w:u w:val="single"/>
        </w:rPr>
        <w:t>, rel. Min. Augusto César Leite de Carvalho, 6.9.2012</w:t>
      </w:r>
    </w:p>
    <w:p w:rsidR="00771AFF" w:rsidRPr="00FF618C" w:rsidRDefault="00771AFF" w:rsidP="00771AFF">
      <w:pPr>
        <w:ind w:right="-71"/>
        <w:jc w:val="both"/>
        <w:rPr>
          <w:sz w:val="10"/>
          <w:szCs w:val="10"/>
        </w:rPr>
      </w:pPr>
    </w:p>
    <w:p w:rsidR="00771AFF" w:rsidRPr="00771AFF" w:rsidRDefault="00771AFF" w:rsidP="00771AFF">
      <w:pPr>
        <w:ind w:right="-71"/>
        <w:jc w:val="both"/>
        <w:rPr>
          <w:b/>
          <w:i/>
          <w:sz w:val="24"/>
          <w:szCs w:val="24"/>
        </w:rPr>
      </w:pPr>
      <w:r w:rsidRPr="00771AFF">
        <w:rPr>
          <w:b/>
          <w:i/>
          <w:sz w:val="24"/>
          <w:szCs w:val="24"/>
        </w:rPr>
        <w:t xml:space="preserve">Terceirização ilícita. Configuração. Empregado contratado por empresa especializada em vigilância e transporte de valores. Exercício de atividades tipicamente bancárias. Reconhecimento do vínculo de emprego. Súmula nº 331, I, do TST. </w:t>
      </w:r>
    </w:p>
    <w:p w:rsidR="00771AFF" w:rsidRPr="00771AFF" w:rsidRDefault="00771AFF" w:rsidP="00771AFF">
      <w:pPr>
        <w:ind w:right="-71"/>
        <w:jc w:val="both"/>
        <w:rPr>
          <w:sz w:val="24"/>
          <w:szCs w:val="24"/>
        </w:rPr>
      </w:pPr>
      <w:r w:rsidRPr="00771AFF">
        <w:rPr>
          <w:sz w:val="24"/>
          <w:szCs w:val="24"/>
        </w:rPr>
        <w:t xml:space="preserve">Configura terceirização ilícita a utilização por instituição financeira de empregados contratados por empresa especializada em vigilância e transporte de valores para a prestação de serviços diários de tesouraria, </w:t>
      </w:r>
      <w:r w:rsidRPr="00771AFF">
        <w:rPr>
          <w:i/>
          <w:sz w:val="24"/>
          <w:szCs w:val="24"/>
        </w:rPr>
        <w:t>in casu</w:t>
      </w:r>
      <w:r w:rsidRPr="00771AFF">
        <w:rPr>
          <w:sz w:val="24"/>
          <w:szCs w:val="24"/>
        </w:rPr>
        <w:t xml:space="preserve">, o recebimento, abertura, conferência de conteúdo e encaminhamento de envelopes recolhidos em caixas eletrônicos, na medida em que tais atribuições se relacionam com a atividade fim dos bancos. Adotando essa premissa, a SBDI-1, por unanimidade, conheceu do recurso </w:t>
      </w:r>
      <w:r w:rsidRPr="00771AFF">
        <w:rPr>
          <w:sz w:val="24"/>
          <w:szCs w:val="24"/>
        </w:rPr>
        <w:lastRenderedPageBreak/>
        <w:t xml:space="preserve">de embargo por contrariedade à Súmula nº 331, I, do TST e, no mérito, deu-lhe provimento para restabelecer a sentença que reconheceu o vínculo de emprego diretamente com o banco-reclamado. </w:t>
      </w:r>
      <w:hyperlink r:id="rId10" w:history="1">
        <w:r w:rsidRPr="002A18F4">
          <w:rPr>
            <w:rStyle w:val="Hyperlink"/>
            <w:sz w:val="24"/>
            <w:szCs w:val="24"/>
          </w:rPr>
          <w:t>TST-E-RR-2600-75.2008.5.03.0140</w:t>
        </w:r>
      </w:hyperlink>
      <w:r w:rsidRPr="00491628">
        <w:rPr>
          <w:sz w:val="24"/>
          <w:szCs w:val="24"/>
          <w:u w:val="single"/>
        </w:rPr>
        <w:t>, SBDI-I, rel. Min. Augusto César Leite de Carvalho, 6.9.2012.</w:t>
      </w: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/>
          <w:bCs/>
          <w:snapToGrid w:val="0"/>
        </w:rPr>
      </w:pPr>
      <w:r w:rsidRPr="005D1DE4">
        <w:rPr>
          <w:b/>
          <w:bCs/>
          <w:snapToGrid w:val="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/>
          <w:bCs/>
          <w:snapToGrid w:val="0"/>
        </w:rPr>
      </w:pPr>
      <w:r w:rsidRPr="005D1DE4">
        <w:rPr>
          <w:b/>
          <w:bCs/>
          <w:snapToGrid w:val="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(61)3043.4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A" w:rsidRDefault="0056029A">
      <w:r>
        <w:separator/>
      </w:r>
    </w:p>
  </w:endnote>
  <w:endnote w:type="continuationSeparator" w:id="0">
    <w:p w:rsidR="0056029A" w:rsidRDefault="005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07" w:rsidRDefault="00D567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37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9237F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A" w:rsidRDefault="0056029A">
      <w:r>
        <w:separator/>
      </w:r>
    </w:p>
  </w:footnote>
  <w:footnote w:type="continuationSeparator" w:id="0">
    <w:p w:rsidR="0056029A" w:rsidRDefault="0056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07" w:rsidRDefault="00D56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6A00EB">
      <w:rPr>
        <w:shadow/>
        <w:sz w:val="24"/>
        <w:szCs w:val="24"/>
      </w:rPr>
      <w:t>2</w:t>
    </w:r>
    <w:r w:rsidR="00AE5EDF" w:rsidRPr="00971E07">
      <w:rPr>
        <w:shadow/>
        <w:sz w:val="24"/>
        <w:szCs w:val="24"/>
      </w:rPr>
      <w:t>1</w:t>
    </w:r>
  </w:p>
  <w:p w:rsidR="006A00EB" w:rsidRPr="006A00EB" w:rsidRDefault="00187A37" w:rsidP="006A00EB">
    <w:pPr>
      <w:pStyle w:val="Cabealho"/>
      <w:jc w:val="right"/>
    </w:pPr>
    <w:r w:rsidRPr="006A00EB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6A00EB" w:rsidRPr="006A00EB">
      <w:rPr>
        <w:iCs/>
      </w:rPr>
      <w:t>Período: 4 a 10 de setembro de 2012</w:t>
    </w:r>
  </w:p>
  <w:p w:rsidR="00FE00AD" w:rsidRPr="00971E07" w:rsidRDefault="00FE00AD">
    <w:pPr>
      <w:pStyle w:val="Ttulo6"/>
      <w:spacing w:line="360" w:lineRule="auto"/>
      <w:jc w:val="right"/>
      <w:rPr>
        <w:i/>
        <w:iCs/>
        <w:sz w:val="20"/>
        <w:szCs w:val="20"/>
      </w:rPr>
    </w:pPr>
  </w:p>
  <w:p w:rsidR="00187A37" w:rsidRDefault="00187A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2pt;height:77.2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771AFF">
      <w:rPr>
        <w:b/>
        <w:sz w:val="40"/>
        <w:szCs w:val="40"/>
      </w:rPr>
      <w:t>2</w:t>
    </w:r>
    <w:r w:rsidR="00AE5EDF" w:rsidRPr="002168DE">
      <w:rPr>
        <w:b/>
        <w:sz w:val="40"/>
        <w:szCs w:val="40"/>
      </w:rPr>
      <w:t>1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771AFF">
      <w:rPr>
        <w:i/>
        <w:iCs/>
      </w:rPr>
      <w:t>4 a 10 de setembro</w:t>
    </w:r>
    <w:r w:rsidR="00FE00AD" w:rsidRPr="005D1DE4">
      <w:rPr>
        <w:i/>
        <w:iCs/>
      </w:rPr>
      <w:t xml:space="preserve"> de 2012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333C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77C0A"/>
    <w:rsid w:val="00184590"/>
    <w:rsid w:val="00187A37"/>
    <w:rsid w:val="0019151D"/>
    <w:rsid w:val="00193208"/>
    <w:rsid w:val="001A498B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18F4"/>
    <w:rsid w:val="002A219D"/>
    <w:rsid w:val="002A546D"/>
    <w:rsid w:val="002B4738"/>
    <w:rsid w:val="002B6377"/>
    <w:rsid w:val="002C2904"/>
    <w:rsid w:val="002E78CB"/>
    <w:rsid w:val="0033397A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1628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460BD"/>
    <w:rsid w:val="00553197"/>
    <w:rsid w:val="0055409E"/>
    <w:rsid w:val="00556367"/>
    <w:rsid w:val="00556B35"/>
    <w:rsid w:val="0056029A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162D3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A00EB"/>
    <w:rsid w:val="006B3FCF"/>
    <w:rsid w:val="006B46CA"/>
    <w:rsid w:val="006C0391"/>
    <w:rsid w:val="006C28B3"/>
    <w:rsid w:val="006C7832"/>
    <w:rsid w:val="006D1F66"/>
    <w:rsid w:val="006D306E"/>
    <w:rsid w:val="006D4497"/>
    <w:rsid w:val="006F6C15"/>
    <w:rsid w:val="00710D3A"/>
    <w:rsid w:val="0071315F"/>
    <w:rsid w:val="00721942"/>
    <w:rsid w:val="00722BE7"/>
    <w:rsid w:val="00732DF2"/>
    <w:rsid w:val="007614F1"/>
    <w:rsid w:val="007618C5"/>
    <w:rsid w:val="00764066"/>
    <w:rsid w:val="00771AFF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6509"/>
    <w:rsid w:val="008F79D9"/>
    <w:rsid w:val="009027C8"/>
    <w:rsid w:val="00912AE6"/>
    <w:rsid w:val="009237F4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10EF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6707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3AB4"/>
    <w:rsid w:val="00FC56A4"/>
    <w:rsid w:val="00FD3D06"/>
    <w:rsid w:val="00FD5662"/>
    <w:rsid w:val="00FD72B6"/>
    <w:rsid w:val="00FE00AD"/>
    <w:rsid w:val="00FE499F"/>
    <w:rsid w:val="00FF618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alibri" w:hAnsi="Calibri"/>
      <w:lang w:val="x-none" w:eastAsia="x-none"/>
    </w:r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Calibri" w:hAnsi="Calibri"/>
      <w:lang w:val="x-none" w:eastAsia="x-none"/>
    </w:r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rFonts w:ascii="Calibri" w:hAnsi="Calibri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alibri" w:hAnsi="Calibri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  <w:rPr>
      <w:rFonts w:ascii="Calibri" w:hAnsi="Calibri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rFonts w:ascii="Calibri" w:hAnsi="Calibri" w:cs="Times New Roman"/>
      <w:color w:val="auto"/>
      <w:sz w:val="20"/>
      <w:szCs w:val="20"/>
      <w:lang w:val="x-none" w:eastAsia="x-none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2A18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16000&amp;digitoTst=32&amp;anoTst=2009&amp;orgaoTst=5&amp;tribunalTst=15&amp;varaTst=00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licacao5.tst.jus.br/consultaProcessual/consultaTstNumUnica.do?consulta=Consultar&amp;conscsjt=&amp;numeroTst=2600&amp;digitoTst=75&amp;anoTst=2008&amp;orgaoTst=5&amp;tribunalTst=03&amp;varaTst=0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16400&amp;digitoTst=46&amp;anoTst=2008&amp;orgaoTst=5&amp;tribunalTst=12&amp;varaTst=000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1493-4E78-4F41-A1C1-FA986FB4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4661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https://aplicacao5.tst.jus.br/consultaProcessual/consultaTstNumUnica.do?consulta=Consultar&amp;conscsjt=&amp;numeroTst=2600&amp;digitoTst=75&amp;anoTst=2008&amp;orgaoTst=5&amp;tribunalTst=03&amp;varaTst=0140</vt:lpwstr>
      </vt:variant>
      <vt:variant>
        <vt:lpwstr/>
      </vt:variant>
      <vt:variant>
        <vt:i4>5242952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https://aplicacao5.tst.jus.br/consultaProcessual/consultaTstNumUnica.do?consulta=Consultar&amp;conscsjt=&amp;numeroTst=116400&amp;digitoTst=46&amp;anoTst=2008&amp;orgaoTst=5&amp;tribunalTst=12&amp;varaTst=0006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https://aplicacao5.tst.jus.br/consultaProcessual/consultaTstNumUnica.do?consulta=Consultar&amp;conscsjt=&amp;numeroTst=116000&amp;digitoTst=32&amp;anoTst=2009&amp;orgaoTst=5&amp;tribunalTst=15&amp;varaTst=0000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2012-09-12T16:56:00Z</cp:lastPrinted>
  <dcterms:created xsi:type="dcterms:W3CDTF">2018-06-27T22:31:00Z</dcterms:created>
  <dcterms:modified xsi:type="dcterms:W3CDTF">2018-06-27T22:31:00Z</dcterms:modified>
</cp:coreProperties>
</file>