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49" w:rsidRDefault="00A51749">
      <w:bookmarkStart w:id="0" w:name="_GoBack"/>
      <w:bookmarkEnd w:id="0"/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6DFB" w:rsidRPr="00187A37" w:rsidTr="00631F1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709" w:type="dxa"/>
          </w:tcPr>
          <w:p w:rsidR="00E95F8C" w:rsidRPr="00E95F8C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6A7E04" w:rsidRDefault="006A7E04" w:rsidP="006A7E04">
      <w:pPr>
        <w:jc w:val="both"/>
        <w:rPr>
          <w:b/>
          <w:i/>
          <w:sz w:val="24"/>
          <w:szCs w:val="24"/>
        </w:rPr>
      </w:pPr>
      <w:r w:rsidRPr="00576EC6">
        <w:rPr>
          <w:b/>
          <w:i/>
          <w:sz w:val="24"/>
          <w:szCs w:val="24"/>
        </w:rPr>
        <w:t xml:space="preserve">Adicional de transferência. Indevido. </w:t>
      </w:r>
      <w:r>
        <w:rPr>
          <w:b/>
          <w:i/>
          <w:sz w:val="24"/>
          <w:szCs w:val="24"/>
        </w:rPr>
        <w:t xml:space="preserve">Ânimo definitivo. </w:t>
      </w:r>
      <w:r w:rsidRPr="00576EC6">
        <w:rPr>
          <w:b/>
          <w:i/>
          <w:sz w:val="24"/>
          <w:szCs w:val="24"/>
        </w:rPr>
        <w:t>Período imprescrito. Contrariedade à Orientação Jurisprudencial n.º 113 da SBDI-I.</w:t>
      </w:r>
    </w:p>
    <w:p w:rsidR="006A7E04" w:rsidRPr="00576EC6" w:rsidRDefault="006A7E04" w:rsidP="006A7E04">
      <w:pPr>
        <w:jc w:val="both"/>
        <w:rPr>
          <w:sz w:val="24"/>
          <w:szCs w:val="24"/>
        </w:rPr>
      </w:pPr>
      <w:r w:rsidRPr="00576EC6">
        <w:rPr>
          <w:sz w:val="24"/>
          <w:szCs w:val="24"/>
        </w:rPr>
        <w:t xml:space="preserve">A transferência do empregado para localidade diversa da estipulada no pacto laboral, em que permanece, por largo período de tempo, </w:t>
      </w:r>
      <w:r>
        <w:rPr>
          <w:sz w:val="24"/>
          <w:szCs w:val="24"/>
        </w:rPr>
        <w:t>até o fim do contrato,</w:t>
      </w:r>
      <w:r w:rsidRPr="00576EC6">
        <w:rPr>
          <w:sz w:val="24"/>
          <w:szCs w:val="24"/>
        </w:rPr>
        <w:t xml:space="preserve"> evidencia o ânimo de definitividade da alteração e afasta, por consequência, o pagamento do adicional de transferência ao trabalhador</w:t>
      </w:r>
      <w:r>
        <w:rPr>
          <w:sz w:val="24"/>
          <w:szCs w:val="24"/>
        </w:rPr>
        <w:t>.</w:t>
      </w:r>
      <w:r w:rsidRPr="00576EC6">
        <w:rPr>
          <w:sz w:val="24"/>
          <w:szCs w:val="24"/>
        </w:rPr>
        <w:t xml:space="preserve"> No caso dos autos, </w:t>
      </w:r>
      <w:r>
        <w:rPr>
          <w:sz w:val="24"/>
          <w:szCs w:val="24"/>
        </w:rPr>
        <w:t xml:space="preserve">ressaltou-se ainda que, não obstante a ocorrência de sucessivas transferências durante a contratualidade, apenas esta última, com duração de nove anos, ocorreu no período imprescrito, afastando-se, portanto, seu caráter provisório. </w:t>
      </w:r>
      <w:r w:rsidRPr="00576EC6">
        <w:rPr>
          <w:sz w:val="24"/>
          <w:szCs w:val="24"/>
        </w:rPr>
        <w:t>Com esse posicionamento, decidiu a SBDI-</w:t>
      </w:r>
      <w:r>
        <w:rPr>
          <w:sz w:val="24"/>
          <w:szCs w:val="24"/>
        </w:rPr>
        <w:t>I</w:t>
      </w:r>
      <w:r w:rsidRPr="00576EC6">
        <w:rPr>
          <w:sz w:val="24"/>
          <w:szCs w:val="24"/>
        </w:rPr>
        <w:t xml:space="preserve">, por maioria, vencidos os Ministros Augusto César Leite de Carvalho, relator, José Roberto Freire Pimenta, Renato de Lacerda Paiva, Horácio Raymundo de Senna Pires e Delaíde Miranda Arantes, conhecer dos embargos por contrariedade à Orientação Jurisprudencial n.º 113 da Subseção e, no mérito, dar-lhes provimento para excluir da condenação o adicional de transferência. </w:t>
      </w:r>
      <w:hyperlink r:id="rId8" w:history="1">
        <w:r w:rsidRPr="000F3149">
          <w:rPr>
            <w:rStyle w:val="Hyperlink"/>
            <w:sz w:val="24"/>
            <w:szCs w:val="24"/>
          </w:rPr>
          <w:t>TST-E-ED-</w:t>
        </w:r>
        <w:r w:rsidRPr="000F3149">
          <w:rPr>
            <w:rStyle w:val="Hyperlink"/>
            <w:caps/>
            <w:sz w:val="24"/>
            <w:szCs w:val="24"/>
          </w:rPr>
          <w:t>rr</w:t>
        </w:r>
        <w:r w:rsidRPr="000F3149">
          <w:rPr>
            <w:rStyle w:val="Hyperlink"/>
            <w:sz w:val="24"/>
            <w:szCs w:val="24"/>
          </w:rPr>
          <w:t>-1345800-08.2001.5.09.0015</w:t>
        </w:r>
      </w:hyperlink>
      <w:r w:rsidRPr="00576EC6">
        <w:rPr>
          <w:sz w:val="24"/>
          <w:szCs w:val="24"/>
          <w:u w:val="single"/>
        </w:rPr>
        <w:t>, SBDI-1, rel. Min. Augusto César Leite de Carvalho, red. p/ acórdão Min. Ives Gandra da Silva Martins Filho, 15.3.2012.</w:t>
      </w:r>
    </w:p>
    <w:p w:rsidR="00B14F7F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F81130" w:rsidRPr="003B3EB5" w:rsidRDefault="00F81130" w:rsidP="00F81130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lang w:val="pt-BR"/>
        </w:rPr>
      </w:pPr>
      <w:r w:rsidRPr="003B3EB5">
        <w:rPr>
          <w:rFonts w:ascii="Times New Roman" w:hAnsi="Times New Roman" w:cs="Times New Roman"/>
          <w:b/>
          <w:i/>
          <w:lang w:val="pt-BR"/>
        </w:rPr>
        <w:t xml:space="preserve">Embargos. </w:t>
      </w:r>
      <w:r>
        <w:rPr>
          <w:rFonts w:ascii="Times New Roman" w:hAnsi="Times New Roman" w:cs="Times New Roman"/>
          <w:b/>
          <w:i/>
          <w:lang w:val="pt-BR"/>
        </w:rPr>
        <w:t>Protesto judicial. Caráter genérico. Impossibilidade.</w:t>
      </w:r>
    </w:p>
    <w:p w:rsidR="00F81130" w:rsidRPr="00AE3EAA" w:rsidRDefault="00F81130" w:rsidP="00F81130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>Para efeito de interrupção do prazo prescricional é inadmissível o protesto genérico, não sendo suficiente a mera menção ao intuito de se impedir a incidência da prescrição em relação a créditos decorrentes da relação de trabalho</w:t>
      </w:r>
      <w:r w:rsidR="0040702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sem expressamente relacionar os direitos ou interesses que se deseja resguardar</w:t>
      </w:r>
      <w:r w:rsidRPr="003B3EB5">
        <w:rPr>
          <w:rFonts w:ascii="Times New Roman" w:hAnsi="Times New Roman" w:cs="Times New Roman"/>
          <w:lang w:val="pt-BR"/>
        </w:rPr>
        <w:t xml:space="preserve">. Com </w:t>
      </w:r>
      <w:r>
        <w:rPr>
          <w:rFonts w:ascii="Times New Roman" w:hAnsi="Times New Roman" w:cs="Times New Roman"/>
          <w:lang w:val="pt-BR"/>
        </w:rPr>
        <w:t xml:space="preserve">esse entendimento, </w:t>
      </w:r>
      <w:r w:rsidRPr="003B3EB5">
        <w:rPr>
          <w:rFonts w:ascii="Times New Roman" w:hAnsi="Times New Roman" w:cs="Times New Roman"/>
          <w:lang w:val="pt-BR"/>
        </w:rPr>
        <w:t xml:space="preserve">a SBDI-I, por </w:t>
      </w:r>
      <w:r>
        <w:rPr>
          <w:rFonts w:ascii="Times New Roman" w:hAnsi="Times New Roman" w:cs="Times New Roman"/>
          <w:lang w:val="pt-BR"/>
        </w:rPr>
        <w:t>unanimidade</w:t>
      </w:r>
      <w:r w:rsidRPr="003B3EB5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conheceu de recurso de embargos e, no mérito, deu-lhe provimento para restabelecer o acórdão em recurso ordinário que pronunciou a prescrição da pretensão autoral e, em consequência, extinguiu o processo com julgamento do mérito, nos termos do art. 269, IV, do CPC</w:t>
      </w:r>
      <w:r w:rsidRPr="003B3EB5">
        <w:rPr>
          <w:rFonts w:ascii="Times New Roman" w:hAnsi="Times New Roman" w:cs="Times New Roman"/>
          <w:lang w:val="pt-BR"/>
        </w:rPr>
        <w:t xml:space="preserve">. </w:t>
      </w:r>
      <w:hyperlink r:id="rId9" w:history="1">
        <w:r w:rsidRPr="000F3149">
          <w:rPr>
            <w:rStyle w:val="Hyperlink"/>
            <w:rFonts w:ascii="Times New Roman" w:hAnsi="Times New Roman"/>
            <w:lang w:val="pt-BR"/>
          </w:rPr>
          <w:t>TST-E-RR-1316206-43.2004.5.04.0900</w:t>
        </w:r>
      </w:hyperlink>
      <w:r w:rsidRPr="003B3EB5">
        <w:rPr>
          <w:rFonts w:ascii="Times New Roman" w:hAnsi="Times New Roman" w:cs="Times New Roman"/>
          <w:u w:val="single"/>
          <w:lang w:val="pt-BR"/>
        </w:rPr>
        <w:t xml:space="preserve">, </w:t>
      </w:r>
      <w:r>
        <w:rPr>
          <w:rFonts w:ascii="Times New Roman" w:hAnsi="Times New Roman" w:cs="Times New Roman"/>
          <w:u w:val="single"/>
          <w:lang w:val="pt-BR"/>
        </w:rPr>
        <w:t xml:space="preserve">SBDI-I, </w:t>
      </w:r>
      <w:r w:rsidRPr="003B3EB5">
        <w:rPr>
          <w:rFonts w:ascii="Times New Roman" w:hAnsi="Times New Roman" w:cs="Times New Roman"/>
          <w:u w:val="single"/>
          <w:lang w:val="pt-BR"/>
        </w:rPr>
        <w:t xml:space="preserve">rel. Min. </w:t>
      </w:r>
      <w:r>
        <w:rPr>
          <w:rFonts w:ascii="Times New Roman" w:hAnsi="Times New Roman" w:cs="Times New Roman"/>
          <w:u w:val="single"/>
          <w:lang w:val="pt-BR"/>
        </w:rPr>
        <w:t>Renato de Lacerda Paiva</w:t>
      </w:r>
      <w:r w:rsidRPr="003B3EB5">
        <w:rPr>
          <w:rFonts w:ascii="Times New Roman" w:hAnsi="Times New Roman" w:cs="Times New Roman"/>
          <w:u w:val="single"/>
          <w:lang w:val="pt-BR"/>
        </w:rPr>
        <w:t xml:space="preserve">, </w:t>
      </w:r>
      <w:r>
        <w:rPr>
          <w:rFonts w:ascii="Times New Roman" w:hAnsi="Times New Roman" w:cs="Times New Roman"/>
          <w:u w:val="single"/>
          <w:lang w:val="pt-BR"/>
        </w:rPr>
        <w:t>15</w:t>
      </w:r>
      <w:r w:rsidRPr="003B3EB5">
        <w:rPr>
          <w:rFonts w:ascii="Times New Roman" w:hAnsi="Times New Roman" w:cs="Times New Roman"/>
          <w:u w:val="single"/>
          <w:lang w:val="pt-BR"/>
        </w:rPr>
        <w:t>.3.2012.</w:t>
      </w:r>
    </w:p>
    <w:p w:rsidR="00F81130" w:rsidRDefault="00F81130" w:rsidP="000C3022">
      <w:pPr>
        <w:ind w:right="-567"/>
        <w:jc w:val="both"/>
        <w:rPr>
          <w:b/>
          <w:i/>
          <w:sz w:val="10"/>
          <w:szCs w:val="10"/>
        </w:rPr>
      </w:pPr>
    </w:p>
    <w:p w:rsidR="00F81130" w:rsidRPr="00D96B15" w:rsidRDefault="00F81130" w:rsidP="00F81130">
      <w:pPr>
        <w:pStyle w:val="Default"/>
        <w:jc w:val="both"/>
        <w:rPr>
          <w:rFonts w:eastAsia="Times New Roman"/>
          <w:b/>
          <w:i/>
          <w:lang w:eastAsia="pt-BR"/>
        </w:rPr>
      </w:pPr>
      <w:r>
        <w:rPr>
          <w:rFonts w:eastAsia="Times New Roman"/>
          <w:b/>
          <w:i/>
          <w:lang w:eastAsia="pt-BR"/>
        </w:rPr>
        <w:t xml:space="preserve">CVRD. </w:t>
      </w:r>
      <w:r w:rsidRPr="00D96B15">
        <w:rPr>
          <w:rFonts w:eastAsia="Times New Roman"/>
          <w:b/>
          <w:i/>
          <w:lang w:eastAsia="pt-BR"/>
        </w:rPr>
        <w:t xml:space="preserve">Empréstimo concedido mediante norma coletiva. </w:t>
      </w:r>
      <w:r>
        <w:rPr>
          <w:rFonts w:eastAsia="Times New Roman"/>
          <w:b/>
          <w:i/>
          <w:lang w:eastAsia="pt-BR"/>
        </w:rPr>
        <w:t xml:space="preserve">Remissão da dívida. </w:t>
      </w:r>
      <w:r w:rsidRPr="00D96B15">
        <w:rPr>
          <w:rFonts w:eastAsia="Times New Roman"/>
          <w:b/>
          <w:i/>
          <w:lang w:eastAsia="pt-BR"/>
        </w:rPr>
        <w:t xml:space="preserve">Benefício previsto somente para os empregados </w:t>
      </w:r>
      <w:r>
        <w:rPr>
          <w:rFonts w:eastAsia="Times New Roman"/>
          <w:b/>
          <w:i/>
          <w:lang w:eastAsia="pt-BR"/>
        </w:rPr>
        <w:t>com contrato de trabalho em vigor.</w:t>
      </w:r>
      <w:r w:rsidRPr="00D96B15">
        <w:rPr>
          <w:rFonts w:eastAsia="Times New Roman"/>
          <w:b/>
          <w:i/>
          <w:lang w:eastAsia="pt-BR"/>
        </w:rPr>
        <w:t xml:space="preserve"> </w:t>
      </w:r>
      <w:r>
        <w:rPr>
          <w:rFonts w:eastAsia="Times New Roman"/>
          <w:b/>
          <w:i/>
          <w:lang w:eastAsia="pt-BR"/>
        </w:rPr>
        <w:t>E</w:t>
      </w:r>
      <w:r w:rsidRPr="00D96B15">
        <w:rPr>
          <w:rFonts w:eastAsia="Times New Roman"/>
          <w:b/>
          <w:i/>
          <w:lang w:eastAsia="pt-BR"/>
        </w:rPr>
        <w:t xml:space="preserve">xtensão aos reclamantes dispensados antes da vigência do acordo </w:t>
      </w:r>
      <w:r>
        <w:rPr>
          <w:rFonts w:eastAsia="Times New Roman"/>
          <w:b/>
          <w:i/>
          <w:lang w:eastAsia="pt-BR"/>
        </w:rPr>
        <w:t>coletivo que previu a remissão</w:t>
      </w:r>
      <w:r w:rsidRPr="00D96B15">
        <w:rPr>
          <w:rFonts w:eastAsia="Times New Roman"/>
          <w:b/>
          <w:i/>
          <w:lang w:eastAsia="pt-BR"/>
        </w:rPr>
        <w:t xml:space="preserve">. Contrariedade ao art. 7º, XXVI, da CF. </w:t>
      </w:r>
      <w:r>
        <w:rPr>
          <w:rFonts w:eastAsia="Times New Roman"/>
          <w:b/>
          <w:i/>
          <w:lang w:eastAsia="pt-BR"/>
        </w:rPr>
        <w:t>Configuração.</w:t>
      </w:r>
    </w:p>
    <w:p w:rsidR="00F81130" w:rsidRDefault="00F81130" w:rsidP="00F81130">
      <w:pPr>
        <w:jc w:val="both"/>
        <w:rPr>
          <w:sz w:val="23"/>
          <w:szCs w:val="23"/>
        </w:rPr>
      </w:pPr>
      <w:r>
        <w:rPr>
          <w:color w:val="000000"/>
          <w:sz w:val="24"/>
          <w:szCs w:val="24"/>
        </w:rPr>
        <w:t>C</w:t>
      </w:r>
      <w:r w:rsidRPr="00D96B15">
        <w:rPr>
          <w:color w:val="000000"/>
          <w:sz w:val="24"/>
          <w:szCs w:val="24"/>
        </w:rPr>
        <w:t xml:space="preserve">ontraria o disposto no art. 7º, XXVI, da CF </w:t>
      </w:r>
      <w:r>
        <w:rPr>
          <w:color w:val="000000"/>
          <w:sz w:val="24"/>
          <w:szCs w:val="24"/>
        </w:rPr>
        <w:t xml:space="preserve">a </w:t>
      </w:r>
      <w:r w:rsidRPr="00D96B15">
        <w:rPr>
          <w:color w:val="000000"/>
          <w:sz w:val="24"/>
          <w:szCs w:val="24"/>
        </w:rPr>
        <w:t>decisão</w:t>
      </w:r>
      <w:r>
        <w:rPr>
          <w:color w:val="000000"/>
          <w:sz w:val="24"/>
          <w:szCs w:val="24"/>
        </w:rPr>
        <w:t xml:space="preserve"> que estende a remissão de dívida referente a empréstimo concedido aos trabalhadores da Companhia Vale do Rio Doce – CVRD</w:t>
      </w:r>
      <w:r w:rsidR="0040702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por força de norma coletiva pactuada na data-base anterior (ACT 97/98), aos ex-empregados cujo contrato de trabalho não mais </w:t>
      </w:r>
      <w:r w:rsidR="0040702C">
        <w:rPr>
          <w:color w:val="000000"/>
          <w:sz w:val="24"/>
          <w:szCs w:val="24"/>
        </w:rPr>
        <w:t>vigia</w:t>
      </w:r>
      <w:r>
        <w:rPr>
          <w:color w:val="000000"/>
          <w:sz w:val="24"/>
          <w:szCs w:val="24"/>
        </w:rPr>
        <w:t xml:space="preserve"> em julho de 1998, conforme exigido pelo Acordo Coletivo de Trabalho 98/99, que previu a remissão. Com esse entendimento, a SBDI-I</w:t>
      </w:r>
      <w:r w:rsidRPr="00D96B15">
        <w:rPr>
          <w:color w:val="000000"/>
          <w:sz w:val="24"/>
          <w:szCs w:val="24"/>
        </w:rPr>
        <w:t xml:space="preserve">, por unanimidade, conheceu do recurso de embargos por divergência jurisprudencial e, no mérito, deu-lhe provimento para restabelecer a sentença mediante a qual fora julgada improcedente a pretensão </w:t>
      </w:r>
      <w:r>
        <w:rPr>
          <w:color w:val="000000"/>
          <w:sz w:val="24"/>
          <w:szCs w:val="24"/>
        </w:rPr>
        <w:t>dos reclamantes</w:t>
      </w:r>
      <w:r w:rsidRPr="00D96B15">
        <w:rPr>
          <w:color w:val="000000"/>
          <w:sz w:val="24"/>
          <w:szCs w:val="24"/>
        </w:rPr>
        <w:t>.</w:t>
      </w:r>
      <w:r w:rsidRPr="00D96B15">
        <w:rPr>
          <w:color w:val="000000"/>
          <w:sz w:val="24"/>
          <w:szCs w:val="24"/>
          <w:u w:val="single"/>
        </w:rPr>
        <w:t xml:space="preserve"> </w:t>
      </w:r>
      <w:hyperlink r:id="rId10" w:history="1">
        <w:r w:rsidRPr="000F3149">
          <w:rPr>
            <w:rStyle w:val="Hyperlink"/>
            <w:sz w:val="24"/>
            <w:szCs w:val="24"/>
          </w:rPr>
          <w:t>TST-E-ED-RR-144700-10.1999.5.17.0001</w:t>
        </w:r>
      </w:hyperlink>
      <w:r w:rsidRPr="00D96B15">
        <w:rPr>
          <w:color w:val="000000"/>
          <w:sz w:val="24"/>
          <w:szCs w:val="24"/>
          <w:u w:val="single"/>
        </w:rPr>
        <w:t>, SBDI-I, rel. Min. Lelio Bentes Corrêa, 15.3.2012.</w:t>
      </w:r>
    </w:p>
    <w:p w:rsidR="00F81130" w:rsidRDefault="00F81130" w:rsidP="000C3022">
      <w:pPr>
        <w:ind w:right="-567"/>
        <w:jc w:val="both"/>
        <w:rPr>
          <w:b/>
          <w:i/>
          <w:sz w:val="10"/>
          <w:szCs w:val="10"/>
        </w:rPr>
      </w:pPr>
    </w:p>
    <w:p w:rsidR="00F81130" w:rsidRPr="00BA52EA" w:rsidRDefault="00F81130" w:rsidP="00F811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Horas “in itinere”. Limitação por norma coletiva. Possibilidade. </w:t>
      </w:r>
    </w:p>
    <w:p w:rsidR="00F81130" w:rsidRPr="00E004EB" w:rsidRDefault="00F81130" w:rsidP="00F81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válida cláusula coletiva que prevê a limitação do pagamento das horas </w:t>
      </w:r>
      <w:r w:rsidRPr="00447A91">
        <w:rPr>
          <w:i/>
          <w:sz w:val="24"/>
          <w:szCs w:val="24"/>
        </w:rPr>
        <w:t>in itinere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em atenção ao previsto no art. 7º, XXVI, da CF</w:t>
      </w:r>
      <w:r>
        <w:rPr>
          <w:i/>
          <w:sz w:val="24"/>
          <w:szCs w:val="24"/>
        </w:rPr>
        <w:t xml:space="preserve">. </w:t>
      </w:r>
      <w:r w:rsidRPr="00447A91">
        <w:rPr>
          <w:sz w:val="24"/>
          <w:szCs w:val="24"/>
        </w:rPr>
        <w:t>Com esse entendimento</w:t>
      </w:r>
      <w:r>
        <w:rPr>
          <w:sz w:val="24"/>
          <w:szCs w:val="24"/>
        </w:rPr>
        <w:t xml:space="preserve">, a SBDI-I, por maioria, conheceu dos embargos por divergência jurisprudencial e, no mérito, negou-lhes provimento, reafirmando a </w:t>
      </w:r>
      <w:r>
        <w:rPr>
          <w:sz w:val="24"/>
          <w:szCs w:val="24"/>
        </w:rPr>
        <w:lastRenderedPageBreak/>
        <w:t>jurisprudência da Subseção no sentido de considerar válida cláusula de acordo coletivo que limita o pagamento das horas gastas no percurso até o local de trabalho a uma hora diária, conquanto o contexto fático delineado nos autos tenha revelado que o tempo efetivamente gasto pelo trabalhador até o local da prestação de serviços fora, em média, de duas horas e quinze minutos. Vencidos os Ministros Lelio Bentes Corrêa, relator, Renato de Lacerda Paiva, José R</w:t>
      </w:r>
      <w:r w:rsidR="0040702C">
        <w:rPr>
          <w:sz w:val="24"/>
          <w:szCs w:val="24"/>
        </w:rPr>
        <w:t xml:space="preserve">oberto Freire Pimenta e Delaíde </w:t>
      </w:r>
      <w:r>
        <w:rPr>
          <w:sz w:val="24"/>
          <w:szCs w:val="24"/>
        </w:rPr>
        <w:t xml:space="preserve">Miranda Arantes, que admitiam a possibilidade de a norma coletiva estabelecer tempo fixo para fins de pagamento das horas </w:t>
      </w:r>
      <w:r w:rsidRPr="007C7FD0">
        <w:rPr>
          <w:i/>
          <w:sz w:val="24"/>
          <w:szCs w:val="24"/>
        </w:rPr>
        <w:t>in itinere</w:t>
      </w:r>
      <w:r>
        <w:rPr>
          <w:sz w:val="24"/>
          <w:szCs w:val="24"/>
        </w:rPr>
        <w:t xml:space="preserve">, desde que constatada a devida proporcionalidade em relação ao tempo efetivamente gasto no percurso. </w:t>
      </w:r>
      <w:hyperlink r:id="rId11" w:history="1">
        <w:r w:rsidRPr="000F3149">
          <w:rPr>
            <w:rStyle w:val="Hyperlink"/>
            <w:sz w:val="24"/>
            <w:szCs w:val="24"/>
          </w:rPr>
          <w:t>TST-E-RR-471-14.2010.5.09.0091</w:t>
        </w:r>
      </w:hyperlink>
      <w:r w:rsidRPr="0013118A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Lelio Bentes Corrêa,</w:t>
      </w:r>
      <w:r w:rsidRPr="001311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red. p/ acórdão Min. Ives Gandra da Silva Martins Filho, 15.3.2012</w:t>
      </w:r>
      <w:r w:rsidRPr="0013118A">
        <w:rPr>
          <w:sz w:val="24"/>
          <w:szCs w:val="24"/>
          <w:u w:val="single"/>
        </w:rPr>
        <w:t>.</w:t>
      </w:r>
    </w:p>
    <w:p w:rsidR="00F81130" w:rsidRDefault="00F81130" w:rsidP="000C3022">
      <w:pPr>
        <w:ind w:right="-567"/>
        <w:jc w:val="both"/>
        <w:rPr>
          <w:b/>
          <w:i/>
          <w:sz w:val="10"/>
          <w:szCs w:val="10"/>
        </w:rPr>
      </w:pPr>
    </w:p>
    <w:p w:rsidR="00E95F8C" w:rsidRDefault="00E95F8C" w:rsidP="000F31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Recurso ordinário. Deserção. Não configuração. Acolhimento da preliminar de cerceamento de defesa. Nova sentença. Interposição de segundo recurso ordinário. Realização de novo depósito recursal. Inexigibilidade. </w:t>
      </w:r>
    </w:p>
    <w:p w:rsidR="00E95F8C" w:rsidRDefault="00E95F8C" w:rsidP="000F314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depósito recursal deve ser efetuado uma vez a cada recurso, havendo necessidade de novo recolhimento apenas nas hipóteses em que haja alteração de instância. Assim, o reclamado que, no julgamento de seu primeiro recurso ordinário, teve a preliminar de cerceamento de defesa acolhida, para determinar o retorno dos autos à Vara do Trabalho a fim de que proferisse nova sentença, não necessita efetuar outro depósito recursal para interpor, pela segunda vez, recurso ordinário. Com esse entendimento, a SBDI-I, à unanimidade, conheceu do recurso de embargos, por divergência jurisprudencial e, no mérito, deu-lhe provimento para determinar o retorno dos autos ao TRT, a fim de que, superada a deserção do segundo recurso ordinário, prossiga no julgamento como entender de direito. No caso, ressaltou o relator que a parte completou o valor depositado de forma a atingir o limite legal em vigor à época da interposição, sendo inegável, portanto, a não ocorrência de deserção. </w:t>
      </w:r>
      <w:r w:rsidRPr="003D032E">
        <w:rPr>
          <w:sz w:val="24"/>
          <w:szCs w:val="24"/>
        </w:rPr>
        <w:t xml:space="preserve"> </w:t>
      </w:r>
      <w:hyperlink r:id="rId12" w:history="1">
        <w:r w:rsidRPr="000F3149">
          <w:rPr>
            <w:rStyle w:val="Hyperlink"/>
            <w:sz w:val="24"/>
            <w:szCs w:val="24"/>
          </w:rPr>
          <w:t>TST-E-ED-RR-87200-72.1994.5.02.0261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Renato de Lacerda Paiva, 15.3.2012</w:t>
      </w:r>
      <w:r w:rsidRPr="003D032E">
        <w:rPr>
          <w:sz w:val="24"/>
          <w:szCs w:val="24"/>
          <w:u w:val="single"/>
        </w:rPr>
        <w:t>.</w:t>
      </w:r>
    </w:p>
    <w:p w:rsidR="00E95F8C" w:rsidRPr="005D1DE4" w:rsidRDefault="00E95F8C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E95F8C" w:rsidRDefault="00E95F8C" w:rsidP="00E95F8C">
      <w:pPr>
        <w:ind w:right="-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AR. Depósito prévio. Fundação pública estadual. Exigibilidade. </w:t>
      </w:r>
    </w:p>
    <w:p w:rsidR="00E95F8C" w:rsidRDefault="00E95F8C" w:rsidP="000F3149">
      <w:pPr>
        <w:jc w:val="both"/>
        <w:rPr>
          <w:u w:val="single"/>
        </w:rPr>
      </w:pPr>
      <w:r>
        <w:rPr>
          <w:sz w:val="24"/>
          <w:szCs w:val="24"/>
        </w:rPr>
        <w:t xml:space="preserve">As fundações de direito público estaduais não estão isentas do depósito prévio previsto no art. 836 da CLT e na Instrução Normativa nº 31/2007, porquanto o art. 488, parágrafo único, do CPC, aplicado subsidiariamente, somente excepciona a sua aplicação à União, aos </w:t>
      </w:r>
      <w:r w:rsidR="0040702C">
        <w:rPr>
          <w:sz w:val="24"/>
          <w:szCs w:val="24"/>
        </w:rPr>
        <w:t>e</w:t>
      </w:r>
      <w:r>
        <w:rPr>
          <w:sz w:val="24"/>
          <w:szCs w:val="24"/>
        </w:rPr>
        <w:t>stados, aos municípios e ao Ministério Público, e, com a inovação introduzida pelo art. 24-A da Lei n</w:t>
      </w:r>
      <w:r w:rsidR="0040702C">
        <w:rPr>
          <w:sz w:val="24"/>
          <w:szCs w:val="24"/>
        </w:rPr>
        <w:t>.</w:t>
      </w:r>
      <w:r>
        <w:rPr>
          <w:sz w:val="24"/>
          <w:szCs w:val="24"/>
        </w:rPr>
        <w:t xml:space="preserve">º 9.028/1995, às autarquias e às fundações instituídas pela União. Com base nessa premissa, e invocando a jurisprudência uníssona da Corte, a SBDI-II, por unanimidade, diante da insuficiência do valor recolhido, extinguiu o processo, sem julgamento do mérito, nos termos do art. 267, IV, do CPC, e determinou a restituição integral do depósito prévio à fundação autora. </w:t>
      </w:r>
      <w:hyperlink r:id="rId13" w:history="1">
        <w:r w:rsidRPr="000F3149">
          <w:rPr>
            <w:rStyle w:val="Hyperlink"/>
            <w:sz w:val="24"/>
            <w:szCs w:val="24"/>
          </w:rPr>
          <w:t>TST- ReeNec e RO-20463-78.2010.5.04.0000</w:t>
        </w:r>
      </w:hyperlink>
      <w:r w:rsidRPr="000F3149">
        <w:rPr>
          <w:sz w:val="24"/>
          <w:szCs w:val="24"/>
          <w:u w:val="single"/>
        </w:rPr>
        <w:t>, SBDI-II, rel. Ministro Luiz Philippe Vieira de Mello Filho, 13.3.2012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="000F3149">
        <w:rPr>
          <w:snapToGrid w:val="0"/>
        </w:rPr>
        <w:t>(61)3043-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A" w:rsidRDefault="008F3FDA">
      <w:r>
        <w:separator/>
      </w:r>
    </w:p>
  </w:endnote>
  <w:endnote w:type="continuationSeparator" w:id="0">
    <w:p w:rsidR="008F3FDA" w:rsidRDefault="008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0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0244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A" w:rsidRDefault="008F3FDA">
      <w:r>
        <w:separator/>
      </w:r>
    </w:p>
  </w:footnote>
  <w:footnote w:type="continuationSeparator" w:id="0">
    <w:p w:rsidR="008F3FDA" w:rsidRDefault="008F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40702C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9B68FF">
      <w:rPr>
        <w:sz w:val="20"/>
        <w:szCs w:val="20"/>
      </w:rPr>
      <w:t>15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9B68FF">
      <w:rPr>
        <w:sz w:val="20"/>
        <w:szCs w:val="20"/>
      </w:rPr>
      <w:t>2</w:t>
    </w:r>
    <w:r w:rsidR="0040702C">
      <w:rPr>
        <w:sz w:val="20"/>
        <w:szCs w:val="20"/>
      </w:rPr>
      <w:t>1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F1DAC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6A7E04">
      <w:rPr>
        <w:i/>
        <w:iCs/>
      </w:rPr>
      <w:t>15</w:t>
    </w:r>
    <w:r w:rsidR="00FE00AD" w:rsidRPr="005D1DE4">
      <w:rPr>
        <w:i/>
        <w:iCs/>
      </w:rPr>
      <w:t xml:space="preserve"> a </w:t>
    </w:r>
    <w:r w:rsidR="006A7E04">
      <w:rPr>
        <w:i/>
        <w:iCs/>
      </w:rPr>
      <w:t>2</w:t>
    </w:r>
    <w:r w:rsidR="0040702C">
      <w:rPr>
        <w:i/>
        <w:iCs/>
      </w:rPr>
      <w:t>1</w:t>
    </w:r>
    <w:r w:rsidR="00FE00AD" w:rsidRPr="005D1DE4">
      <w:rPr>
        <w:i/>
        <w:iCs/>
      </w:rPr>
      <w:t xml:space="preserve"> de março 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A36B9"/>
    <w:rsid w:val="000B4D41"/>
    <w:rsid w:val="000B67DF"/>
    <w:rsid w:val="000B7CDE"/>
    <w:rsid w:val="000C3022"/>
    <w:rsid w:val="000C672B"/>
    <w:rsid w:val="000E0A91"/>
    <w:rsid w:val="000F3149"/>
    <w:rsid w:val="00102443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0702C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3B21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A7E04"/>
    <w:rsid w:val="006B3FCF"/>
    <w:rsid w:val="006B46CA"/>
    <w:rsid w:val="006C0391"/>
    <w:rsid w:val="006C28B3"/>
    <w:rsid w:val="006D1F66"/>
    <w:rsid w:val="006D306E"/>
    <w:rsid w:val="006D4497"/>
    <w:rsid w:val="006F6C15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3FDA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B68FF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D6F02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95F8C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30"/>
    <w:rsid w:val="00F811CD"/>
    <w:rsid w:val="00F82D8F"/>
    <w:rsid w:val="00F83F62"/>
    <w:rsid w:val="00F9711D"/>
    <w:rsid w:val="00FA75E0"/>
    <w:rsid w:val="00FB3AB4"/>
    <w:rsid w:val="00FC56A4"/>
    <w:rsid w:val="00FD3D06"/>
    <w:rsid w:val="00FD5662"/>
    <w:rsid w:val="00FD72B6"/>
    <w:rsid w:val="00FE00AD"/>
    <w:rsid w:val="00FE499F"/>
    <w:rsid w:val="00FF1DA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F8113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02.tst.jus.br/pls/ap01/ap_red100.resumo?num_int=29853&amp;ano_int=2007&amp;qtd_acesso=1992831&amp;novoportal=1" TargetMode="External"/><Relationship Id="rId13" Type="http://schemas.openxmlformats.org/officeDocument/2006/relationships/hyperlink" Target="http://ext02.tst.jus.br/pls/ap01/ap_red100.resumo?num_int=159564&amp;ano_int=2011&amp;qtd_acesso=4064085&amp;novoportal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02.tst.jus.br/pls/ap01/ap_red100.resumo?num_int=71864&amp;ano_int=2007&amp;qtd_acesso=2485437&amp;novoportal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02.tst.jus.br/pls/ap01/ap_red100.resumo?num_int=116427&amp;ano_int=2011&amp;qtd_acesso=3551211&amp;novoportal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xt02.tst.jus.br/pls/ap01/ap_red100.resumo?num_int=10203&amp;ano_int=2002&amp;qtd_acesso=1639071&amp;novoportal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t02.tst.jus.br/pls/ap01/ap_red100.resumo?num_int=44036&amp;ano_int=2004&amp;qtd_acesso=1984497&amp;novoportal=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336E-4F98-4372-BB22-FCB8A80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7833</CharactersWithSpaces>
  <SharedDoc>false</SharedDoc>
  <HLinks>
    <vt:vector size="36" baseType="variant">
      <vt:variant>
        <vt:i4>3735606</vt:i4>
      </vt:variant>
      <vt:variant>
        <vt:i4>15</vt:i4>
      </vt:variant>
      <vt:variant>
        <vt:i4>0</vt:i4>
      </vt:variant>
      <vt:variant>
        <vt:i4>5</vt:i4>
      </vt:variant>
      <vt:variant>
        <vt:lpwstr>http://ext02.tst.jus.br/pls/ap01/ap_red100.resumo?num_int=159564&amp;ano_int=2011&amp;qtd_acesso=4064085&amp;novoportal=1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http://ext02.tst.jus.br/pls/ap01/ap_red100.resumo?num_int=71864&amp;ano_int=2007&amp;qtd_acesso=2485437&amp;novoportal=1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http://ext02.tst.jus.br/pls/ap01/ap_red100.resumo?num_int=116427&amp;ano_int=2011&amp;qtd_acesso=3551211&amp;novoportal=1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http://ext02.tst.jus.br/pls/ap01/ap_red100.resumo?num_int=10203&amp;ano_int=2002&amp;qtd_acesso=1639071&amp;novoportal=1</vt:lpwstr>
      </vt:variant>
      <vt:variant>
        <vt:lpwstr/>
      </vt:variant>
      <vt:variant>
        <vt:i4>6422626</vt:i4>
      </vt:variant>
      <vt:variant>
        <vt:i4>3</vt:i4>
      </vt:variant>
      <vt:variant>
        <vt:i4>0</vt:i4>
      </vt:variant>
      <vt:variant>
        <vt:i4>5</vt:i4>
      </vt:variant>
      <vt:variant>
        <vt:lpwstr>http://ext02.tst.jus.br/pls/ap01/ap_red100.resumo?num_int=44036&amp;ano_int=2004&amp;qtd_acesso=1984497&amp;novoportal=1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http://ext02.tst.jus.br/pls/ap01/ap_red100.resumo?num_int=29853&amp;ano_int=2007&amp;qtd_acesso=1992831&amp;novoportal=1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2012-03-09T15:01:00Z</cp:lastPrinted>
  <dcterms:created xsi:type="dcterms:W3CDTF">2018-06-27T22:30:00Z</dcterms:created>
  <dcterms:modified xsi:type="dcterms:W3CDTF">2018-06-27T22:30:00Z</dcterms:modified>
</cp:coreProperties>
</file>