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0355F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0355FC" w:rsidRPr="000355FC" w:rsidRDefault="000355FC" w:rsidP="000355FC">
      <w:pPr>
        <w:pStyle w:val="Corpo"/>
        <w:spacing w:line="240" w:lineRule="auto"/>
        <w:ind w:firstLine="0"/>
        <w:rPr>
          <w:rFonts w:ascii="Times New Roman" w:hAnsi="Times New Roman" w:cs="Times New Roman"/>
          <w:b/>
          <w:i/>
          <w:lang w:val="pt-BR"/>
        </w:rPr>
      </w:pPr>
      <w:r w:rsidRPr="000355FC">
        <w:rPr>
          <w:rFonts w:ascii="Times New Roman" w:hAnsi="Times New Roman" w:cs="Times New Roman"/>
          <w:b/>
          <w:i/>
          <w:lang w:val="pt-BR"/>
        </w:rPr>
        <w:t xml:space="preserve">Súmula Vinculante n.º 8 do STF. Observância imediata e de ofício. Art. 103-A da CF. </w:t>
      </w:r>
    </w:p>
    <w:p w:rsidR="000355FC" w:rsidRDefault="000355FC" w:rsidP="000355FC">
      <w:pPr>
        <w:jc w:val="both"/>
        <w:rPr>
          <w:sz w:val="24"/>
          <w:szCs w:val="24"/>
          <w:u w:val="single"/>
        </w:rPr>
      </w:pPr>
      <w:r w:rsidRPr="000355FC">
        <w:rPr>
          <w:sz w:val="24"/>
          <w:szCs w:val="24"/>
        </w:rPr>
        <w:t xml:space="preserve">O comando do art. 103-A da CF deve ser observado, imediatamente e de ofício, quando a matéria envolver discussão sobre tema já pacificado por súmula vinculante, não se submetendo o recurso de embargos ao crivo do art. 894, II, da CLT. Nesse contexto, na hipótese em que o acórdão da Turma, em face do óbice da Súmula n.º 297 do TST, manteve a aplicação da prescrição decenal prevista no art. 46 da Lei n.º 8.212/91 para a cobrança dos créditos previdenciários devidos em virtude do reconhecimento de vínculo de emprego, a SBDI-I, por maioria, constatou a contrariedade à Súmula Vinculante n.º 8 do STF, a qual declarou a inconstitucionalidade dos arts. 45 e 46 da Lei n.º 8.212/91, vencidos, em parte, o Ministro Lelio Bentes Corrêa e, totalmente, os Ministros José Roberto Pimenta, Augusto César Leite de Carvalho e Delaíde Miranda Arantes; e, ainda por maioria, vencida a Min. Delaíde Miranda Arantes, deu provimento aos embargos para determinar que seja observado o prazo prescricional quinquenal no que tange ao recolhimento das contribuições previdenciárias. </w:t>
      </w:r>
      <w:hyperlink r:id="rId8" w:history="1">
        <w:r w:rsidRPr="00AB23BD">
          <w:rPr>
            <w:rStyle w:val="Hyperlink"/>
            <w:sz w:val="24"/>
            <w:szCs w:val="24"/>
          </w:rPr>
          <w:t>TST-E-ED-RR-74000-08.2006.5.09.0673</w:t>
        </w:r>
      </w:hyperlink>
      <w:r w:rsidRPr="000355FC">
        <w:rPr>
          <w:sz w:val="24"/>
          <w:szCs w:val="24"/>
          <w:u w:val="single"/>
        </w:rPr>
        <w:t>, SBDI-I, rel. Min. Brito Pereira, 16.8.2012</w:t>
      </w:r>
    </w:p>
    <w:p w:rsidR="000355FC" w:rsidRPr="000355FC" w:rsidRDefault="000355FC" w:rsidP="000355FC">
      <w:pPr>
        <w:jc w:val="both"/>
        <w:rPr>
          <w:sz w:val="10"/>
          <w:szCs w:val="10"/>
          <w:u w:val="single"/>
        </w:rPr>
      </w:pPr>
    </w:p>
    <w:p w:rsidR="000355FC" w:rsidRPr="000355FC" w:rsidRDefault="000355FC" w:rsidP="000355FC">
      <w:pPr>
        <w:jc w:val="both"/>
        <w:rPr>
          <w:b/>
          <w:i/>
          <w:sz w:val="24"/>
          <w:szCs w:val="24"/>
        </w:rPr>
      </w:pPr>
      <w:r w:rsidRPr="000355FC">
        <w:rPr>
          <w:b/>
          <w:i/>
          <w:sz w:val="24"/>
          <w:szCs w:val="24"/>
        </w:rPr>
        <w:t xml:space="preserve">Horas extras e diárias de viagens. Pagamento incorporado às comissões por meio de norma coletiva. Impossibilidade. Salário complessivo. Configuração.  Súmula n° 91 do TST. </w:t>
      </w:r>
    </w:p>
    <w:p w:rsidR="000355FC" w:rsidRDefault="000355FC" w:rsidP="000355FC">
      <w:pPr>
        <w:jc w:val="both"/>
        <w:rPr>
          <w:sz w:val="24"/>
          <w:szCs w:val="24"/>
          <w:u w:val="single"/>
        </w:rPr>
      </w:pPr>
      <w:r w:rsidRPr="000355FC">
        <w:rPr>
          <w:sz w:val="24"/>
          <w:szCs w:val="24"/>
        </w:rPr>
        <w:t xml:space="preserve">A inclusão das verbas denominadas horas extras e diárias de viagens no valor a ser pago ao trabalhador a título de comissões, ainda que prevista em instrumento coletivo, caracteriza salário complessivo, conduzindo à nulidade da avença, a teor da Súmula nº 91 do TST. Entendeu o Ministro redator que, na hipótese, há necessidade do pagamento destacado das parcelas, a fim de assegurar ao empregado que presta serviços à empresa de transporte rodoviário e, portanto, se submete a constantes viagens e de duração variada, o conhecimento e o controle do que lhe é pago. Com base nesse entendimento, a SBDI-I, por unanimidade, conheceu do recurso de embargos, por divergência jurisprudencial, e, no mérito, por maioria, deu-lhe provimento para, reformando a decisão embargada, determinar o retorno dos autos à Vara do Trabalho de origem, a fim de que examine os pedidos relativos às diárias de viagem e às horas extraordinárias, afastada a incidência da cláusula normativa que prevê a sua quitação por força do pagamento das comissões. Vencidos os Ministros Renato de Lacerda Paiva, relator, Ives Gandra Martins Filho, Brito Pereira, Maria Cristina Irigoyen Peduzzi e Dora Maria da Costa. </w:t>
      </w:r>
      <w:hyperlink r:id="rId9" w:history="1">
        <w:r w:rsidRPr="00AB23BD">
          <w:rPr>
            <w:rStyle w:val="Hyperlink"/>
            <w:sz w:val="24"/>
            <w:szCs w:val="24"/>
          </w:rPr>
          <w:t>TST-E-ED-RR-200-35.2006.5.09.0094</w:t>
        </w:r>
      </w:hyperlink>
      <w:r w:rsidRPr="000355FC">
        <w:rPr>
          <w:sz w:val="24"/>
          <w:szCs w:val="24"/>
          <w:u w:val="single"/>
        </w:rPr>
        <w:t>, SBDI-I, rel. Min. Renato de Lacerda Paiva, red. p/ acórdão Min. Lelio Bentes Côrrea, 16.8.2012</w:t>
      </w:r>
    </w:p>
    <w:p w:rsidR="000355FC" w:rsidRPr="00075320" w:rsidRDefault="000355FC" w:rsidP="000355FC">
      <w:pPr>
        <w:jc w:val="both"/>
        <w:rPr>
          <w:sz w:val="10"/>
          <w:szCs w:val="10"/>
          <w:u w:val="single"/>
        </w:rPr>
      </w:pPr>
    </w:p>
    <w:p w:rsidR="000355FC" w:rsidRDefault="000355FC" w:rsidP="000355FC">
      <w:pPr>
        <w:jc w:val="both"/>
        <w:rPr>
          <w:b/>
          <w:i/>
          <w:sz w:val="24"/>
          <w:szCs w:val="24"/>
        </w:rPr>
      </w:pPr>
      <w:r>
        <w:rPr>
          <w:b/>
          <w:i/>
          <w:sz w:val="24"/>
          <w:szCs w:val="24"/>
        </w:rPr>
        <w:t xml:space="preserve">Adicional de transferência. Indevido. Provisoriedade. Não configuração. Permanência superior a dois anos em cada localidade. </w:t>
      </w:r>
    </w:p>
    <w:p w:rsidR="000355FC" w:rsidRDefault="000355FC" w:rsidP="000355FC">
      <w:pPr>
        <w:jc w:val="both"/>
        <w:rPr>
          <w:sz w:val="24"/>
          <w:szCs w:val="24"/>
          <w:u w:val="single"/>
        </w:rPr>
      </w:pPr>
      <w:r>
        <w:rPr>
          <w:sz w:val="24"/>
          <w:szCs w:val="24"/>
        </w:rPr>
        <w:t>N</w:t>
      </w:r>
      <w:r w:rsidRPr="003D6BD8">
        <w:rPr>
          <w:sz w:val="24"/>
          <w:szCs w:val="24"/>
        </w:rPr>
        <w:t xml:space="preserve">a hipótese em que restou consignada a ocorrência de </w:t>
      </w:r>
      <w:r>
        <w:rPr>
          <w:sz w:val="24"/>
          <w:szCs w:val="24"/>
        </w:rPr>
        <w:t>duas</w:t>
      </w:r>
      <w:r w:rsidRPr="003D6BD8">
        <w:rPr>
          <w:sz w:val="24"/>
          <w:szCs w:val="24"/>
        </w:rPr>
        <w:t xml:space="preserve"> transferências no período</w:t>
      </w:r>
      <w:r>
        <w:rPr>
          <w:sz w:val="24"/>
          <w:szCs w:val="24"/>
        </w:rPr>
        <w:t xml:space="preserve"> imprescrito de um contrato</w:t>
      </w:r>
      <w:r w:rsidRPr="003D6BD8">
        <w:rPr>
          <w:sz w:val="24"/>
          <w:szCs w:val="24"/>
        </w:rPr>
        <w:t xml:space="preserve"> de </w:t>
      </w:r>
      <w:r>
        <w:rPr>
          <w:sz w:val="24"/>
          <w:szCs w:val="24"/>
        </w:rPr>
        <w:t xml:space="preserve">quase dezoito anos, cada uma delas com duração superior a </w:t>
      </w:r>
      <w:r w:rsidRPr="003D6BD8">
        <w:rPr>
          <w:sz w:val="24"/>
          <w:szCs w:val="24"/>
        </w:rPr>
        <w:t>dois anos</w:t>
      </w:r>
      <w:r>
        <w:rPr>
          <w:sz w:val="24"/>
          <w:szCs w:val="24"/>
        </w:rPr>
        <w:t xml:space="preserve">, e, a última, para local onde se deu a extinção do contrato de trabalho, não há que falar em provisoriedade apta a ensejar o pagamento do adicional de transferência, nos termos da Orientação Jurisprudencial nº 113 da SBDI-I. Assim, a referida Subseção, por unanimidade, conheceu dos embargos, por divergência jurisprudencial, e, no mérito, por maioria, deu-lhes provimento para excluir da condenação o pagamento do adicional de transferência. Vencidos os Ministros Lelio Bentes Corrêa, Alberto Luiz Bresciani de Fontan Pereira, Augusto César Leite de Carvalho, José Roberto Freire Pimenta e </w:t>
      </w:r>
      <w:r>
        <w:rPr>
          <w:sz w:val="24"/>
          <w:szCs w:val="24"/>
        </w:rPr>
        <w:lastRenderedPageBreak/>
        <w:t>Delaíde Miranda Arantes</w:t>
      </w:r>
      <w:r w:rsidRPr="000F2D41">
        <w:rPr>
          <w:sz w:val="24"/>
          <w:szCs w:val="24"/>
        </w:rPr>
        <w:t xml:space="preserve">. </w:t>
      </w:r>
      <w:hyperlink r:id="rId10" w:history="1">
        <w:r w:rsidRPr="00AB23BD">
          <w:rPr>
            <w:rStyle w:val="Hyperlink"/>
            <w:sz w:val="24"/>
            <w:szCs w:val="24"/>
          </w:rPr>
          <w:t>TST-E-RR-1988400-27.2003.5.09.0014</w:t>
        </w:r>
      </w:hyperlink>
      <w:r>
        <w:rPr>
          <w:sz w:val="24"/>
          <w:szCs w:val="24"/>
          <w:u w:val="single"/>
        </w:rPr>
        <w:t xml:space="preserve">, </w:t>
      </w:r>
      <w:r w:rsidRPr="003D032E">
        <w:rPr>
          <w:sz w:val="24"/>
          <w:szCs w:val="24"/>
          <w:u w:val="single"/>
        </w:rPr>
        <w:t>SBDI-</w:t>
      </w:r>
      <w:r>
        <w:rPr>
          <w:sz w:val="24"/>
          <w:szCs w:val="24"/>
          <w:u w:val="single"/>
        </w:rPr>
        <w:t>I</w:t>
      </w:r>
      <w:r w:rsidRPr="003D032E">
        <w:rPr>
          <w:sz w:val="24"/>
          <w:szCs w:val="24"/>
          <w:u w:val="single"/>
        </w:rPr>
        <w:t xml:space="preserve">, rel. Min. </w:t>
      </w:r>
      <w:r>
        <w:rPr>
          <w:sz w:val="24"/>
          <w:szCs w:val="24"/>
          <w:u w:val="single"/>
        </w:rPr>
        <w:t>Brito Pereira, 16.8.2012</w:t>
      </w:r>
    </w:p>
    <w:p w:rsidR="000355FC" w:rsidRPr="00075320" w:rsidRDefault="000355FC" w:rsidP="000355FC">
      <w:pPr>
        <w:jc w:val="both"/>
        <w:rPr>
          <w:sz w:val="10"/>
          <w:szCs w:val="10"/>
          <w:u w:val="single"/>
        </w:rPr>
      </w:pPr>
    </w:p>
    <w:p w:rsidR="000355FC" w:rsidRPr="000355FC" w:rsidRDefault="000355FC" w:rsidP="000355FC">
      <w:pPr>
        <w:jc w:val="both"/>
        <w:rPr>
          <w:b/>
          <w:i/>
          <w:sz w:val="24"/>
          <w:szCs w:val="24"/>
        </w:rPr>
      </w:pPr>
      <w:r w:rsidRPr="000355FC">
        <w:rPr>
          <w:b/>
          <w:i/>
          <w:sz w:val="24"/>
          <w:szCs w:val="24"/>
        </w:rPr>
        <w:t>Bancário. Gratificação “quebra de caixa”. Descontos de diferenças de caixa. Licitude . Art. 462, § 1º, da CLT.</w:t>
      </w:r>
    </w:p>
    <w:p w:rsidR="000355FC" w:rsidRDefault="000355FC" w:rsidP="000355FC">
      <w:pPr>
        <w:jc w:val="both"/>
        <w:rPr>
          <w:sz w:val="24"/>
          <w:szCs w:val="24"/>
          <w:u w:val="single"/>
        </w:rPr>
      </w:pPr>
      <w:r w:rsidRPr="000355FC">
        <w:rPr>
          <w:sz w:val="24"/>
          <w:szCs w:val="24"/>
        </w:rPr>
        <w:t xml:space="preserve">É lícito o desconto da gratificação denominada “quebra de caixa”, a despeito da natureza salarial da rubrica, porquanto a finalidade da parcela é remunerar o risco da atividade, cobrindo eventuais diferenças de numerário quando do fechamento do caixa. Ademais, o bancário, ao ser investido na função de caixa e acordar o pagamento da verba com o empregador, está ciente do encargo que assume pelos eventuais danos que causar. Incidência do art. 462, § 1º, da CLT. Com base nesse entendimento, a SBDI-I, por unanimidade, conheceu dos embargos por divergência jurisprudencial e, no mérito, deu-lhes provimento para excluir da condenação a devolução dos valores descontados a título de “quebra de caixa”. </w:t>
      </w:r>
      <w:hyperlink r:id="rId11" w:history="1">
        <w:r w:rsidRPr="00AB23BD">
          <w:rPr>
            <w:rStyle w:val="Hyperlink"/>
            <w:sz w:val="24"/>
            <w:szCs w:val="24"/>
          </w:rPr>
          <w:t>TST-E-ED-RR-217100-61.2009.5.09.0658</w:t>
        </w:r>
      </w:hyperlink>
      <w:r w:rsidRPr="000355FC">
        <w:rPr>
          <w:sz w:val="24"/>
          <w:szCs w:val="24"/>
          <w:u w:val="single"/>
        </w:rPr>
        <w:t>, SBDI-I, rel. Min. Aloysio Corrêa da Veiga, 16.8.2012</w:t>
      </w:r>
    </w:p>
    <w:p w:rsidR="000355FC" w:rsidRPr="00075320" w:rsidRDefault="000355FC" w:rsidP="000355FC">
      <w:pPr>
        <w:jc w:val="both"/>
        <w:rPr>
          <w:sz w:val="10"/>
          <w:szCs w:val="10"/>
          <w:u w:val="single"/>
        </w:rPr>
      </w:pPr>
    </w:p>
    <w:p w:rsidR="000355FC" w:rsidRPr="000355FC" w:rsidRDefault="000355FC" w:rsidP="000355FC">
      <w:pPr>
        <w:jc w:val="both"/>
        <w:rPr>
          <w:b/>
          <w:i/>
          <w:sz w:val="24"/>
          <w:szCs w:val="24"/>
        </w:rPr>
      </w:pPr>
      <w:r w:rsidRPr="000355FC">
        <w:rPr>
          <w:b/>
          <w:i/>
          <w:sz w:val="24"/>
          <w:szCs w:val="24"/>
        </w:rPr>
        <w:t xml:space="preserve">Gratificação de função percebida por dez ou mais anos. Reversão ao cargo efetivo. Incorporação devida. Pagamento a menor. Prescrição parcial. </w:t>
      </w:r>
    </w:p>
    <w:p w:rsidR="000355FC" w:rsidRDefault="000355FC" w:rsidP="000355FC">
      <w:pPr>
        <w:tabs>
          <w:tab w:val="center" w:pos="4252"/>
        </w:tabs>
        <w:jc w:val="both"/>
        <w:rPr>
          <w:sz w:val="24"/>
          <w:szCs w:val="24"/>
          <w:u w:val="single"/>
        </w:rPr>
      </w:pPr>
      <w:r w:rsidRPr="000355FC">
        <w:rPr>
          <w:sz w:val="24"/>
          <w:szCs w:val="24"/>
        </w:rPr>
        <w:t xml:space="preserve">A prescrição aplicável à hipótese, em que se postula o pagamento de diferenças salariais decorrentes do pagamento a menor da gratificação de função incorporada em decorrência do exercício por dez ou mais anos de cargo/função de confiança, é a parcial. Na espécie, prevaleceu o entendimento de que a reclamada, ao destituir o empregado da função de confiança e aplicar norma interna da empresa, que previa somente o pagamento em percentuais escalonados, variáveis conforme o tempo de exercício da função, afrontou o princípio constitucional da irredutibilidade salarial, previsto no art. 7º, VI, da CF, e da estabilidade financeira, consoante o preconizado na Súmula n.º 372 do TST. Assim, tem-se que a lesão resultante do pagamento parcial da gratificação incorporada pelo empregado se renova mês a mês, porquanto ostenta natureza continuada, não havendo que falar em alteração contratual a atrair a incidência da Súmula n.º 294 do TST. Com esse entendimento, a SBDI-I, por unanimidade, conheceu dos embargos, por divergência jurisprudencial, e, no mérito, por maioria, deu-lhes provimento para afastar a prescrição total, determinando o retorno dos autos ao TRT da 3ª Região para que prossiga no julgamento do recurso ordinário interposto pela reclamada, como entender de direito. Vencidos os Ministros Brito Pereira, Milton de Moura França, João Oreste Dalazen, Ives Gandra Martins Filho, Maria Cristina Irigoyen Peduzzi e Renato de Lacerda Paiva. </w:t>
      </w:r>
      <w:hyperlink r:id="rId12" w:history="1">
        <w:r w:rsidRPr="00AB23BD">
          <w:rPr>
            <w:rStyle w:val="Hyperlink"/>
            <w:sz w:val="24"/>
            <w:szCs w:val="24"/>
          </w:rPr>
          <w:t>TST-E-RR-87300-36.2006.5.03.0016</w:t>
        </w:r>
      </w:hyperlink>
      <w:r w:rsidRPr="000355FC">
        <w:rPr>
          <w:sz w:val="24"/>
          <w:szCs w:val="24"/>
          <w:u w:val="single"/>
        </w:rPr>
        <w:t>, SBDI-I, rel. Min. Lelio Bentes Corrêa, 16.8.2012</w:t>
      </w:r>
    </w:p>
    <w:p w:rsidR="000355FC" w:rsidRPr="00075320" w:rsidRDefault="000355FC" w:rsidP="000355FC">
      <w:pPr>
        <w:tabs>
          <w:tab w:val="center" w:pos="4252"/>
        </w:tabs>
        <w:jc w:val="both"/>
        <w:rPr>
          <w:sz w:val="10"/>
          <w:szCs w:val="10"/>
          <w:u w:val="single"/>
        </w:rPr>
      </w:pPr>
    </w:p>
    <w:p w:rsidR="000355FC" w:rsidRDefault="000355FC" w:rsidP="000355FC">
      <w:pPr>
        <w:jc w:val="both"/>
        <w:rPr>
          <w:b/>
          <w:i/>
          <w:sz w:val="24"/>
          <w:szCs w:val="24"/>
        </w:rPr>
      </w:pPr>
      <w:r>
        <w:rPr>
          <w:b/>
          <w:i/>
          <w:sz w:val="24"/>
          <w:szCs w:val="24"/>
        </w:rPr>
        <w:t>Remuneração do emprego público. Proventos de aposentadoria recebidos pelo regime geral da previdência social. Acumulação. Possibilidade</w:t>
      </w:r>
      <w:r w:rsidRPr="003D032E">
        <w:rPr>
          <w:b/>
          <w:i/>
          <w:sz w:val="24"/>
          <w:szCs w:val="24"/>
        </w:rPr>
        <w:t xml:space="preserve"> </w:t>
      </w:r>
      <w:r>
        <w:rPr>
          <w:b/>
          <w:i/>
          <w:sz w:val="24"/>
          <w:szCs w:val="24"/>
        </w:rPr>
        <w:t>.</w:t>
      </w:r>
    </w:p>
    <w:p w:rsidR="000355FC" w:rsidRDefault="000355FC" w:rsidP="000355FC">
      <w:pPr>
        <w:jc w:val="both"/>
        <w:rPr>
          <w:sz w:val="24"/>
          <w:szCs w:val="24"/>
          <w:u w:val="single"/>
        </w:rPr>
      </w:pPr>
      <w:r w:rsidRPr="005C44EC">
        <w:rPr>
          <w:sz w:val="24"/>
          <w:szCs w:val="24"/>
        </w:rPr>
        <w:t>A vedação de acumulação de proventos de aposentadoria com a remuneração de cargo, emprego ou função pública, desc</w:t>
      </w:r>
      <w:r>
        <w:rPr>
          <w:sz w:val="24"/>
          <w:szCs w:val="24"/>
        </w:rPr>
        <w:t xml:space="preserve">rita no art. 37, § 10, da CF, destina-se apenas aos servidores sujeitos a regime especial de previdência, a exemplo dos titulares de cargo efetivo da União, dos Estados, do Distrito Federal e dos Municípios, incluídas as suas autarquias e fundações, </w:t>
      </w:r>
      <w:r w:rsidRPr="000620D6">
        <w:rPr>
          <w:sz w:val="24"/>
          <w:szCs w:val="24"/>
        </w:rPr>
        <w:t>não alcança</w:t>
      </w:r>
      <w:r>
        <w:rPr>
          <w:sz w:val="24"/>
          <w:szCs w:val="24"/>
        </w:rPr>
        <w:t>ndo</w:t>
      </w:r>
      <w:r w:rsidRPr="000620D6">
        <w:rPr>
          <w:sz w:val="24"/>
          <w:szCs w:val="24"/>
        </w:rPr>
        <w:t xml:space="preserve"> os empregados públicos que percebem proventos</w:t>
      </w:r>
      <w:r>
        <w:rPr>
          <w:sz w:val="24"/>
          <w:szCs w:val="24"/>
        </w:rPr>
        <w:t xml:space="preserve"> de aposentadoria</w:t>
      </w:r>
      <w:r w:rsidRPr="000620D6">
        <w:rPr>
          <w:sz w:val="24"/>
          <w:szCs w:val="24"/>
        </w:rPr>
        <w:t xml:space="preserve"> pelo regime geral da previdência social</w:t>
      </w:r>
      <w:r>
        <w:rPr>
          <w:sz w:val="24"/>
          <w:szCs w:val="24"/>
        </w:rPr>
        <w:t xml:space="preserve">, nos termos do art. 201, § 7º, da CF. </w:t>
      </w:r>
      <w:r w:rsidRPr="000620D6">
        <w:rPr>
          <w:sz w:val="24"/>
          <w:szCs w:val="24"/>
        </w:rPr>
        <w:t xml:space="preserve">Assim, </w:t>
      </w:r>
      <w:r>
        <w:rPr>
          <w:sz w:val="24"/>
          <w:szCs w:val="24"/>
        </w:rPr>
        <w:t xml:space="preserve">a SBDI-I, </w:t>
      </w:r>
      <w:r w:rsidRPr="000620D6">
        <w:rPr>
          <w:sz w:val="24"/>
          <w:szCs w:val="24"/>
        </w:rPr>
        <w:t xml:space="preserve">por unanimidade, </w:t>
      </w:r>
      <w:r>
        <w:rPr>
          <w:sz w:val="24"/>
          <w:szCs w:val="24"/>
        </w:rPr>
        <w:t xml:space="preserve">conheceu dos embargos por divergência jurisprudencial e, no mérito, negou-lhes provimento. </w:t>
      </w:r>
      <w:hyperlink r:id="rId13" w:history="1">
        <w:r w:rsidRPr="00AB23BD">
          <w:rPr>
            <w:rStyle w:val="Hyperlink"/>
            <w:sz w:val="24"/>
            <w:szCs w:val="24"/>
          </w:rPr>
          <w:t>TST-E-RR-366000-19.2009.5.12.0038</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Aloysio Corrêa da Veiga, 16.8.2012</w:t>
      </w:r>
    </w:p>
    <w:p w:rsidR="002257CD" w:rsidRPr="002257CD" w:rsidRDefault="002257CD" w:rsidP="000355FC">
      <w:pPr>
        <w:jc w:val="both"/>
        <w:rPr>
          <w:sz w:val="10"/>
          <w:szCs w:val="10"/>
          <w:u w:val="single"/>
        </w:rPr>
      </w:pPr>
    </w:p>
    <w:p w:rsidR="002257CD" w:rsidRPr="002257CD" w:rsidRDefault="002257CD" w:rsidP="002257CD">
      <w:pPr>
        <w:jc w:val="both"/>
        <w:rPr>
          <w:b/>
          <w:i/>
          <w:sz w:val="24"/>
          <w:szCs w:val="24"/>
        </w:rPr>
      </w:pPr>
      <w:r w:rsidRPr="002257CD">
        <w:rPr>
          <w:b/>
          <w:i/>
          <w:sz w:val="24"/>
          <w:szCs w:val="24"/>
        </w:rPr>
        <w:t xml:space="preserve">FGTS. Incidência sobre diferenças salariais deferidas em ação anteriormente proposta. Prescrição trintenária. Limite temporal da demanda anterior. </w:t>
      </w:r>
    </w:p>
    <w:p w:rsidR="002257CD" w:rsidRDefault="002257CD" w:rsidP="002257CD">
      <w:pPr>
        <w:jc w:val="both"/>
        <w:rPr>
          <w:sz w:val="24"/>
          <w:szCs w:val="24"/>
          <w:u w:val="single"/>
        </w:rPr>
      </w:pPr>
      <w:r w:rsidRPr="002257CD">
        <w:rPr>
          <w:sz w:val="24"/>
          <w:szCs w:val="24"/>
        </w:rPr>
        <w:t xml:space="preserve">Reiterando entendimento já sufragado em precedentes anteriores, deliberou a SBDI-I que, nos termos da Súmula n.º 362 do TST, é trintenária a prescrição incidente sobre a pretensão de recolhimento de FGTS sobre diferenças decorrentes de parcelas salarias deferidas em ação anteriormente proposta, devendo-se observar, porém, o limite temporal fixado na primeira ação em relação às verbas principais. Assim, a Subseção, por maioria, vencidos a Ministra Maria Cristina Peduzzi e o Desembargador Convocado Sebastião Geraldo de Oliveira, conheceu dos embargos por má aplicação da Súmula n.º 206 e por contrariedade à Súmula n.º 362, ambas do TST e, no mérito, deu-lhes provimento para declarar aplicável a prescrição trintenária à pretensão aos depósitos do FGTS incidentes sobre as parcelas deferidas no primeiro processo, cuja decisão já transitou em julgado, considerando-se, todavia, o quinquênio anterior à data do ajuizamento da ação trabalhista precedente. </w:t>
      </w:r>
      <w:hyperlink r:id="rId14" w:history="1">
        <w:r w:rsidRPr="002257CD">
          <w:rPr>
            <w:rStyle w:val="Hyperlink"/>
            <w:sz w:val="24"/>
            <w:szCs w:val="24"/>
          </w:rPr>
          <w:t>TST-E-ED-RR-103800-87.2001.5.04.0029</w:t>
        </w:r>
      </w:hyperlink>
      <w:r w:rsidRPr="002257CD">
        <w:rPr>
          <w:sz w:val="24"/>
          <w:szCs w:val="24"/>
          <w:u w:val="single"/>
        </w:rPr>
        <w:t>, SBDI-I, rel. Min. Augusto César Leite de Carvalho, 16.8.2012</w:t>
      </w:r>
    </w:p>
    <w:p w:rsidR="002257CD" w:rsidRPr="002257CD" w:rsidRDefault="002257CD" w:rsidP="002257CD">
      <w:pPr>
        <w:ind w:right="-567"/>
        <w:jc w:val="both"/>
        <w:rPr>
          <w:sz w:val="10"/>
          <w:szCs w:val="10"/>
          <w:u w:val="single"/>
        </w:rPr>
      </w:pPr>
    </w:p>
    <w:p w:rsidR="002257CD" w:rsidRPr="002257CD" w:rsidRDefault="002257CD" w:rsidP="002257CD">
      <w:pPr>
        <w:pStyle w:val="coletanea"/>
        <w:rPr>
          <w:b/>
          <w:i/>
          <w:sz w:val="24"/>
          <w:szCs w:val="24"/>
        </w:rPr>
      </w:pPr>
      <w:r w:rsidRPr="002257CD">
        <w:rPr>
          <w:b/>
          <w:i/>
          <w:sz w:val="24"/>
          <w:szCs w:val="24"/>
        </w:rPr>
        <w:t>Intervalo intrajornada. Redução. Horas extras. Norma coletiva. Percentual superior ao previsto no art. 71, § 4º, da CLT. Prevalência.</w:t>
      </w:r>
    </w:p>
    <w:p w:rsidR="002257CD" w:rsidRPr="002257CD" w:rsidRDefault="002257CD" w:rsidP="002257CD">
      <w:pPr>
        <w:pStyle w:val="Corpodetexto2"/>
        <w:tabs>
          <w:tab w:val="left" w:pos="8364"/>
        </w:tabs>
        <w:rPr>
          <w:sz w:val="24"/>
          <w:szCs w:val="24"/>
          <w:u w:val="single"/>
        </w:rPr>
      </w:pPr>
      <w:r w:rsidRPr="002257CD">
        <w:rPr>
          <w:sz w:val="24"/>
          <w:szCs w:val="24"/>
        </w:rPr>
        <w:t xml:space="preserve">Havendo norma coletiva assegurando a remuneração das horas extras em percentual superior ao previsto no art. 71, § 4ª, da CLT, esse adicional deverá ser utilizado para o pagamento das horas suplementares decorrentes da redução do intervalo intrajornada, ainda que não consignado expressamente nos autos a porcentagem acordada. Nessa esteira, </w:t>
      </w:r>
      <w:r w:rsidRPr="002257CD">
        <w:rPr>
          <w:color w:val="000000"/>
          <w:sz w:val="24"/>
          <w:szCs w:val="24"/>
        </w:rPr>
        <w:t>a SBDI-I</w:t>
      </w:r>
      <w:r w:rsidRPr="002257CD">
        <w:rPr>
          <w:sz w:val="24"/>
          <w:szCs w:val="24"/>
        </w:rPr>
        <w:t xml:space="preserve">, por maioria, vencidos os Ministros Maria Cristina Irigoyen Peduzzi, Brito Pereira, Horácio Raymundo de Senna Pires e os Desembargadores Convocados Sebastião Geraldo de Oliveira e Hugo Carlos Scheuermann, conheceu do recurso de embargos, no tópico, por violação do art. 896 da CLT, ante a má aplicação da Súmula nº 126 do TST e, no mérito, deu-lhe provimento para restabelecer a sentença em que fora determinado o cômputo da parcela devida pela redução do intervalo intrajornada com base no percentual previsto na norma coletiva para o cálculo das horas extras. Na espécie, a decisão turmária apontara o óbice da Súmula nº 126 do TST, uma vez que o TRT de origem, apesar de ter consignado a existência de percentual mais vantajoso em norma coletiva, não registrou expressamente esse valor. A Subseção, porém, entendeu que a matéria se restringe ao enquadramento jurídico da incidência, ou não, do percentual normativo em detrimento da previsão legal, razão pela qual, confirmada a existência de adicional mais vantajoso tanto pelo TRT quanto pela Turma, a ausência de registro da porcentagem estabelecida em instrumento coletivo não é dado imprescindível à solução da controvérsia </w:t>
      </w:r>
      <w:hyperlink r:id="rId15" w:history="1">
        <w:r w:rsidRPr="002257CD">
          <w:rPr>
            <w:rStyle w:val="Hyperlink"/>
            <w:sz w:val="24"/>
            <w:szCs w:val="24"/>
          </w:rPr>
          <w:t>TST-E-ED-RR-21300-73.2005.5.04.0012</w:t>
        </w:r>
      </w:hyperlink>
      <w:r w:rsidRPr="002257CD">
        <w:rPr>
          <w:sz w:val="24"/>
          <w:szCs w:val="24"/>
          <w:u w:val="single"/>
        </w:rPr>
        <w:t>, SBDI-I, rel. Min. Augusto César Leite de Carvalho,16.8.2012</w:t>
      </w:r>
    </w:p>
    <w:p w:rsidR="002257CD" w:rsidRPr="002257CD" w:rsidRDefault="002257CD" w:rsidP="002257CD">
      <w:pPr>
        <w:ind w:right="-567"/>
        <w:jc w:val="both"/>
        <w:rPr>
          <w:sz w:val="24"/>
          <w:szCs w:val="24"/>
        </w:rPr>
      </w:pPr>
    </w:p>
    <w:p w:rsidR="002257CD" w:rsidRDefault="002257CD" w:rsidP="000355FC">
      <w:pPr>
        <w:jc w:val="both"/>
        <w:rPr>
          <w:sz w:val="24"/>
          <w:szCs w:val="24"/>
          <w:u w:val="single"/>
        </w:rPr>
      </w:pPr>
    </w:p>
    <w:p w:rsidR="000355FC" w:rsidRPr="000355FC" w:rsidRDefault="000355FC" w:rsidP="000355FC">
      <w:pPr>
        <w:tabs>
          <w:tab w:val="center" w:pos="4252"/>
        </w:tabs>
        <w:jc w:val="both"/>
        <w:rPr>
          <w:sz w:val="24"/>
          <w:szCs w:val="24"/>
          <w:u w:val="single"/>
        </w:rPr>
      </w:pPr>
    </w:p>
    <w:p w:rsidR="000355FC" w:rsidRPr="000355FC" w:rsidRDefault="000355FC" w:rsidP="000355FC">
      <w:pPr>
        <w:jc w:val="both"/>
        <w:rPr>
          <w:sz w:val="24"/>
          <w:szCs w:val="24"/>
          <w:u w:val="single"/>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26" w:rsidRDefault="00034B26">
      <w:r>
        <w:separator/>
      </w:r>
    </w:p>
  </w:endnote>
  <w:endnote w:type="continuationSeparator" w:id="0">
    <w:p w:rsidR="00034B26" w:rsidRDefault="0003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20" w:rsidRDefault="00075320">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7CD">
      <w:rPr>
        <w:rStyle w:val="Nmerodepgina"/>
        <w:noProof/>
      </w:rPr>
      <w:t>2</w:t>
    </w:r>
    <w:r>
      <w:rPr>
        <w:rStyle w:val="Nmerodepgina"/>
      </w:rPr>
      <w:fldChar w:fldCharType="end"/>
    </w:r>
  </w:p>
  <w:p w:rsidR="00075320" w:rsidRDefault="00075320">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20" w:rsidRDefault="00075320">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33048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26" w:rsidRDefault="00034B26">
      <w:r>
        <w:separator/>
      </w:r>
    </w:p>
  </w:footnote>
  <w:footnote w:type="continuationSeparator" w:id="0">
    <w:p w:rsidR="00034B26" w:rsidRDefault="0003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20" w:rsidRPr="00971E07" w:rsidRDefault="00075320">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r>
      <w:rPr>
        <w:shadow/>
        <w:sz w:val="24"/>
        <w:szCs w:val="24"/>
      </w:rPr>
      <w:t>8</w:t>
    </w:r>
  </w:p>
  <w:p w:rsidR="00075320" w:rsidRPr="00971E07" w:rsidRDefault="00075320">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 xml:space="preserve">Período: </w:t>
    </w:r>
    <w:r w:rsidRPr="00971E07">
      <w:rPr>
        <w:sz w:val="20"/>
        <w:szCs w:val="20"/>
      </w:rPr>
      <w:t>1</w:t>
    </w:r>
    <w:r>
      <w:rPr>
        <w:sz w:val="20"/>
        <w:szCs w:val="20"/>
      </w:rPr>
      <w:t>4</w:t>
    </w:r>
    <w:r w:rsidRPr="00971E07">
      <w:rPr>
        <w:sz w:val="20"/>
        <w:szCs w:val="20"/>
      </w:rPr>
      <w:t xml:space="preserve"> a </w:t>
    </w:r>
    <w:r>
      <w:rPr>
        <w:sz w:val="20"/>
        <w:szCs w:val="20"/>
      </w:rPr>
      <w:t>20</w:t>
    </w:r>
    <w:r w:rsidRPr="00971E07">
      <w:rPr>
        <w:sz w:val="20"/>
        <w:szCs w:val="20"/>
      </w:rPr>
      <w:t xml:space="preserve"> de </w:t>
    </w:r>
    <w:r>
      <w:rPr>
        <w:sz w:val="20"/>
        <w:szCs w:val="20"/>
      </w:rPr>
      <w:t>agosto</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20" w:rsidRDefault="0007532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075320" w:rsidRPr="002168DE" w:rsidRDefault="00075320"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r>
      <w:rPr>
        <w:b/>
        <w:sz w:val="40"/>
        <w:szCs w:val="40"/>
      </w:rPr>
      <w:t>8</w:t>
    </w:r>
  </w:p>
  <w:p w:rsidR="00075320" w:rsidRPr="005D1DE4" w:rsidRDefault="00075320">
    <w:pPr>
      <w:pStyle w:val="Cabealho"/>
      <w:jc w:val="right"/>
      <w:rPr>
        <w:i/>
        <w:iCs/>
        <w:sz w:val="10"/>
        <w:szCs w:val="10"/>
      </w:rPr>
    </w:pPr>
  </w:p>
  <w:p w:rsidR="00075320" w:rsidRPr="005D1DE4" w:rsidRDefault="00075320">
    <w:pPr>
      <w:pStyle w:val="Cabealho"/>
      <w:jc w:val="right"/>
    </w:pPr>
    <w:r>
      <w:rPr>
        <w:i/>
        <w:iCs/>
      </w:rPr>
      <w:t>Período:</w:t>
    </w:r>
    <w:r w:rsidRPr="005D1DE4">
      <w:rPr>
        <w:i/>
        <w:iCs/>
      </w:rPr>
      <w:t xml:space="preserve"> </w:t>
    </w:r>
    <w:r>
      <w:rPr>
        <w:i/>
        <w:iCs/>
      </w:rPr>
      <w:t>14</w:t>
    </w:r>
    <w:r w:rsidRPr="005D1DE4">
      <w:rPr>
        <w:i/>
        <w:iCs/>
      </w:rPr>
      <w:t xml:space="preserve"> a</w:t>
    </w:r>
    <w:r>
      <w:rPr>
        <w:i/>
        <w:iCs/>
      </w:rPr>
      <w:t xml:space="preserve"> 20</w:t>
    </w:r>
    <w:r w:rsidRPr="005D1DE4">
      <w:rPr>
        <w:i/>
        <w:iCs/>
      </w:rPr>
      <w:t xml:space="preserve"> de </w:t>
    </w:r>
    <w:r>
      <w:rPr>
        <w:i/>
        <w:iCs/>
      </w:rPr>
      <w:t xml:space="preserve">agosto </w:t>
    </w:r>
    <w:r w:rsidRPr="005D1DE4">
      <w:rPr>
        <w:i/>
        <w:iCs/>
      </w:rPr>
      <w:t>de 2012</w:t>
    </w:r>
  </w:p>
  <w:p w:rsidR="00075320" w:rsidRDefault="00075320"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34B26"/>
    <w:rsid w:val="000355FC"/>
    <w:rsid w:val="000425FC"/>
    <w:rsid w:val="00050E85"/>
    <w:rsid w:val="00056752"/>
    <w:rsid w:val="00057B87"/>
    <w:rsid w:val="0006020E"/>
    <w:rsid w:val="000733B4"/>
    <w:rsid w:val="00073880"/>
    <w:rsid w:val="0007532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257CD"/>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0483"/>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3BD"/>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C7035"/>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38A3"/>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74000&amp;digitoTst=08&amp;anoTst=2006&amp;orgaoTst=5&amp;tribunalTst=09&amp;varaTst=0673" TargetMode="External"/><Relationship Id="rId13" Type="http://schemas.openxmlformats.org/officeDocument/2006/relationships/hyperlink" Target="https://aplicacao5.tst.jus.br/consultaProcessual/consultaTstNumUnica.do?consulta=Consultar&amp;conscsjt=&amp;numeroTst=366000&amp;digitoTst=19&amp;anoTst=2009&amp;orgaoTst=5&amp;tribunalTst=12&amp;varaTst=003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87300&amp;digitoTst=36&amp;anoTst=2006&amp;orgaoTst=5&amp;tribunalTst=03&amp;varaTst=0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17100&amp;digitoTst=61&amp;anoTst=2009&amp;orgaoTst=5&amp;tribunalTst=09&amp;varaTst=0658" TargetMode="External"/><Relationship Id="rId5" Type="http://schemas.openxmlformats.org/officeDocument/2006/relationships/webSettings" Target="webSettings.xml"/><Relationship Id="rId15" Type="http://schemas.openxmlformats.org/officeDocument/2006/relationships/hyperlink" Target="https://aplicacao5.tst.jus.br/consultaProcessual/consultaTstNumUnica.do?consulta=Consultar&amp;conscsjt=&amp;numeroTst=21300&amp;digitoTst=73&amp;anoTst=2005&amp;orgaoTst=5&amp;tribunalTst=04&amp;varaTst=0012" TargetMode="External"/><Relationship Id="rId10" Type="http://schemas.openxmlformats.org/officeDocument/2006/relationships/hyperlink" Target="https://aplicacao5.tst.jus.br/consultaProcessual/consultaTstNumUnica.do?consulta=Consultar&amp;conscsjt=&amp;numeroTst=1988400&amp;digitoTst=27&amp;anoTst=2003&amp;orgaoTst=5&amp;tribunalTst=09&amp;varaTst=0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00&amp;digitoTst=35&amp;anoTst=2006&amp;orgaoTst=5&amp;tribunalTst=09&amp;varaTst=0094" TargetMode="External"/><Relationship Id="rId14" Type="http://schemas.openxmlformats.org/officeDocument/2006/relationships/hyperlink" Target="https://aplicacao5.tst.jus.br/consultaProcessual/consultaTstNumUnica.do?consulta=Consultar&amp;conscsjt=&amp;numeroTst=103800&amp;digitoTst=87&amp;anoTst=2001&amp;orgaoTst=5&amp;tribunalTst=04&amp;varaTst=00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C32E-A10F-413E-BECF-C19BD37A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1918</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12257</CharactersWithSpaces>
  <SharedDoc>false</SharedDoc>
  <HLinks>
    <vt:vector size="48" baseType="variant">
      <vt:variant>
        <vt:i4>1245190</vt:i4>
      </vt:variant>
      <vt:variant>
        <vt:i4>21</vt:i4>
      </vt:variant>
      <vt:variant>
        <vt:i4>0</vt:i4>
      </vt:variant>
      <vt:variant>
        <vt:i4>5</vt:i4>
      </vt:variant>
      <vt:variant>
        <vt:lpwstr>https://aplicacao5.tst.jus.br/consultaProcessual/consultaTstNumUnica.do?consulta=Consultar&amp;conscsjt=&amp;numeroTst=21300&amp;digitoTst=73&amp;anoTst=2005&amp;orgaoTst=5&amp;tribunalTst=04&amp;varaTst=0012</vt:lpwstr>
      </vt:variant>
      <vt:variant>
        <vt:lpwstr/>
      </vt:variant>
      <vt:variant>
        <vt:i4>5832776</vt:i4>
      </vt:variant>
      <vt:variant>
        <vt:i4>18</vt:i4>
      </vt:variant>
      <vt:variant>
        <vt:i4>0</vt:i4>
      </vt:variant>
      <vt:variant>
        <vt:i4>5</vt:i4>
      </vt:variant>
      <vt:variant>
        <vt:lpwstr>https://aplicacao5.tst.jus.br/consultaProcessual/consultaTstNumUnica.do?consulta=Consultar&amp;conscsjt=&amp;numeroTst=103800&amp;digitoTst=87&amp;anoTst=2001&amp;orgaoTst=5&amp;tribunalTst=04&amp;varaTst=0029</vt:lpwstr>
      </vt:variant>
      <vt:variant>
        <vt:lpwstr/>
      </vt:variant>
      <vt:variant>
        <vt:i4>6225998</vt:i4>
      </vt:variant>
      <vt:variant>
        <vt:i4>15</vt:i4>
      </vt:variant>
      <vt:variant>
        <vt:i4>0</vt:i4>
      </vt:variant>
      <vt:variant>
        <vt:i4>5</vt:i4>
      </vt:variant>
      <vt:variant>
        <vt:lpwstr>https://aplicacao5.tst.jus.br/consultaProcessual/consultaTstNumUnica.do?consulta=Consultar&amp;conscsjt=&amp;numeroTst=366000&amp;digitoTst=19&amp;anoTst=2009&amp;orgaoTst=5&amp;tribunalTst=12&amp;varaTst=0038</vt:lpwstr>
      </vt:variant>
      <vt:variant>
        <vt:lpwstr/>
      </vt:variant>
      <vt:variant>
        <vt:i4>1638401</vt:i4>
      </vt:variant>
      <vt:variant>
        <vt:i4>12</vt:i4>
      </vt:variant>
      <vt:variant>
        <vt:i4>0</vt:i4>
      </vt:variant>
      <vt:variant>
        <vt:i4>5</vt:i4>
      </vt:variant>
      <vt:variant>
        <vt:lpwstr>https://aplicacao5.tst.jus.br/consultaProcessual/consultaTstNumUnica.do?consulta=Consultar&amp;conscsjt=&amp;numeroTst=87300&amp;digitoTst=36&amp;anoTst=2006&amp;orgaoTst=5&amp;tribunalTst=03&amp;varaTst=0016</vt:lpwstr>
      </vt:variant>
      <vt:variant>
        <vt:lpwstr/>
      </vt:variant>
      <vt:variant>
        <vt:i4>5898312</vt:i4>
      </vt:variant>
      <vt:variant>
        <vt:i4>9</vt:i4>
      </vt:variant>
      <vt:variant>
        <vt:i4>0</vt:i4>
      </vt:variant>
      <vt:variant>
        <vt:i4>5</vt:i4>
      </vt:variant>
      <vt:variant>
        <vt:lpwstr>https://aplicacao5.tst.jus.br/consultaProcessual/consultaTstNumUnica.do?consulta=Consultar&amp;conscsjt=&amp;numeroTst=217100&amp;digitoTst=61&amp;anoTst=2009&amp;orgaoTst=5&amp;tribunalTst=09&amp;varaTst=0658</vt:lpwstr>
      </vt:variant>
      <vt:variant>
        <vt:lpwstr/>
      </vt:variant>
      <vt:variant>
        <vt:i4>2883641</vt:i4>
      </vt:variant>
      <vt:variant>
        <vt:i4>6</vt:i4>
      </vt:variant>
      <vt:variant>
        <vt:i4>0</vt:i4>
      </vt:variant>
      <vt:variant>
        <vt:i4>5</vt:i4>
      </vt:variant>
      <vt:variant>
        <vt:lpwstr>https://aplicacao5.tst.jus.br/consultaProcessual/consultaTstNumUnica.do?consulta=Consultar&amp;conscsjt=&amp;numeroTst=1988400&amp;digitoTst=27&amp;anoTst=2003&amp;orgaoTst=5&amp;tribunalTst=09&amp;varaTst=0014</vt:lpwstr>
      </vt:variant>
      <vt:variant>
        <vt:lpwstr/>
      </vt:variant>
      <vt:variant>
        <vt:i4>2228279</vt:i4>
      </vt:variant>
      <vt:variant>
        <vt:i4>3</vt:i4>
      </vt:variant>
      <vt:variant>
        <vt:i4>0</vt:i4>
      </vt:variant>
      <vt:variant>
        <vt:i4>5</vt:i4>
      </vt:variant>
      <vt:variant>
        <vt:lpwstr>https://aplicacao5.tst.jus.br/consultaProcessual/consultaTstNumUnica.do?consulta=Consultar&amp;conscsjt=&amp;numeroTst=200&amp;digitoTst=35&amp;anoTst=2006&amp;orgaoTst=5&amp;tribunalTst=09&amp;varaTst=0094</vt:lpwstr>
      </vt:variant>
      <vt:variant>
        <vt:lpwstr/>
      </vt:variant>
      <vt:variant>
        <vt:i4>1376256</vt:i4>
      </vt:variant>
      <vt:variant>
        <vt:i4>0</vt:i4>
      </vt:variant>
      <vt:variant>
        <vt:i4>0</vt:i4>
      </vt:variant>
      <vt:variant>
        <vt:i4>5</vt:i4>
      </vt:variant>
      <vt:variant>
        <vt:lpwstr>https://aplicacao5.tst.jus.br/consultaProcessual/consultaTstNumUnica.do?consulta=Consultar&amp;conscsjt=&amp;numeroTst=74000&amp;digitoTst=08&amp;anoTst=2006&amp;orgaoTst=5&amp;tribunalTst=09&amp;varaTst=0673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2018-06-27T22:30:00Z</dcterms:created>
  <dcterms:modified xsi:type="dcterms:W3CDTF">2018-06-27T22:30:00Z</dcterms:modified>
</cp:coreProperties>
</file>