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0228E6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0228E6" w:rsidRPr="005D1DE4" w:rsidRDefault="000228E6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9E5EF0" w:rsidRPr="0019446B" w:rsidRDefault="009E5EF0" w:rsidP="009E5EF0">
      <w:pPr>
        <w:pStyle w:val="Default"/>
        <w:jc w:val="both"/>
        <w:rPr>
          <w:b/>
          <w:i/>
          <w:color w:val="auto"/>
        </w:rPr>
      </w:pPr>
      <w:r w:rsidRPr="0019446B">
        <w:rPr>
          <w:b/>
          <w:i/>
          <w:color w:val="auto"/>
        </w:rPr>
        <w:t>MS impetrado por ente público. Segurança denegada. Reexame necessário. Cabimento</w:t>
      </w:r>
      <w:r>
        <w:rPr>
          <w:b/>
          <w:i/>
          <w:color w:val="auto"/>
        </w:rPr>
        <w:t xml:space="preserve">. </w:t>
      </w:r>
      <w:r w:rsidRPr="0019446B">
        <w:rPr>
          <w:b/>
          <w:i/>
          <w:color w:val="auto"/>
        </w:rPr>
        <w:t>Existência de prejuízo ao erário.</w:t>
      </w:r>
    </w:p>
    <w:p w:rsidR="009E5EF0" w:rsidRPr="009956D6" w:rsidRDefault="009E5EF0" w:rsidP="009E5EF0">
      <w:pPr>
        <w:jc w:val="both"/>
        <w:rPr>
          <w:sz w:val="23"/>
          <w:szCs w:val="23"/>
          <w:u w:val="single"/>
        </w:rPr>
      </w:pPr>
      <w:r w:rsidRPr="0019446B">
        <w:rPr>
          <w:sz w:val="24"/>
          <w:szCs w:val="24"/>
        </w:rPr>
        <w:t>Não obstante o art. 13, parágrafo único, da Lei n.º 1.533/51</w:t>
      </w:r>
      <w:r>
        <w:rPr>
          <w:sz w:val="24"/>
          <w:szCs w:val="24"/>
        </w:rPr>
        <w:t xml:space="preserve">, </w:t>
      </w:r>
      <w:r w:rsidRPr="0019446B">
        <w:rPr>
          <w:sz w:val="24"/>
          <w:szCs w:val="24"/>
        </w:rPr>
        <w:t>o art. 14, § 1º, da Lei n.º 12.016/09</w:t>
      </w:r>
      <w:r>
        <w:rPr>
          <w:sz w:val="24"/>
          <w:szCs w:val="24"/>
        </w:rPr>
        <w:t xml:space="preserve"> e o item III da Súmula n.º 303 do TST</w:t>
      </w:r>
      <w:r w:rsidRPr="0019446B">
        <w:rPr>
          <w:sz w:val="24"/>
          <w:szCs w:val="24"/>
        </w:rPr>
        <w:t xml:space="preserve"> estabelecerem que a sentença obrigatoriamente sujeita ao duplo grau de jurisdição é aquela que concede a segurança, o Órgão Especial, por maioria, conheceu do reexame necessário na hipótese em que denegada a segurança em </w:t>
      </w:r>
      <w:r w:rsidRPr="0019446B">
        <w:rPr>
          <w:i/>
          <w:sz w:val="24"/>
          <w:szCs w:val="24"/>
        </w:rPr>
        <w:t>mandamus</w:t>
      </w:r>
      <w:r w:rsidRPr="0019446B">
        <w:rPr>
          <w:sz w:val="24"/>
          <w:szCs w:val="24"/>
        </w:rPr>
        <w:t xml:space="preserve"> impetrado por ente público. Prevaleceu o entendimento de que toda decisão que cause prejuízo ao erário, seja a pessoa jurídica de direito público impetrante ou impetrado, somente tem eficácia depois de reexaminada pelo órgão superior. Vencidos os Ministros Renato de Lacerda Paiva, Maria Cristina</w:t>
      </w:r>
      <w:r>
        <w:rPr>
          <w:sz w:val="24"/>
          <w:szCs w:val="24"/>
        </w:rPr>
        <w:t xml:space="preserve"> Irigoyen</w:t>
      </w:r>
      <w:r w:rsidRPr="0019446B">
        <w:rPr>
          <w:sz w:val="24"/>
          <w:szCs w:val="24"/>
        </w:rPr>
        <w:t xml:space="preserve"> Peduzzi, Alberto </w:t>
      </w:r>
      <w:r>
        <w:rPr>
          <w:sz w:val="24"/>
          <w:szCs w:val="24"/>
        </w:rPr>
        <w:t xml:space="preserve">Luiz </w:t>
      </w:r>
      <w:r w:rsidRPr="0019446B">
        <w:rPr>
          <w:sz w:val="24"/>
          <w:szCs w:val="24"/>
        </w:rPr>
        <w:t>Bresciani</w:t>
      </w:r>
      <w:r>
        <w:rPr>
          <w:sz w:val="24"/>
          <w:szCs w:val="24"/>
        </w:rPr>
        <w:t xml:space="preserve"> de Fontan Pereira</w:t>
      </w:r>
      <w:r w:rsidRPr="0019446B">
        <w:rPr>
          <w:sz w:val="24"/>
          <w:szCs w:val="24"/>
        </w:rPr>
        <w:t>, Fernando Eizo Ono e Márcio Eurico Vitral Amaro.</w:t>
      </w:r>
      <w:r>
        <w:rPr>
          <w:sz w:val="23"/>
          <w:szCs w:val="23"/>
        </w:rPr>
        <w:t xml:space="preserve"> </w:t>
      </w:r>
      <w:hyperlink r:id="rId8" w:history="1">
        <w:r w:rsidRPr="000F25D1">
          <w:rPr>
            <w:rStyle w:val="Hyperlink"/>
            <w:sz w:val="24"/>
            <w:szCs w:val="24"/>
          </w:rPr>
          <w:t>TST-ReeNec e RO 8275200-96.2009.5.02.0000</w:t>
        </w:r>
      </w:hyperlink>
      <w:r w:rsidRPr="0019446B">
        <w:rPr>
          <w:sz w:val="24"/>
          <w:szCs w:val="24"/>
          <w:u w:val="single"/>
        </w:rPr>
        <w:t>, Órgão Especial, rel. Min. Alberto Luiz Bresciani de Fontan Pereira, 6.8.2012</w:t>
      </w:r>
    </w:p>
    <w:p w:rsidR="009E5EF0" w:rsidRPr="009E5EF0" w:rsidRDefault="009E5EF0" w:rsidP="006145AC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10"/>
          <w:szCs w:val="10"/>
          <w:lang w:val="pt-BR"/>
        </w:rPr>
      </w:pPr>
    </w:p>
    <w:p w:rsidR="009E5EF0" w:rsidRPr="00B619D7" w:rsidRDefault="009E5EF0" w:rsidP="009E5EF0">
      <w:pPr>
        <w:jc w:val="both"/>
        <w:rPr>
          <w:b/>
          <w:i/>
          <w:sz w:val="24"/>
          <w:szCs w:val="24"/>
        </w:rPr>
      </w:pPr>
      <w:r w:rsidRPr="00B619D7">
        <w:rPr>
          <w:b/>
          <w:i/>
          <w:sz w:val="24"/>
          <w:szCs w:val="24"/>
        </w:rPr>
        <w:t xml:space="preserve">Precatório. Doença grave. Risco de morte ou de debilidade permanente. Sequestro de valores. Possibilidade. Limitação a três vezes o valor de requisição de pequeno valor. </w:t>
      </w:r>
      <w:r>
        <w:rPr>
          <w:b/>
          <w:i/>
          <w:sz w:val="24"/>
          <w:szCs w:val="24"/>
        </w:rPr>
        <w:t>Credor falecido no curso do processo. Transferência da preferência aos sucessores.</w:t>
      </w:r>
    </w:p>
    <w:p w:rsidR="009E5EF0" w:rsidRDefault="009E5EF0" w:rsidP="009E5EF0">
      <w:pPr>
        <w:adjustRightInd w:val="0"/>
        <w:jc w:val="both"/>
        <w:rPr>
          <w:sz w:val="24"/>
          <w:szCs w:val="24"/>
          <w:u w:val="single"/>
        </w:rPr>
      </w:pPr>
      <w:r w:rsidRPr="00B619D7">
        <w:rPr>
          <w:sz w:val="24"/>
          <w:szCs w:val="24"/>
        </w:rPr>
        <w:t xml:space="preserve">A pessoa acometida de doença grave, a qual acarrete risco de morte ou iminente perigo de  debilidade permanente e irreversível, não se submete à tramitação preferencial dos precatórios de créditos junto à Fazenda Pública prevista no § 2º do art. 100 da CF, sendo possível o denominado “sequestro humanitário”, </w:t>
      </w:r>
      <w:r>
        <w:rPr>
          <w:sz w:val="24"/>
          <w:szCs w:val="24"/>
        </w:rPr>
        <w:t>l</w:t>
      </w:r>
      <w:r w:rsidRPr="00B619D7">
        <w:rPr>
          <w:sz w:val="24"/>
          <w:szCs w:val="24"/>
        </w:rPr>
        <w:t>imitado</w:t>
      </w:r>
      <w:r>
        <w:rPr>
          <w:sz w:val="24"/>
          <w:szCs w:val="24"/>
        </w:rPr>
        <w:t>, todavia,</w:t>
      </w:r>
      <w:r w:rsidRPr="00B619D7">
        <w:rPr>
          <w:sz w:val="24"/>
          <w:szCs w:val="24"/>
        </w:rPr>
        <w:t xml:space="preserve"> a três vezes a quantia de requisição de pequeno valor a que se refere os §§ 2º e 3º do art. 100 da CF. </w:t>
      </w:r>
      <w:r>
        <w:rPr>
          <w:sz w:val="24"/>
          <w:szCs w:val="24"/>
        </w:rPr>
        <w:t xml:space="preserve">Outrossim, o falecimento do credor no curso da ação em que se pleiteia a liberação dos valores não tem o condão de retornar o precatório à ordem cronológica original, transferindo aos sucessores a preferência adquirida em razão da doença. </w:t>
      </w:r>
      <w:r w:rsidRPr="00144B41">
        <w:rPr>
          <w:sz w:val="24"/>
          <w:szCs w:val="24"/>
        </w:rPr>
        <w:t xml:space="preserve">Com esse entendimento, o Órgão Especial, por maioria, não conheceu do recurso ordinário no tocante aos valores já liberados, em função da perda de objeto, e conheceu e deu provimento parcial, no que diz respeito aos valores ainda não liberados, para limitar o sequestro ao triplo da requisição de pequeno valor, nos termos do § 2º do art. 100 da CF. Vencidos os Ministros Ives Gandra </w:t>
      </w:r>
      <w:r>
        <w:rPr>
          <w:sz w:val="24"/>
          <w:szCs w:val="24"/>
        </w:rPr>
        <w:t xml:space="preserve">Martins </w:t>
      </w:r>
      <w:r w:rsidRPr="00144B41">
        <w:rPr>
          <w:sz w:val="24"/>
          <w:szCs w:val="24"/>
        </w:rPr>
        <w:t>Filho, Antônio José de Barros Levenhagen, Fernando Eizo Ono e Guilherme Augusto Caputo Bastos, os quais davam provimento ao recurso para denegar a segurança e não admitir o sequestro</w:t>
      </w:r>
      <w:r w:rsidR="007201FF">
        <w:rPr>
          <w:sz w:val="24"/>
          <w:szCs w:val="24"/>
        </w:rPr>
        <w:t>,</w:t>
      </w:r>
      <w:r w:rsidRPr="00144B41">
        <w:rPr>
          <w:sz w:val="24"/>
          <w:szCs w:val="24"/>
        </w:rPr>
        <w:t xml:space="preserve"> ao argumento de que o benefício é personalíssimo, não se transferindo ao espólio.</w:t>
      </w:r>
      <w:r w:rsidR="000F25D1" w:rsidRPr="000F25D1">
        <w:rPr>
          <w:sz w:val="24"/>
          <w:szCs w:val="24"/>
        </w:rPr>
        <w:t xml:space="preserve"> </w:t>
      </w:r>
      <w:hyperlink r:id="rId9" w:history="1">
        <w:r w:rsidRPr="000F25D1">
          <w:rPr>
            <w:rStyle w:val="Hyperlink"/>
            <w:sz w:val="24"/>
            <w:szCs w:val="24"/>
          </w:rPr>
          <w:t>TST-ReeNec e RO-8069000-57.2009.5.02.0000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Órgão Especial, </w:t>
      </w:r>
      <w:r w:rsidRPr="003D032E">
        <w:rPr>
          <w:sz w:val="24"/>
          <w:szCs w:val="24"/>
          <w:u w:val="single"/>
        </w:rPr>
        <w:t xml:space="preserve">Min. </w:t>
      </w:r>
      <w:r>
        <w:rPr>
          <w:sz w:val="24"/>
          <w:szCs w:val="24"/>
          <w:u w:val="single"/>
        </w:rPr>
        <w:t>Dora Maria da Costa, 6.8.2012</w:t>
      </w:r>
    </w:p>
    <w:p w:rsidR="009E5EF0" w:rsidRPr="009E5EF0" w:rsidRDefault="009E5EF0" w:rsidP="006145AC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10"/>
          <w:szCs w:val="10"/>
          <w:lang w:val="pt-BR"/>
        </w:rPr>
      </w:pPr>
    </w:p>
    <w:p w:rsidR="009E5EF0" w:rsidRDefault="009E5EF0" w:rsidP="009E5EF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Matéria administrativa. Pedido de remoção de magistrado para outro TRT.  Recurso para o TST. Incabível. Ausência de previsão regimental. </w:t>
      </w:r>
      <w:r w:rsidRPr="003D032E">
        <w:rPr>
          <w:b/>
          <w:i/>
          <w:sz w:val="24"/>
          <w:szCs w:val="24"/>
        </w:rPr>
        <w:t xml:space="preserve"> </w:t>
      </w:r>
    </w:p>
    <w:p w:rsidR="009E5EF0" w:rsidRDefault="009E5EF0" w:rsidP="009E5EF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Não cabe recurso administrativo para o TST interposto contra decisão do Pleno de Tribunal Regional do Trabalho que indefere pedido de remoção de juiz substituto para outro TRT, uma vez que o Regimento Interno do TST limita a competência do Órgão Especial, para apreciar recursos em face de </w:t>
      </w:r>
      <w:r w:rsidRPr="00D670EB">
        <w:rPr>
          <w:sz w:val="24"/>
          <w:szCs w:val="24"/>
        </w:rPr>
        <w:t>decisões dos</w:t>
      </w:r>
      <w:r>
        <w:rPr>
          <w:sz w:val="24"/>
          <w:szCs w:val="24"/>
        </w:rPr>
        <w:t xml:space="preserve"> Regionais em matéria administrativa, às hipóteses</w:t>
      </w:r>
      <w:r w:rsidRPr="00D670EB">
        <w:rPr>
          <w:rFonts w:ascii="Verdana" w:hAnsi="Verdana"/>
          <w:sz w:val="24"/>
          <w:szCs w:val="24"/>
        </w:rPr>
        <w:t xml:space="preserve"> </w:t>
      </w:r>
      <w:r w:rsidRPr="00D670EB">
        <w:rPr>
          <w:sz w:val="24"/>
          <w:szCs w:val="24"/>
        </w:rPr>
        <w:t>disciplinar</w:t>
      </w:r>
      <w:r>
        <w:rPr>
          <w:sz w:val="24"/>
          <w:szCs w:val="24"/>
        </w:rPr>
        <w:t>es envolvendo magistrado e</w:t>
      </w:r>
      <w:r w:rsidRPr="00D670EB">
        <w:rPr>
          <w:sz w:val="24"/>
          <w:szCs w:val="24"/>
        </w:rPr>
        <w:t xml:space="preserve"> estritamente para controle da legalidade</w:t>
      </w:r>
      <w:r>
        <w:rPr>
          <w:sz w:val="24"/>
          <w:szCs w:val="24"/>
        </w:rPr>
        <w:t xml:space="preserve"> (RITST, art. 69, II, “q”). </w:t>
      </w:r>
      <w:r w:rsidRPr="003D032E">
        <w:rPr>
          <w:sz w:val="24"/>
          <w:szCs w:val="24"/>
        </w:rPr>
        <w:t xml:space="preserve">Com esse entendimento, </w:t>
      </w:r>
      <w:r>
        <w:rPr>
          <w:sz w:val="24"/>
          <w:szCs w:val="24"/>
        </w:rPr>
        <w:t>o Órgão Especial</w:t>
      </w:r>
      <w:r w:rsidRPr="003D032E">
        <w:rPr>
          <w:sz w:val="24"/>
          <w:szCs w:val="24"/>
        </w:rPr>
        <w:t xml:space="preserve">, por unanimidade, não conheceu do </w:t>
      </w:r>
      <w:r>
        <w:rPr>
          <w:sz w:val="24"/>
          <w:szCs w:val="24"/>
        </w:rPr>
        <w:t>recurso</w:t>
      </w:r>
      <w:r w:rsidRPr="003D03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10" w:history="1">
        <w:r w:rsidRPr="000F25D1">
          <w:rPr>
            <w:rStyle w:val="Hyperlink"/>
            <w:sz w:val="24"/>
            <w:szCs w:val="24"/>
          </w:rPr>
          <w:t>TST-RecAdm-245-79.2012.5.14.0000</w:t>
        </w:r>
      </w:hyperlink>
      <w:r w:rsidRPr="009B09F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Órgão Especial,</w:t>
      </w:r>
      <w:r w:rsidRPr="009B09F2">
        <w:rPr>
          <w:sz w:val="24"/>
          <w:szCs w:val="24"/>
          <w:u w:val="single"/>
        </w:rPr>
        <w:t xml:space="preserve"> rel. Min. Dora Maria da Costa, 6.8.2012</w:t>
      </w:r>
    </w:p>
    <w:p w:rsidR="009E5EF0" w:rsidRDefault="009E5EF0" w:rsidP="006145AC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lang w:val="pt-BR"/>
        </w:rPr>
      </w:pPr>
    </w:p>
    <w:p w:rsidR="00C71A3B" w:rsidRPr="005D1DE4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9E5EF0" w:rsidRPr="00CA094B" w:rsidRDefault="009E5EF0" w:rsidP="009E5EF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Recurso ordinário. </w:t>
      </w:r>
      <w:r w:rsidRPr="00CA094B">
        <w:rPr>
          <w:b/>
          <w:i/>
          <w:sz w:val="24"/>
          <w:szCs w:val="24"/>
        </w:rPr>
        <w:t xml:space="preserve">Depósito recursal. </w:t>
      </w:r>
      <w:r>
        <w:rPr>
          <w:b/>
          <w:i/>
          <w:sz w:val="24"/>
          <w:szCs w:val="24"/>
        </w:rPr>
        <w:t>Inclusão das c</w:t>
      </w:r>
      <w:r w:rsidRPr="00CA094B">
        <w:rPr>
          <w:b/>
          <w:i/>
          <w:sz w:val="24"/>
          <w:szCs w:val="24"/>
        </w:rPr>
        <w:t xml:space="preserve">ontribuições previdenciárias. </w:t>
      </w:r>
      <w:r>
        <w:rPr>
          <w:b/>
          <w:i/>
          <w:sz w:val="24"/>
          <w:szCs w:val="24"/>
        </w:rPr>
        <w:t xml:space="preserve">Ausência de previsão no ordenamento jurídico. </w:t>
      </w:r>
      <w:r w:rsidRPr="00CA094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 w:rsidRPr="00CA094B">
        <w:rPr>
          <w:b/>
          <w:i/>
          <w:sz w:val="24"/>
          <w:szCs w:val="24"/>
        </w:rPr>
        <w:t>eserção</w:t>
      </w:r>
      <w:r>
        <w:rPr>
          <w:b/>
          <w:i/>
          <w:sz w:val="24"/>
          <w:szCs w:val="24"/>
        </w:rPr>
        <w:t>. Não configuração.</w:t>
      </w:r>
    </w:p>
    <w:p w:rsidR="009E5EF0" w:rsidRPr="00CA094B" w:rsidRDefault="009E5EF0" w:rsidP="009E5EF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Não encontra previsão no ordenamento jurídico pátrio </w:t>
      </w:r>
      <w:r w:rsidRPr="00CA094B">
        <w:rPr>
          <w:sz w:val="24"/>
          <w:szCs w:val="24"/>
        </w:rPr>
        <w:t>a exigência de recolhimento, a título de depósito recursal, do montante atribuído às contribuições previdenciárias</w:t>
      </w:r>
      <w:r>
        <w:rPr>
          <w:sz w:val="24"/>
          <w:szCs w:val="24"/>
        </w:rPr>
        <w:t xml:space="preserve"> em acréscimo</w:t>
      </w:r>
      <w:r w:rsidRPr="00CA094B">
        <w:rPr>
          <w:sz w:val="24"/>
          <w:szCs w:val="24"/>
        </w:rPr>
        <w:t xml:space="preserve"> </w:t>
      </w:r>
      <w:r>
        <w:rPr>
          <w:sz w:val="24"/>
          <w:szCs w:val="24"/>
        </w:rPr>
        <w:t>ao valor da condenação</w:t>
      </w:r>
      <w:r w:rsidRPr="00CA094B">
        <w:rPr>
          <w:sz w:val="24"/>
          <w:szCs w:val="24"/>
        </w:rPr>
        <w:t>. Nos termos da Instrução No</w:t>
      </w:r>
      <w:r w:rsidR="007201FF">
        <w:rPr>
          <w:sz w:val="24"/>
          <w:szCs w:val="24"/>
        </w:rPr>
        <w:t>rmativa nº 3, item I, do TST e d</w:t>
      </w:r>
      <w:r w:rsidRPr="00CA094B">
        <w:rPr>
          <w:sz w:val="24"/>
          <w:szCs w:val="24"/>
        </w:rPr>
        <w:t>o art. 83 da Consolidação dos Provimentos da Corregedoria-Geral da Justiça do Trabalho, o pagamento da contribuição previdenciária somente é devido quando finda a execução, pois, no momento em que proferida a sentença, não há certeza acerca das parcelas objeto da condenação, uma vez que</w:t>
      </w:r>
      <w:r>
        <w:rPr>
          <w:sz w:val="24"/>
          <w:szCs w:val="24"/>
        </w:rPr>
        <w:t>,</w:t>
      </w:r>
      <w:r w:rsidRPr="00CA094B">
        <w:rPr>
          <w:sz w:val="24"/>
          <w:szCs w:val="24"/>
        </w:rPr>
        <w:t xml:space="preserve"> em caso de provimento de </w:t>
      </w:r>
      <w:r>
        <w:rPr>
          <w:sz w:val="24"/>
          <w:szCs w:val="24"/>
        </w:rPr>
        <w:t xml:space="preserve">eventuais </w:t>
      </w:r>
      <w:r w:rsidRPr="00CA094B">
        <w:rPr>
          <w:sz w:val="24"/>
          <w:szCs w:val="24"/>
        </w:rPr>
        <w:t>recursos</w:t>
      </w:r>
      <w:r>
        <w:rPr>
          <w:sz w:val="24"/>
          <w:szCs w:val="24"/>
        </w:rPr>
        <w:t>,</w:t>
      </w:r>
      <w:r w:rsidRPr="00CA094B">
        <w:rPr>
          <w:sz w:val="24"/>
          <w:szCs w:val="24"/>
        </w:rPr>
        <w:t xml:space="preserve"> os valores podem ser alterados. Assim, a SBDI-I, por maioria, </w:t>
      </w:r>
      <w:r>
        <w:rPr>
          <w:sz w:val="24"/>
          <w:szCs w:val="24"/>
        </w:rPr>
        <w:t xml:space="preserve">afastando a deserção do recurso ordinário, </w:t>
      </w:r>
      <w:r w:rsidRPr="00CA094B">
        <w:rPr>
          <w:sz w:val="24"/>
          <w:szCs w:val="24"/>
        </w:rPr>
        <w:t>conheceu dos embargos e, no mérito, deu-lhes provimento para determinar o retorno dos autos ao TRT</w:t>
      </w:r>
      <w:r>
        <w:rPr>
          <w:sz w:val="24"/>
          <w:szCs w:val="24"/>
        </w:rPr>
        <w:t xml:space="preserve"> de origem</w:t>
      </w:r>
      <w:r w:rsidRPr="00CA094B">
        <w:rPr>
          <w:sz w:val="24"/>
          <w:szCs w:val="24"/>
        </w:rPr>
        <w:t xml:space="preserve">, a fim de que julgue o recurso ordinário da reclamada como entender de direito. Vencido o Ministro </w:t>
      </w:r>
      <w:r w:rsidRPr="00CA094B">
        <w:rPr>
          <w:color w:val="000000"/>
          <w:sz w:val="24"/>
          <w:szCs w:val="24"/>
        </w:rPr>
        <w:t>Ives Gandra Martins Filho.</w:t>
      </w:r>
      <w:r w:rsidRPr="00CA094B">
        <w:rPr>
          <w:sz w:val="24"/>
          <w:szCs w:val="24"/>
        </w:rPr>
        <w:t xml:space="preserve"> </w:t>
      </w:r>
      <w:hyperlink r:id="rId11" w:history="1">
        <w:r w:rsidRPr="000F25D1">
          <w:rPr>
            <w:rStyle w:val="Hyperlink"/>
            <w:sz w:val="24"/>
            <w:szCs w:val="24"/>
          </w:rPr>
          <w:t>TST-E-RR-136600-30.2008.5.23.0051</w:t>
        </w:r>
      </w:hyperlink>
      <w:r w:rsidRPr="00CA094B">
        <w:rPr>
          <w:sz w:val="24"/>
          <w:szCs w:val="24"/>
          <w:u w:val="single"/>
        </w:rPr>
        <w:t>, SBDI-I, rel. Min. Luiz Philippe Vieira de Mello Filho, 2.8.2012</w:t>
      </w:r>
    </w:p>
    <w:p w:rsidR="002C2904" w:rsidRPr="005D1DE4" w:rsidRDefault="002C2904" w:rsidP="002C2904">
      <w:pPr>
        <w:ind w:right="-567"/>
        <w:jc w:val="both"/>
        <w:rPr>
          <w:sz w:val="10"/>
          <w:szCs w:val="10"/>
        </w:rPr>
      </w:pPr>
    </w:p>
    <w:p w:rsidR="009E5EF0" w:rsidRPr="001E7AC5" w:rsidRDefault="009E5EF0" w:rsidP="009E5EF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Gratificação de função percebida por mais de dez anos</w:t>
      </w:r>
      <w:r w:rsidRPr="001E7AC5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Incorporação a menor. Prescrição parcial. </w:t>
      </w:r>
      <w:r w:rsidRPr="001E7AC5">
        <w:rPr>
          <w:b/>
          <w:i/>
          <w:sz w:val="24"/>
          <w:szCs w:val="24"/>
        </w:rPr>
        <w:t xml:space="preserve">Súmula nº </w:t>
      </w:r>
      <w:r>
        <w:rPr>
          <w:b/>
          <w:i/>
          <w:sz w:val="24"/>
          <w:szCs w:val="24"/>
        </w:rPr>
        <w:t>294</w:t>
      </w:r>
      <w:r w:rsidRPr="001E7AC5">
        <w:rPr>
          <w:b/>
          <w:i/>
          <w:sz w:val="24"/>
          <w:szCs w:val="24"/>
        </w:rPr>
        <w:t xml:space="preserve"> do TST.</w:t>
      </w:r>
    </w:p>
    <w:p w:rsidR="009E5EF0" w:rsidRDefault="009E5EF0" w:rsidP="009E5EF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incorporação </w:t>
      </w:r>
      <w:r w:rsidRPr="00960F3E">
        <w:rPr>
          <w:sz w:val="24"/>
          <w:szCs w:val="24"/>
        </w:rPr>
        <w:t xml:space="preserve">a menor de gratificação de função percebida por mais de dez anos consiste em ato lesivo sucessivo, cuja omissão no pagamento integral </w:t>
      </w:r>
      <w:r w:rsidR="007201FF">
        <w:rPr>
          <w:sz w:val="24"/>
          <w:szCs w:val="24"/>
        </w:rPr>
        <w:t xml:space="preserve">se </w:t>
      </w:r>
      <w:r w:rsidRPr="00960F3E">
        <w:rPr>
          <w:sz w:val="24"/>
          <w:szCs w:val="24"/>
        </w:rPr>
        <w:t>renova mês a mês, a determinar a incidência da prescrição parcial</w:t>
      </w:r>
      <w:r>
        <w:rPr>
          <w:sz w:val="24"/>
          <w:szCs w:val="24"/>
        </w:rPr>
        <w:t xml:space="preserve"> (Súmula nº 294 do TST)</w:t>
      </w:r>
      <w:r w:rsidRPr="00960F3E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960F3E">
        <w:rPr>
          <w:sz w:val="24"/>
          <w:szCs w:val="24"/>
        </w:rPr>
        <w:t xml:space="preserve"> não atinge o fundo do direito, mas apenas as parcelas anteriores a cinco anos do ajuizamento da ação</w:t>
      </w:r>
      <w:r>
        <w:rPr>
          <w:sz w:val="24"/>
          <w:szCs w:val="24"/>
        </w:rPr>
        <w:t>.</w:t>
      </w:r>
      <w:r w:rsidRPr="00960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 base nesse entendimento, </w:t>
      </w:r>
      <w:r w:rsidRPr="001E7AC5">
        <w:rPr>
          <w:sz w:val="24"/>
          <w:szCs w:val="24"/>
        </w:rPr>
        <w:t xml:space="preserve">a SBDI-I, por maioria, conheceu dos embargos por </w:t>
      </w:r>
      <w:r>
        <w:rPr>
          <w:sz w:val="24"/>
          <w:szCs w:val="24"/>
        </w:rPr>
        <w:t>divergência jurisprudencial</w:t>
      </w:r>
      <w:r w:rsidRPr="001E7AC5">
        <w:rPr>
          <w:sz w:val="24"/>
          <w:szCs w:val="24"/>
        </w:rPr>
        <w:t xml:space="preserve"> e, no mérito, deu-lhes provimento para </w:t>
      </w:r>
      <w:r>
        <w:rPr>
          <w:sz w:val="24"/>
          <w:szCs w:val="24"/>
        </w:rPr>
        <w:t xml:space="preserve">afastar a prescrição total e </w:t>
      </w:r>
      <w:r w:rsidRPr="001E7AC5">
        <w:rPr>
          <w:sz w:val="24"/>
          <w:szCs w:val="24"/>
        </w:rPr>
        <w:t xml:space="preserve">determinar o retorno dos autos à </w:t>
      </w:r>
      <w:r>
        <w:rPr>
          <w:sz w:val="24"/>
          <w:szCs w:val="24"/>
        </w:rPr>
        <w:t xml:space="preserve">Turma de origem </w:t>
      </w:r>
      <w:r w:rsidRPr="001E7AC5">
        <w:rPr>
          <w:sz w:val="24"/>
          <w:szCs w:val="24"/>
        </w:rPr>
        <w:t xml:space="preserve">a fim de que </w:t>
      </w:r>
      <w:r>
        <w:rPr>
          <w:sz w:val="24"/>
          <w:szCs w:val="24"/>
        </w:rPr>
        <w:t>prossiga no julgamento do mérito</w:t>
      </w:r>
      <w:r w:rsidRPr="001E7AC5">
        <w:rPr>
          <w:sz w:val="24"/>
          <w:szCs w:val="24"/>
        </w:rPr>
        <w:t xml:space="preserve">, como entender de direito. Vencidos os Ministros Ives Gandra Martins Filho, </w:t>
      </w:r>
      <w:r>
        <w:rPr>
          <w:sz w:val="24"/>
          <w:szCs w:val="24"/>
        </w:rPr>
        <w:t xml:space="preserve">Renato de Lacerda Paiva </w:t>
      </w:r>
      <w:r w:rsidRPr="001E7AC5">
        <w:rPr>
          <w:sz w:val="24"/>
          <w:szCs w:val="24"/>
        </w:rPr>
        <w:t>e</w:t>
      </w:r>
      <w:r>
        <w:rPr>
          <w:sz w:val="24"/>
          <w:szCs w:val="24"/>
        </w:rPr>
        <w:t xml:space="preserve"> Maria Cristina Irigoyen Peduzzi</w:t>
      </w:r>
      <w:r w:rsidRPr="001E7AC5">
        <w:rPr>
          <w:sz w:val="24"/>
          <w:szCs w:val="24"/>
        </w:rPr>
        <w:t xml:space="preserve">. </w:t>
      </w:r>
      <w:hyperlink r:id="rId12" w:history="1">
        <w:r w:rsidRPr="000F25D1">
          <w:rPr>
            <w:rStyle w:val="Hyperlink"/>
            <w:sz w:val="24"/>
            <w:szCs w:val="24"/>
          </w:rPr>
          <w:t>TST-E-ED-RR-24200-91.2009.5.09.0095</w:t>
        </w:r>
      </w:hyperlink>
      <w:r w:rsidRPr="001E7AC5">
        <w:rPr>
          <w:sz w:val="24"/>
          <w:szCs w:val="24"/>
          <w:u w:val="single"/>
        </w:rPr>
        <w:t xml:space="preserve">, SBDI-I, rel. Min. </w:t>
      </w:r>
      <w:r>
        <w:rPr>
          <w:color w:val="000000"/>
          <w:sz w:val="24"/>
          <w:szCs w:val="24"/>
          <w:u w:val="single"/>
        </w:rPr>
        <w:t>Aloysio Corrêa da Veiga</w:t>
      </w:r>
      <w:r w:rsidRPr="001E7AC5">
        <w:rPr>
          <w:sz w:val="24"/>
          <w:szCs w:val="24"/>
          <w:u w:val="single"/>
        </w:rPr>
        <w:t>, 2.</w:t>
      </w:r>
      <w:r>
        <w:rPr>
          <w:sz w:val="24"/>
          <w:szCs w:val="24"/>
          <w:u w:val="single"/>
        </w:rPr>
        <w:t>8</w:t>
      </w:r>
      <w:r w:rsidRPr="001E7AC5">
        <w:rPr>
          <w:sz w:val="24"/>
          <w:szCs w:val="24"/>
          <w:u w:val="single"/>
        </w:rPr>
        <w:t>.2012</w:t>
      </w:r>
    </w:p>
    <w:p w:rsidR="00713DBE" w:rsidRPr="009E5EF0" w:rsidRDefault="00713DBE" w:rsidP="002C2904">
      <w:pPr>
        <w:ind w:right="-71"/>
        <w:jc w:val="both"/>
        <w:rPr>
          <w:sz w:val="10"/>
          <w:szCs w:val="10"/>
          <w:u w:val="single"/>
        </w:rPr>
      </w:pPr>
    </w:p>
    <w:p w:rsidR="009E5EF0" w:rsidRDefault="009E5EF0" w:rsidP="009E5EF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ED. Efeito modificativo. Não concessão de v</w:t>
      </w:r>
      <w:r w:rsidRPr="008B1549">
        <w:rPr>
          <w:b/>
          <w:i/>
          <w:sz w:val="24"/>
          <w:szCs w:val="24"/>
        </w:rPr>
        <w:t>ista à parte contrária</w:t>
      </w:r>
      <w:r>
        <w:rPr>
          <w:b/>
          <w:i/>
          <w:sz w:val="24"/>
          <w:szCs w:val="24"/>
        </w:rPr>
        <w:t xml:space="preserve">. </w:t>
      </w:r>
      <w:r w:rsidRPr="000E5AF4">
        <w:rPr>
          <w:b/>
          <w:i/>
          <w:sz w:val="24"/>
          <w:szCs w:val="24"/>
        </w:rPr>
        <w:t>Orientação Jurisprudencial</w:t>
      </w:r>
      <w:r>
        <w:rPr>
          <w:b/>
          <w:i/>
          <w:sz w:val="24"/>
          <w:szCs w:val="24"/>
        </w:rPr>
        <w:t xml:space="preserve"> n.º</w:t>
      </w:r>
      <w:r w:rsidRPr="000E5AF4">
        <w:rPr>
          <w:b/>
          <w:i/>
          <w:sz w:val="24"/>
          <w:szCs w:val="24"/>
        </w:rPr>
        <w:t xml:space="preserve"> 142</w:t>
      </w:r>
      <w:r>
        <w:rPr>
          <w:b/>
          <w:i/>
          <w:sz w:val="24"/>
          <w:szCs w:val="24"/>
        </w:rPr>
        <w:t>, I, da SBDI-I. N</w:t>
      </w:r>
      <w:r w:rsidRPr="008B1549">
        <w:rPr>
          <w:b/>
          <w:i/>
          <w:sz w:val="24"/>
          <w:szCs w:val="24"/>
        </w:rPr>
        <w:t>ão decretação de nulidade</w:t>
      </w:r>
      <w:r>
        <w:rPr>
          <w:b/>
          <w:i/>
          <w:sz w:val="24"/>
          <w:szCs w:val="24"/>
        </w:rPr>
        <w:t>. P</w:t>
      </w:r>
      <w:r w:rsidRPr="008B1549">
        <w:rPr>
          <w:b/>
          <w:i/>
          <w:sz w:val="24"/>
          <w:szCs w:val="24"/>
        </w:rPr>
        <w:t>ossibilidade</w:t>
      </w:r>
      <w:r>
        <w:rPr>
          <w:b/>
          <w:i/>
          <w:sz w:val="24"/>
          <w:szCs w:val="24"/>
        </w:rPr>
        <w:t>. A</w:t>
      </w:r>
      <w:r w:rsidRPr="008B1549">
        <w:rPr>
          <w:b/>
          <w:i/>
          <w:sz w:val="24"/>
          <w:szCs w:val="24"/>
        </w:rPr>
        <w:t>usência de prejuízo</w:t>
      </w:r>
      <w:r>
        <w:rPr>
          <w:b/>
          <w:i/>
          <w:sz w:val="24"/>
          <w:szCs w:val="24"/>
        </w:rPr>
        <w:t xml:space="preserve">. </w:t>
      </w:r>
    </w:p>
    <w:p w:rsidR="009E5EF0" w:rsidRPr="002D4D09" w:rsidRDefault="009E5EF0" w:rsidP="009E5EF0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 decisão que </w:t>
      </w:r>
      <w:r w:rsidRPr="008B1549">
        <w:rPr>
          <w:sz w:val="24"/>
          <w:szCs w:val="24"/>
        </w:rPr>
        <w:t xml:space="preserve">acolhe embargos declaratórios com efeito modificativo sem </w:t>
      </w:r>
      <w:r w:rsidR="007201FF">
        <w:rPr>
          <w:sz w:val="24"/>
          <w:szCs w:val="24"/>
        </w:rPr>
        <w:t>concessão de</w:t>
      </w:r>
      <w:r w:rsidRPr="008B1549">
        <w:rPr>
          <w:sz w:val="24"/>
          <w:szCs w:val="24"/>
        </w:rPr>
        <w:t xml:space="preserve"> vista à parte contrária</w:t>
      </w:r>
      <w:r>
        <w:rPr>
          <w:sz w:val="24"/>
          <w:szCs w:val="24"/>
        </w:rPr>
        <w:t xml:space="preserve"> é nula apenas se configurado manifesto prejuízo. Inteligência do item I da Orientação Jurisprudencial nº 142 da SBDI-I c/c o art. 794 da CLT, que fala em ser </w:t>
      </w:r>
      <w:r w:rsidR="007201FF">
        <w:rPr>
          <w:sz w:val="24"/>
          <w:szCs w:val="24"/>
        </w:rPr>
        <w:t xml:space="preserve">a decisão </w:t>
      </w:r>
      <w:r>
        <w:rPr>
          <w:sz w:val="24"/>
          <w:szCs w:val="24"/>
        </w:rPr>
        <w:t>“passível de nulidade”</w:t>
      </w:r>
      <w:r w:rsidR="007201FF">
        <w:rPr>
          <w:sz w:val="24"/>
          <w:szCs w:val="24"/>
        </w:rPr>
        <w:t>,</w:t>
      </w:r>
      <w:r>
        <w:rPr>
          <w:sz w:val="24"/>
          <w:szCs w:val="24"/>
        </w:rPr>
        <w:t xml:space="preserve"> e não nula </w:t>
      </w:r>
      <w:r>
        <w:rPr>
          <w:i/>
          <w:sz w:val="24"/>
          <w:szCs w:val="24"/>
        </w:rPr>
        <w:t>ipso facto</w:t>
      </w:r>
      <w:r>
        <w:rPr>
          <w:sz w:val="24"/>
          <w:szCs w:val="24"/>
        </w:rPr>
        <w:t>. Com esse entendimento, a SBDI-I, por maioria, vencido o Ministro Brito Pereira, não conheceu dos embargos. Na espécie, a decisão embargada consign</w:t>
      </w:r>
      <w:r w:rsidR="007201FF">
        <w:rPr>
          <w:sz w:val="24"/>
          <w:szCs w:val="24"/>
        </w:rPr>
        <w:t>ou</w:t>
      </w:r>
      <w:r>
        <w:rPr>
          <w:sz w:val="24"/>
          <w:szCs w:val="24"/>
        </w:rPr>
        <w:t xml:space="preserve"> que a única questão versada nos decl</w:t>
      </w:r>
      <w:r w:rsidR="007201FF">
        <w:rPr>
          <w:sz w:val="24"/>
          <w:szCs w:val="24"/>
        </w:rPr>
        <w:t>aratórios da reclamante decorrera</w:t>
      </w:r>
      <w:r>
        <w:rPr>
          <w:sz w:val="24"/>
          <w:szCs w:val="24"/>
        </w:rPr>
        <w:t xml:space="preserve"> de fatos conhecidos por ambas às partes, trazidos aos autos pela própria reclamada</w:t>
      </w:r>
      <w:r w:rsidR="007201FF">
        <w:rPr>
          <w:sz w:val="24"/>
          <w:szCs w:val="24"/>
        </w:rPr>
        <w:t>, e sobre o</w:t>
      </w:r>
      <w:r>
        <w:rPr>
          <w:sz w:val="24"/>
          <w:szCs w:val="24"/>
        </w:rPr>
        <w:t xml:space="preserve">s quais já </w:t>
      </w:r>
      <w:r w:rsidR="007201FF">
        <w:rPr>
          <w:sz w:val="24"/>
          <w:szCs w:val="24"/>
        </w:rPr>
        <w:t xml:space="preserve">se </w:t>
      </w:r>
      <w:r>
        <w:rPr>
          <w:sz w:val="24"/>
          <w:szCs w:val="24"/>
        </w:rPr>
        <w:t>havia manifestado exaustivamente.</w:t>
      </w:r>
      <w:r>
        <w:rPr>
          <w:b/>
          <w:i/>
          <w:sz w:val="24"/>
          <w:szCs w:val="24"/>
        </w:rPr>
        <w:t xml:space="preserve"> </w:t>
      </w:r>
      <w:hyperlink r:id="rId13" w:history="1">
        <w:r w:rsidRPr="005D69FF">
          <w:rPr>
            <w:rStyle w:val="Hyperlink"/>
            <w:sz w:val="24"/>
            <w:szCs w:val="24"/>
          </w:rPr>
          <w:t>TST-E-ED-RR-5121500-44.2002.5.01.0900</w:t>
        </w:r>
      </w:hyperlink>
      <w:r w:rsidRPr="000E5AF4">
        <w:rPr>
          <w:sz w:val="24"/>
          <w:szCs w:val="24"/>
          <w:u w:val="single"/>
        </w:rPr>
        <w:t>, SBDI-I, rel. Min. Ives Gandra da Silva Martins Filho, 2.8.2012</w:t>
      </w:r>
    </w:p>
    <w:p w:rsidR="009E5EF0" w:rsidRDefault="009E5EF0" w:rsidP="002C2904">
      <w:pPr>
        <w:ind w:right="-71"/>
        <w:jc w:val="both"/>
        <w:rPr>
          <w:sz w:val="24"/>
          <w:szCs w:val="24"/>
          <w:u w:val="single"/>
        </w:rPr>
      </w:pPr>
    </w:p>
    <w:p w:rsidR="00713DBE" w:rsidRDefault="00713DBE" w:rsidP="002C2904">
      <w:pPr>
        <w:ind w:right="-71"/>
        <w:jc w:val="both"/>
        <w:rPr>
          <w:sz w:val="24"/>
          <w:szCs w:val="24"/>
          <w:u w:val="single"/>
        </w:rPr>
      </w:pPr>
    </w:p>
    <w:p w:rsidR="00713DBE" w:rsidRDefault="00713DBE" w:rsidP="002C2904">
      <w:pPr>
        <w:ind w:right="-71"/>
        <w:jc w:val="both"/>
        <w:rPr>
          <w:sz w:val="24"/>
          <w:szCs w:val="24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10" w:rsidRDefault="00E35910">
      <w:r>
        <w:separator/>
      </w:r>
    </w:p>
  </w:endnote>
  <w:endnote w:type="continuationSeparator" w:id="0">
    <w:p w:rsidR="00E35910" w:rsidRDefault="00E3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01F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3A6E6A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10" w:rsidRDefault="00E35910">
      <w:r>
        <w:separator/>
      </w:r>
    </w:p>
  </w:footnote>
  <w:footnote w:type="continuationSeparator" w:id="0">
    <w:p w:rsidR="00E35910" w:rsidRDefault="00E3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  <w:r w:rsidR="00713DBE">
      <w:rPr>
        <w:shadow/>
        <w:sz w:val="24"/>
        <w:szCs w:val="24"/>
      </w:rPr>
      <w:t>6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713DBE">
      <w:rPr>
        <w:sz w:val="20"/>
        <w:szCs w:val="20"/>
      </w:rPr>
      <w:t>2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713DBE">
      <w:rPr>
        <w:sz w:val="20"/>
        <w:szCs w:val="20"/>
      </w:rPr>
      <w:t>6</w:t>
    </w:r>
    <w:r w:rsidR="00FE00AD" w:rsidRPr="00971E07">
      <w:rPr>
        <w:sz w:val="20"/>
        <w:szCs w:val="20"/>
      </w:rPr>
      <w:t xml:space="preserve"> de </w:t>
    </w:r>
    <w:r w:rsidR="00713DBE">
      <w:rPr>
        <w:sz w:val="20"/>
        <w:szCs w:val="20"/>
      </w:rPr>
      <w:t>agosto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5EDF" w:rsidRPr="002168DE">
      <w:rPr>
        <w:b/>
        <w:sz w:val="40"/>
        <w:szCs w:val="40"/>
      </w:rPr>
      <w:t>1</w:t>
    </w:r>
    <w:r w:rsidR="00713DBE">
      <w:rPr>
        <w:b/>
        <w:sz w:val="40"/>
        <w:szCs w:val="40"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713DBE">
      <w:rPr>
        <w:i/>
        <w:iCs/>
      </w:rPr>
      <w:t>2</w:t>
    </w:r>
    <w:r w:rsidR="00FE00AD" w:rsidRPr="005D1DE4">
      <w:rPr>
        <w:i/>
        <w:iCs/>
      </w:rPr>
      <w:t xml:space="preserve"> a </w:t>
    </w:r>
    <w:r w:rsidR="00713DBE">
      <w:rPr>
        <w:i/>
        <w:iCs/>
      </w:rPr>
      <w:t>6</w:t>
    </w:r>
    <w:r w:rsidR="00FE00AD" w:rsidRPr="005D1DE4">
      <w:rPr>
        <w:i/>
        <w:iCs/>
      </w:rPr>
      <w:t xml:space="preserve"> de </w:t>
    </w:r>
    <w:r w:rsidR="00713DBE">
      <w:rPr>
        <w:i/>
        <w:iCs/>
      </w:rPr>
      <w:t>agosto</w:t>
    </w:r>
    <w:r w:rsidR="00FE00AD" w:rsidRPr="005D1DE4">
      <w:rPr>
        <w:i/>
        <w:iCs/>
      </w:rPr>
      <w:t xml:space="preserve"> de 2012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0F25D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A6E6A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60D36"/>
    <w:rsid w:val="00672CF9"/>
    <w:rsid w:val="00672E11"/>
    <w:rsid w:val="0068273B"/>
    <w:rsid w:val="00691234"/>
    <w:rsid w:val="006931CC"/>
    <w:rsid w:val="006947F2"/>
    <w:rsid w:val="00697919"/>
    <w:rsid w:val="006B1FC2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13DBE"/>
    <w:rsid w:val="007201F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E5EF0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35910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basedOn w:val="Fontepargpadro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basedOn w:val="Fontepargpadro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basedOn w:val="Fontepargpadro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basedOn w:val="Fontepargpadro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paragraph" w:customStyle="1" w:styleId="Default">
    <w:name w:val="Default"/>
    <w:rsid w:val="009E5EF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8275200&amp;digitoTst=96&amp;anoTst=2009&amp;orgaoTst=5&amp;tribunalTst=02&amp;varaTst=0000" TargetMode="External"/><Relationship Id="rId13" Type="http://schemas.openxmlformats.org/officeDocument/2006/relationships/hyperlink" Target="https://aplicacao5.tst.jus.br/consultaProcessual/consultaTstNumUnica.do?consulta=Consultar&amp;conscsjt=&amp;numeroTst=5121500&amp;digitoTst=44&amp;anoTst=2002&amp;orgaoTst=5&amp;tribunalTst=01&amp;varaTst=09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24200&amp;digitoTst=91&amp;anoTst=2009&amp;orgaoTst=5&amp;tribunalTst=09&amp;varaTst=009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136600&amp;digitoTst=30&amp;anoTst=2008&amp;orgaoTst=5&amp;tribunalTst=23&amp;varaTst=00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licacao5.tst.jus.br/consultaProcessual/consultaTstNumUnica.do?consulta=Consultar&amp;conscsjt=&amp;numeroTst=245&amp;digitoTst=79&amp;anoTst=2012&amp;orgaoTst=5&amp;tribunalTst=14&amp;varaTst=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8069000&amp;digitoTst=57&amp;anoTst=2009&amp;orgaoTst=5&amp;tribunalTst=02&amp;varaTst=00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6F18-7A3A-436F-A0C1-143174BA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8320</CharactersWithSpaces>
  <SharedDoc>false</SharedDoc>
  <HLinks>
    <vt:vector size="36" baseType="variant"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https://aplicacao5.tst.jus.br/consultaProcessual/consultaTstNumUnica.do?consulta=Consultar&amp;conscsjt=&amp;numeroTst=5121500&amp;digitoTst=44&amp;anoTst=2002&amp;orgaoTst=5&amp;tribunalTst=01&amp;varaTst=0900</vt:lpwstr>
      </vt:variant>
      <vt:variant>
        <vt:lpwstr/>
      </vt:variant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https://aplicacao5.tst.jus.br/consultaProcessual/consultaTstNumUnica.do?consulta=Consultar&amp;conscsjt=&amp;numeroTst=24200&amp;digitoTst=91&amp;anoTst=2009&amp;orgaoTst=5&amp;tribunalTst=09&amp;varaTst=0095</vt:lpwstr>
      </vt:variant>
      <vt:variant>
        <vt:lpwstr/>
      </vt:variant>
      <vt:variant>
        <vt:i4>5374028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https://aplicacao5.tst.jus.br/consultaProcessual/consultaTstNumUnica.do?consulta=Consultar&amp;conscsjt=&amp;numeroTst=136600&amp;digitoTst=30&amp;anoTst=2008&amp;orgaoTst=5&amp;tribunalTst=23&amp;varaTst=0051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https://aplicacao5.tst.jus.br/consultaProcessual/consultaTstNumUnica.do?consulta=Consultar&amp;conscsjt=&amp;numeroTst=245&amp;digitoTst=79&amp;anoTst=2012&amp;orgaoTst=5&amp;tribunalTst=14&amp;varaTst=0000</vt:lpwstr>
      </vt:variant>
      <vt:variant>
        <vt:lpwstr/>
      </vt:variant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https://aplicacao5.tst.jus.br/consultaProcessual/consultaTstNumUnica.do?consulta=Consultar&amp;conscsjt=&amp;numeroTst=8069000&amp;digitoTst=57&amp;anoTst=2009&amp;orgaoTst=5&amp;tribunalTst=02&amp;varaTst=0000</vt:lpwstr>
      </vt:variant>
      <vt:variant>
        <vt:lpwstr/>
      </vt:variant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https://aplicacao5.tst.jus.br/consultaProcessual/consultaTstNumUnica.do?consulta=Consultar&amp;conscsjt=&amp;numeroTst=8275200&amp;digitoTst=96&amp;anoTst=2009&amp;orgaoTst=5&amp;tribunalTst=02&amp;varaTst=0000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dc:description/>
  <cp:lastModifiedBy>c041658</cp:lastModifiedBy>
  <cp:revision>2</cp:revision>
  <cp:lastPrinted>2012-08-08T15:41:00Z</cp:lastPrinted>
  <dcterms:created xsi:type="dcterms:W3CDTF">2018-06-27T22:31:00Z</dcterms:created>
  <dcterms:modified xsi:type="dcterms:W3CDTF">2018-06-27T22:31:00Z</dcterms:modified>
</cp:coreProperties>
</file>