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971E07" w:rsidRDefault="00422C34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COMISSÃO DE JURISPRUDÊNCIA E DE PRECEDENTES NORMATIVOS</w:t>
      </w:r>
    </w:p>
    <w:p w:rsidR="00FE00AD" w:rsidRDefault="00FE00AD" w:rsidP="00F82D8F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422C34" w:rsidRDefault="00422C34" w:rsidP="00422C34">
      <w:pPr>
        <w:pStyle w:val="Corpodetexto2"/>
        <w:rPr>
          <w:bCs/>
          <w:iCs/>
          <w:color w:val="000000"/>
          <w:sz w:val="24"/>
          <w:szCs w:val="24"/>
        </w:rPr>
      </w:pPr>
      <w:r w:rsidRPr="00242014">
        <w:rPr>
          <w:bCs/>
          <w:iCs/>
          <w:color w:val="000000"/>
          <w:sz w:val="24"/>
          <w:szCs w:val="24"/>
        </w:rPr>
        <w:t xml:space="preserve">A </w:t>
      </w:r>
      <w:r>
        <w:rPr>
          <w:bCs/>
          <w:iCs/>
          <w:color w:val="000000"/>
          <w:sz w:val="24"/>
          <w:szCs w:val="24"/>
        </w:rPr>
        <w:t xml:space="preserve">Comissão de Jurisprudência e de Precedentes Normativos, em cumprimento ao disposto no art.175 do RITST, publicou no DEJT de 28 </w:t>
      </w:r>
      <w:r>
        <w:rPr>
          <w:bCs/>
          <w:iCs/>
          <w:color w:val="000000"/>
          <w:sz w:val="24"/>
          <w:szCs w:val="24"/>
        </w:rPr>
        <w:tab/>
        <w:t>e 29/06/2012 e 02/07/2012 a edição das Orientações Jurisprudenciais de n</w:t>
      </w:r>
      <w:r w:rsidR="00A10171">
        <w:rPr>
          <w:bCs/>
          <w:iCs/>
          <w:color w:val="000000"/>
          <w:sz w:val="24"/>
          <w:szCs w:val="24"/>
        </w:rPr>
        <w:t>.</w:t>
      </w:r>
      <w:r w:rsidRPr="00242014">
        <w:rPr>
          <w:bCs/>
          <w:iCs/>
          <w:color w:val="000000"/>
          <w:sz w:val="24"/>
          <w:szCs w:val="24"/>
          <w:vertAlign w:val="superscript"/>
        </w:rPr>
        <w:t>os</w:t>
      </w:r>
      <w:r>
        <w:rPr>
          <w:bCs/>
          <w:iCs/>
          <w:color w:val="000000"/>
          <w:sz w:val="24"/>
          <w:szCs w:val="24"/>
        </w:rPr>
        <w:t xml:space="preserve"> 419 e 420 da SBDI-I:</w:t>
      </w:r>
    </w:p>
    <w:p w:rsidR="00422C34" w:rsidRPr="00422C34" w:rsidRDefault="00422C34" w:rsidP="00422C34">
      <w:pPr>
        <w:pStyle w:val="Corpodetexto2"/>
        <w:rPr>
          <w:bCs/>
          <w:iCs/>
          <w:color w:val="000000"/>
          <w:sz w:val="10"/>
          <w:szCs w:val="10"/>
        </w:rPr>
      </w:pPr>
    </w:p>
    <w:p w:rsidR="00422C34" w:rsidRDefault="00422C34" w:rsidP="00422C34">
      <w:pPr>
        <w:pStyle w:val="Corpodetexto2"/>
        <w:rPr>
          <w:b/>
          <w:bCs/>
          <w:iCs/>
          <w:color w:val="000000"/>
          <w:sz w:val="24"/>
          <w:szCs w:val="24"/>
        </w:rPr>
      </w:pPr>
      <w:r w:rsidRPr="004F17A1">
        <w:rPr>
          <w:b/>
          <w:bCs/>
          <w:sz w:val="24"/>
          <w:szCs w:val="24"/>
        </w:rPr>
        <w:t xml:space="preserve">OJ Nº </w:t>
      </w:r>
      <w:r>
        <w:rPr>
          <w:b/>
          <w:bCs/>
          <w:iCs/>
          <w:color w:val="000000"/>
          <w:sz w:val="24"/>
          <w:szCs w:val="24"/>
        </w:rPr>
        <w:t>419 DA SBDI-I</w:t>
      </w:r>
    </w:p>
    <w:p w:rsidR="00422C34" w:rsidRPr="00422C34" w:rsidRDefault="00422C34" w:rsidP="00422C34">
      <w:pPr>
        <w:autoSpaceDE/>
        <w:autoSpaceDN/>
        <w:jc w:val="both"/>
        <w:rPr>
          <w:rFonts w:ascii="Courier New" w:hAnsi="Courier New" w:cs="Courier New"/>
          <w:caps/>
          <w:snapToGrid w:val="0"/>
          <w:color w:val="000000"/>
          <w:sz w:val="12"/>
          <w:szCs w:val="12"/>
        </w:rPr>
      </w:pPr>
      <w:r w:rsidRPr="00422C34">
        <w:rPr>
          <w:bCs/>
          <w:sz w:val="24"/>
          <w:szCs w:val="24"/>
        </w:rPr>
        <w:t>ENQUADRAMENTO. EMPREGADO QUE EXERCE ATIVIDADE EM EMPRESA AGROINDUSTRIAL. DEFINIÇÃO PELA ATIVIDADE PREPONDERANTE DA EMPRESA.</w:t>
      </w:r>
    </w:p>
    <w:p w:rsidR="00422C34" w:rsidRPr="00422C34" w:rsidRDefault="00422C34" w:rsidP="00422C34">
      <w:pPr>
        <w:widowControl w:val="0"/>
        <w:autoSpaceDE/>
        <w:autoSpaceDN/>
        <w:jc w:val="both"/>
        <w:rPr>
          <w:b/>
          <w:bCs/>
          <w:color w:val="000000"/>
          <w:sz w:val="24"/>
        </w:rPr>
      </w:pPr>
      <w:r w:rsidRPr="00422C34">
        <w:rPr>
          <w:color w:val="000000"/>
          <w:sz w:val="24"/>
        </w:rPr>
        <w:t>Considera-se rurícola empregado que, a despeito da atividade exercida, presta serviços a empregador agroindustrial (art. 3º, § 1º, da Lei nº 5.889, de 08.06.1973), visto que, neste caso, é a atividade preponderante da empresa que determina o enquadramento.</w:t>
      </w:r>
    </w:p>
    <w:p w:rsidR="00422C34" w:rsidRPr="00422C34" w:rsidRDefault="00422C34" w:rsidP="00422C34">
      <w:pPr>
        <w:pStyle w:val="Corpodetexto2"/>
        <w:rPr>
          <w:bCs/>
          <w:iCs/>
          <w:color w:val="000000"/>
          <w:sz w:val="10"/>
          <w:szCs w:val="10"/>
        </w:rPr>
      </w:pPr>
    </w:p>
    <w:p w:rsidR="00422C34" w:rsidRDefault="00422C34" w:rsidP="00422C34">
      <w:pPr>
        <w:pStyle w:val="Corpodetexto2"/>
        <w:rPr>
          <w:b/>
          <w:bCs/>
          <w:iCs/>
          <w:color w:val="000000"/>
          <w:sz w:val="24"/>
          <w:szCs w:val="24"/>
        </w:rPr>
      </w:pPr>
      <w:r w:rsidRPr="004F17A1">
        <w:rPr>
          <w:b/>
          <w:bCs/>
          <w:sz w:val="24"/>
          <w:szCs w:val="24"/>
        </w:rPr>
        <w:t xml:space="preserve">OJ Nº </w:t>
      </w:r>
      <w:r>
        <w:rPr>
          <w:b/>
          <w:bCs/>
          <w:iCs/>
          <w:color w:val="000000"/>
          <w:sz w:val="24"/>
          <w:szCs w:val="24"/>
        </w:rPr>
        <w:t>420 DA SBDI-I</w:t>
      </w:r>
    </w:p>
    <w:p w:rsidR="00422C34" w:rsidRPr="00422C34" w:rsidRDefault="00422C34" w:rsidP="00422C34">
      <w:pPr>
        <w:pStyle w:val="Corpodetexto2"/>
        <w:rPr>
          <w:bCs/>
          <w:iCs/>
          <w:color w:val="000000"/>
          <w:sz w:val="24"/>
          <w:szCs w:val="24"/>
        </w:rPr>
      </w:pPr>
      <w:r w:rsidRPr="00422C34">
        <w:rPr>
          <w:bCs/>
          <w:iCs/>
          <w:color w:val="000000"/>
          <w:sz w:val="24"/>
          <w:szCs w:val="24"/>
        </w:rPr>
        <w:t xml:space="preserve">TURNOS ININTERRUPTOS DE REVEZAMENTO. ELASTECIMENTO DA JORNADA DE TRABALHO. NORMA COLETIVA COM EFICÁCIA RETROATIVA. INVALIDADE.  </w:t>
      </w:r>
    </w:p>
    <w:p w:rsidR="00422C34" w:rsidRPr="00422C34" w:rsidRDefault="00422C34" w:rsidP="00422C34">
      <w:pPr>
        <w:pStyle w:val="Corpodetexto2"/>
        <w:rPr>
          <w:bCs/>
          <w:iCs/>
          <w:color w:val="000000"/>
          <w:sz w:val="24"/>
          <w:szCs w:val="24"/>
        </w:rPr>
      </w:pPr>
      <w:r w:rsidRPr="00422C34">
        <w:rPr>
          <w:bCs/>
          <w:iCs/>
          <w:color w:val="000000"/>
          <w:sz w:val="24"/>
          <w:szCs w:val="24"/>
        </w:rPr>
        <w:t xml:space="preserve"> É inválido o instrumento normativo que, regularizando situações pretéritas, estabelece jornada de oito horas para o trabalho em turnos ininterruptos de revezamento</w:t>
      </w:r>
      <w:r>
        <w:rPr>
          <w:bCs/>
          <w:iCs/>
          <w:color w:val="000000"/>
          <w:sz w:val="24"/>
          <w:szCs w:val="24"/>
        </w:rPr>
        <w:t>.</w:t>
      </w:r>
    </w:p>
    <w:p w:rsidR="00422C34" w:rsidRPr="005D1DE4" w:rsidRDefault="00422C34" w:rsidP="00F82D8F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422C34" w:rsidRPr="00971E07" w:rsidRDefault="00422C34" w:rsidP="00422C34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FE00AD" w:rsidRPr="005D1DE4" w:rsidRDefault="00FE00AD" w:rsidP="00F82D8F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A10171" w:rsidRDefault="004C5FBA" w:rsidP="00304BB9">
      <w:pPr>
        <w:jc w:val="both"/>
        <w:rPr>
          <w:b/>
          <w:i/>
          <w:sz w:val="24"/>
          <w:szCs w:val="24"/>
        </w:rPr>
      </w:pPr>
      <w:r w:rsidRPr="00CB5CF6">
        <w:rPr>
          <w:b/>
          <w:i/>
          <w:sz w:val="24"/>
          <w:szCs w:val="24"/>
        </w:rPr>
        <w:t>Prêmio produtividade. A</w:t>
      </w:r>
      <w:r>
        <w:rPr>
          <w:b/>
          <w:i/>
          <w:sz w:val="24"/>
          <w:szCs w:val="24"/>
        </w:rPr>
        <w:t>lteração da natureza jurídica em</w:t>
      </w:r>
      <w:r w:rsidRPr="00CB5CF6">
        <w:rPr>
          <w:b/>
          <w:i/>
          <w:sz w:val="24"/>
          <w:szCs w:val="24"/>
        </w:rPr>
        <w:t xml:space="preserve"> norma coletiva. Impossibilidade.</w:t>
      </w:r>
      <w:r>
        <w:rPr>
          <w:b/>
          <w:i/>
          <w:sz w:val="24"/>
          <w:szCs w:val="24"/>
        </w:rPr>
        <w:t xml:space="preserve"> </w:t>
      </w:r>
    </w:p>
    <w:p w:rsidR="004C5FBA" w:rsidRPr="0019574A" w:rsidRDefault="004C5FBA" w:rsidP="00304BB9">
      <w:pPr>
        <w:jc w:val="both"/>
      </w:pPr>
      <w:r>
        <w:rPr>
          <w:sz w:val="24"/>
          <w:szCs w:val="24"/>
        </w:rPr>
        <w:t xml:space="preserve">A </w:t>
      </w:r>
      <w:r w:rsidRPr="004A3019">
        <w:rPr>
          <w:sz w:val="24"/>
          <w:szCs w:val="24"/>
        </w:rPr>
        <w:t>natureza ju</w:t>
      </w:r>
      <w:r>
        <w:rPr>
          <w:sz w:val="24"/>
          <w:szCs w:val="24"/>
        </w:rPr>
        <w:t xml:space="preserve">rídica do prêmio produtividade não pode ser alterada por meio de norma coletiva, tendo em vista o caráter indisponível da parcela, reconhecido, inclusive, pela jurisprudência do STF, </w:t>
      </w:r>
      <w:r w:rsidRPr="00F55026">
        <w:rPr>
          <w:sz w:val="24"/>
          <w:szCs w:val="24"/>
        </w:rPr>
        <w:t>consolidada na Súmula nº 209. Com esse entendimento, a</w:t>
      </w:r>
      <w:r>
        <w:rPr>
          <w:sz w:val="24"/>
          <w:szCs w:val="24"/>
        </w:rPr>
        <w:t xml:space="preserve"> SBDI-I</w:t>
      </w:r>
      <w:r w:rsidRPr="00F55026">
        <w:rPr>
          <w:sz w:val="24"/>
          <w:szCs w:val="24"/>
        </w:rPr>
        <w:t>, por unanimidade, conheceu dos e</w:t>
      </w:r>
      <w:r>
        <w:rPr>
          <w:sz w:val="24"/>
          <w:szCs w:val="24"/>
        </w:rPr>
        <w:t>mbargos por divergência jurisprudencial</w:t>
      </w:r>
      <w:r w:rsidRPr="00F55026">
        <w:rPr>
          <w:sz w:val="24"/>
          <w:szCs w:val="24"/>
        </w:rPr>
        <w:t xml:space="preserve"> e, no mérito, por maioria, negou-lhes provimento. Venc</w:t>
      </w:r>
      <w:r>
        <w:rPr>
          <w:sz w:val="24"/>
          <w:szCs w:val="24"/>
        </w:rPr>
        <w:t xml:space="preserve">ido o </w:t>
      </w:r>
      <w:r w:rsidRPr="00F55026">
        <w:rPr>
          <w:sz w:val="24"/>
          <w:szCs w:val="24"/>
        </w:rPr>
        <w:t>Ministro Ives Gandra</w:t>
      </w:r>
      <w:r>
        <w:rPr>
          <w:sz w:val="24"/>
          <w:szCs w:val="24"/>
        </w:rPr>
        <w:t xml:space="preserve"> </w:t>
      </w:r>
      <w:r w:rsidRPr="00F55026">
        <w:rPr>
          <w:sz w:val="24"/>
          <w:szCs w:val="24"/>
        </w:rPr>
        <w:t>Martins Filho.</w:t>
      </w:r>
      <w:r>
        <w:rPr>
          <w:sz w:val="24"/>
          <w:szCs w:val="24"/>
        </w:rPr>
        <w:t xml:space="preserve"> </w:t>
      </w:r>
      <w:hyperlink r:id="rId8" w:history="1">
        <w:r w:rsidRPr="00111E4A">
          <w:rPr>
            <w:rStyle w:val="Hyperlink"/>
            <w:sz w:val="24"/>
            <w:szCs w:val="24"/>
          </w:rPr>
          <w:t>TST-E-R</w:t>
        </w:r>
        <w:r w:rsidRPr="00111E4A">
          <w:rPr>
            <w:rStyle w:val="Hyperlink"/>
            <w:sz w:val="24"/>
            <w:szCs w:val="24"/>
          </w:rPr>
          <w:t>R</w:t>
        </w:r>
        <w:r w:rsidRPr="00111E4A">
          <w:rPr>
            <w:rStyle w:val="Hyperlink"/>
            <w:sz w:val="24"/>
            <w:szCs w:val="24"/>
          </w:rPr>
          <w:t>-36400-58.2007.5.09.0562</w:t>
        </w:r>
      </w:hyperlink>
      <w:r w:rsidRPr="00F55026">
        <w:rPr>
          <w:sz w:val="24"/>
          <w:szCs w:val="24"/>
          <w:u w:val="single"/>
        </w:rPr>
        <w:t xml:space="preserve">, SBDI-I, rel. </w:t>
      </w:r>
      <w:r>
        <w:rPr>
          <w:sz w:val="24"/>
          <w:szCs w:val="24"/>
          <w:u w:val="single"/>
        </w:rPr>
        <w:t>Min. João Batista Brito Pereira, 28.</w:t>
      </w:r>
      <w:r w:rsidRPr="00F55026">
        <w:rPr>
          <w:sz w:val="24"/>
          <w:szCs w:val="24"/>
          <w:u w:val="single"/>
        </w:rPr>
        <w:t>6.2012.</w:t>
      </w:r>
      <w:r>
        <w:rPr>
          <w:u w:val="single"/>
        </w:rPr>
        <w:t xml:space="preserve"> </w:t>
      </w:r>
    </w:p>
    <w:p w:rsidR="00B14F7F" w:rsidRDefault="00B14F7F" w:rsidP="00111E4A">
      <w:pPr>
        <w:jc w:val="both"/>
        <w:rPr>
          <w:b/>
          <w:i/>
          <w:sz w:val="10"/>
          <w:szCs w:val="10"/>
        </w:rPr>
      </w:pPr>
    </w:p>
    <w:p w:rsidR="004C5FBA" w:rsidRPr="00D76E0A" w:rsidRDefault="004C5FBA" w:rsidP="00304BB9">
      <w:pPr>
        <w:jc w:val="both"/>
        <w:rPr>
          <w:b/>
          <w:i/>
          <w:sz w:val="24"/>
          <w:szCs w:val="24"/>
        </w:rPr>
      </w:pPr>
      <w:r w:rsidRPr="00D76E0A">
        <w:rPr>
          <w:b/>
          <w:i/>
          <w:sz w:val="24"/>
          <w:szCs w:val="24"/>
        </w:rPr>
        <w:t xml:space="preserve">Adicional de insalubridade. Devido. Exposição ao calor do sol. Inaplicabilidade da Orientação Jurisprudencial nº 173 da SBDI-1. </w:t>
      </w:r>
    </w:p>
    <w:p w:rsidR="004C5FBA" w:rsidRDefault="004C5FBA" w:rsidP="00304BB9">
      <w:pPr>
        <w:jc w:val="both"/>
        <w:rPr>
          <w:sz w:val="24"/>
          <w:szCs w:val="24"/>
        </w:rPr>
      </w:pPr>
      <w:r w:rsidRPr="00D76E0A">
        <w:rPr>
          <w:sz w:val="24"/>
          <w:szCs w:val="24"/>
        </w:rPr>
        <w:t>A Orientação Jurisprudencial nº 173 da SBDI-1 veda o pagamento de adicional de insalubridade em razão do fator radiação solar, sendo inaplicável, portanto, às hipóteses em que o laudo pericial constatar a submissão do trabalhador ao agente insalubre calor, o qua</w:t>
      </w:r>
      <w:r w:rsidR="00A10171">
        <w:rPr>
          <w:sz w:val="24"/>
          <w:szCs w:val="24"/>
        </w:rPr>
        <w:t xml:space="preserve">l </w:t>
      </w:r>
      <w:r w:rsidRPr="00D76E0A">
        <w:rPr>
          <w:sz w:val="24"/>
          <w:szCs w:val="24"/>
        </w:rPr>
        <w:t xml:space="preserve">encontra previsão no Anexo nº 3 da NR 15 do MTE. Com base nessa premissa, a SBDI-I, por maioria, conheceu dos embargos por divergência jurisprudencial e, no mérito, negou-lhes provimento. Vencido o Ministro Aloysio Corrêa da Veiga. </w:t>
      </w:r>
      <w:hyperlink r:id="rId9" w:history="1">
        <w:r w:rsidRPr="00111E4A">
          <w:rPr>
            <w:rStyle w:val="Hyperlink"/>
            <w:sz w:val="24"/>
            <w:szCs w:val="24"/>
          </w:rPr>
          <w:t>TST-E-ED-RR-51100-73.</w:t>
        </w:r>
        <w:r w:rsidRPr="00111E4A">
          <w:rPr>
            <w:rStyle w:val="Hyperlink"/>
            <w:sz w:val="24"/>
            <w:szCs w:val="24"/>
          </w:rPr>
          <w:t>2</w:t>
        </w:r>
        <w:r w:rsidRPr="00111E4A">
          <w:rPr>
            <w:rStyle w:val="Hyperlink"/>
            <w:sz w:val="24"/>
            <w:szCs w:val="24"/>
          </w:rPr>
          <w:t>006</w:t>
        </w:r>
        <w:r w:rsidRPr="00111E4A">
          <w:rPr>
            <w:rStyle w:val="Hyperlink"/>
            <w:sz w:val="24"/>
            <w:szCs w:val="24"/>
          </w:rPr>
          <w:t>.</w:t>
        </w:r>
        <w:r w:rsidRPr="00111E4A">
          <w:rPr>
            <w:rStyle w:val="Hyperlink"/>
            <w:sz w:val="24"/>
            <w:szCs w:val="24"/>
          </w:rPr>
          <w:t>5.15.0120</w:t>
        </w:r>
      </w:hyperlink>
      <w:r w:rsidRPr="003F6D82">
        <w:rPr>
          <w:sz w:val="24"/>
          <w:szCs w:val="24"/>
          <w:u w:val="single"/>
        </w:rPr>
        <w:t>, SBDI-I, rel. Min. Renato de Lacerda Paiva, 28.6.2012.</w:t>
      </w:r>
      <w:r w:rsidRPr="00D76E0A">
        <w:rPr>
          <w:sz w:val="24"/>
          <w:szCs w:val="24"/>
        </w:rPr>
        <w:t xml:space="preserve">   </w:t>
      </w:r>
    </w:p>
    <w:p w:rsidR="004C5FBA" w:rsidRDefault="004C5FBA" w:rsidP="000C3022">
      <w:pPr>
        <w:ind w:right="-567"/>
        <w:jc w:val="both"/>
        <w:rPr>
          <w:b/>
          <w:i/>
          <w:sz w:val="10"/>
          <w:szCs w:val="10"/>
        </w:rPr>
      </w:pPr>
    </w:p>
    <w:p w:rsidR="004C5FBA" w:rsidRPr="001E7AC5" w:rsidRDefault="004C5FBA" w:rsidP="004C5FB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Apelo em que não se impugnam </w:t>
      </w:r>
      <w:r w:rsidRPr="001E7AC5">
        <w:rPr>
          <w:b/>
          <w:i/>
          <w:sz w:val="24"/>
          <w:szCs w:val="24"/>
        </w:rPr>
        <w:t>os</w:t>
      </w:r>
      <w:r>
        <w:rPr>
          <w:b/>
          <w:i/>
          <w:sz w:val="24"/>
          <w:szCs w:val="24"/>
        </w:rPr>
        <w:t xml:space="preserve"> fundamentos fáticos da decisão recorrida</w:t>
      </w:r>
      <w:r w:rsidRPr="001E7AC5">
        <w:rPr>
          <w:b/>
          <w:i/>
          <w:sz w:val="24"/>
          <w:szCs w:val="24"/>
        </w:rPr>
        <w:t>. Contrariedade à Súmula nº 422 do TST. Não caracterização.</w:t>
      </w:r>
    </w:p>
    <w:p w:rsidR="004C5FBA" w:rsidRPr="001E7AC5" w:rsidRDefault="004C5FBA" w:rsidP="004C5FBA">
      <w:pPr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É </w:t>
      </w:r>
      <w:r w:rsidRPr="001E7AC5">
        <w:rPr>
          <w:sz w:val="24"/>
          <w:szCs w:val="24"/>
        </w:rPr>
        <w:t>suficiente</w:t>
      </w:r>
      <w:r>
        <w:rPr>
          <w:sz w:val="24"/>
          <w:szCs w:val="24"/>
        </w:rPr>
        <w:t xml:space="preserve"> para elidir a incidência da Súmula nº 422 do TST</w:t>
      </w:r>
      <w:r w:rsidRPr="001E7AC5">
        <w:rPr>
          <w:sz w:val="24"/>
          <w:szCs w:val="24"/>
        </w:rPr>
        <w:t xml:space="preserve"> a impugnação dos fundamentos de direito, não sendo necessária a insurgência contra os</w:t>
      </w:r>
      <w:r>
        <w:rPr>
          <w:sz w:val="24"/>
          <w:szCs w:val="24"/>
        </w:rPr>
        <w:t xml:space="preserve"> fundamentos de fato</w:t>
      </w:r>
      <w:r w:rsidRPr="001E7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aludidos na decisão recorrida, no caso, a obtenção de novo emprego por parte do empregado acidentado que postulava sua estabilidade provisória. Com esse posicionamento, </w:t>
      </w:r>
      <w:r w:rsidRPr="001E7AC5">
        <w:rPr>
          <w:sz w:val="24"/>
          <w:szCs w:val="24"/>
        </w:rPr>
        <w:t xml:space="preserve">a SBDI-I, por maioria, conheceu dos embargos por má-aplicação do referido verbete e, no mérito, deu-lhes provimento para determinar o </w:t>
      </w:r>
      <w:r w:rsidRPr="001E7AC5">
        <w:rPr>
          <w:sz w:val="24"/>
          <w:szCs w:val="24"/>
        </w:rPr>
        <w:lastRenderedPageBreak/>
        <w:t xml:space="preserve">retorno dos autos à Turma de origem a fim de que julgue o recurso de revista, como entender de direito. Vencidos os Ministros Ives Gandra Martins Filho, relator, e João Batista Brito Pereira. </w:t>
      </w:r>
      <w:hyperlink r:id="rId10" w:history="1">
        <w:r w:rsidRPr="00A64717">
          <w:rPr>
            <w:rStyle w:val="Hyperlink"/>
            <w:sz w:val="24"/>
            <w:szCs w:val="24"/>
          </w:rPr>
          <w:t>TST-E-ED-RR-879000-69.2008</w:t>
        </w:r>
        <w:r w:rsidRPr="00A64717">
          <w:rPr>
            <w:rStyle w:val="Hyperlink"/>
            <w:sz w:val="24"/>
            <w:szCs w:val="24"/>
          </w:rPr>
          <w:t>.</w:t>
        </w:r>
        <w:r w:rsidRPr="00A64717">
          <w:rPr>
            <w:rStyle w:val="Hyperlink"/>
            <w:sz w:val="24"/>
            <w:szCs w:val="24"/>
          </w:rPr>
          <w:t>5.12.003</w:t>
        </w:r>
        <w:r w:rsidRPr="00A64717">
          <w:rPr>
            <w:rStyle w:val="Hyperlink"/>
            <w:sz w:val="24"/>
            <w:szCs w:val="24"/>
          </w:rPr>
          <w:t>6</w:t>
        </w:r>
      </w:hyperlink>
      <w:r w:rsidRPr="001E7AC5">
        <w:rPr>
          <w:sz w:val="24"/>
          <w:szCs w:val="24"/>
          <w:u w:val="single"/>
        </w:rPr>
        <w:t xml:space="preserve">, SBDI-I, rel. Min. </w:t>
      </w:r>
      <w:r w:rsidRPr="001E7AC5">
        <w:rPr>
          <w:color w:val="000000"/>
          <w:sz w:val="24"/>
          <w:szCs w:val="24"/>
          <w:u w:val="single"/>
        </w:rPr>
        <w:t>Ives Gandra Martins Filho</w:t>
      </w:r>
      <w:r w:rsidRPr="001E7AC5">
        <w:rPr>
          <w:sz w:val="24"/>
          <w:szCs w:val="24"/>
          <w:u w:val="single"/>
        </w:rPr>
        <w:t>, red. p/ acórdão Min. Luiz Philippe Vie</w:t>
      </w:r>
      <w:r>
        <w:rPr>
          <w:sz w:val="24"/>
          <w:szCs w:val="24"/>
          <w:u w:val="single"/>
        </w:rPr>
        <w:t>ir</w:t>
      </w:r>
      <w:r w:rsidRPr="001E7AC5">
        <w:rPr>
          <w:sz w:val="24"/>
          <w:szCs w:val="24"/>
          <w:u w:val="single"/>
        </w:rPr>
        <w:t>a de Mello Filho, 28.6.2012</w:t>
      </w:r>
    </w:p>
    <w:p w:rsidR="004C5FBA" w:rsidRPr="005D1DE4" w:rsidRDefault="004C5FBA" w:rsidP="000C3022">
      <w:pPr>
        <w:ind w:right="-567"/>
        <w:jc w:val="both"/>
        <w:rPr>
          <w:b/>
          <w:i/>
          <w:sz w:val="10"/>
          <w:szCs w:val="10"/>
        </w:rPr>
      </w:pPr>
    </w:p>
    <w:p w:rsidR="00BC1DE7" w:rsidRPr="005D1DE4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10"/>
          <w:szCs w:val="10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9027C8" w:rsidRPr="005D1DE4" w:rsidRDefault="009027C8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i/>
          <w:caps w:val="0"/>
          <w:color w:val="auto"/>
          <w:sz w:val="10"/>
          <w:szCs w:val="10"/>
        </w:rPr>
      </w:pPr>
    </w:p>
    <w:p w:rsidR="004C5FBA" w:rsidRPr="00DD2AE4" w:rsidRDefault="004C5FBA" w:rsidP="00111E4A">
      <w:pPr>
        <w:jc w:val="both"/>
        <w:rPr>
          <w:b/>
          <w:i/>
          <w:sz w:val="24"/>
          <w:szCs w:val="24"/>
        </w:rPr>
      </w:pPr>
      <w:r w:rsidRPr="00DD2AE4">
        <w:rPr>
          <w:b/>
          <w:i/>
          <w:sz w:val="24"/>
          <w:szCs w:val="24"/>
        </w:rPr>
        <w:t xml:space="preserve">AR. Julgamento imediato da lide. Questão de fundo já decidida pela instância de origem. Identidade de causas de pedir remota e próxima e de fatos em relação a todos os litisconsortes. Supressão de instância ou julgamento </w:t>
      </w:r>
      <w:r w:rsidRPr="00DD2AE4">
        <w:rPr>
          <w:b/>
          <w:sz w:val="24"/>
          <w:szCs w:val="24"/>
        </w:rPr>
        <w:t>extra petita</w:t>
      </w:r>
      <w:r w:rsidRPr="00DD2AE4">
        <w:rPr>
          <w:b/>
          <w:i/>
          <w:sz w:val="24"/>
          <w:szCs w:val="24"/>
        </w:rPr>
        <w:t xml:space="preserve">. Inocorrência.  </w:t>
      </w:r>
    </w:p>
    <w:p w:rsidR="004C5FBA" w:rsidRDefault="004C5FBA" w:rsidP="00111E4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 SBDI-II</w:t>
      </w:r>
      <w:r w:rsidRPr="00DD2AE4">
        <w:rPr>
          <w:sz w:val="24"/>
          <w:szCs w:val="24"/>
        </w:rPr>
        <w:t xml:space="preserve"> entendeu não caracterizar supressão de instância ou julgamento </w:t>
      </w:r>
      <w:r w:rsidRPr="00DD2AE4">
        <w:rPr>
          <w:i/>
          <w:sz w:val="24"/>
          <w:szCs w:val="24"/>
        </w:rPr>
        <w:t>extra petita</w:t>
      </w:r>
      <w:r w:rsidRPr="00DD2AE4">
        <w:rPr>
          <w:sz w:val="24"/>
          <w:szCs w:val="24"/>
        </w:rPr>
        <w:t xml:space="preserve"> a hipótese em que a decisão rescindenda, afastando a</w:t>
      </w:r>
      <w:r>
        <w:rPr>
          <w:sz w:val="24"/>
          <w:szCs w:val="24"/>
        </w:rPr>
        <w:t xml:space="preserve"> prescrição declarada, procede ao</w:t>
      </w:r>
      <w:r w:rsidRPr="00DD2AE4">
        <w:rPr>
          <w:sz w:val="24"/>
          <w:szCs w:val="24"/>
        </w:rPr>
        <w:t xml:space="preserve"> imediato exame da questão de fundo, que já fora decidida pelo Tribunal Regional e</w:t>
      </w:r>
      <w:r>
        <w:rPr>
          <w:sz w:val="24"/>
          <w:szCs w:val="24"/>
        </w:rPr>
        <w:t xml:space="preserve"> transitada em julgado em rela</w:t>
      </w:r>
      <w:r w:rsidRPr="00DD2AE4">
        <w:rPr>
          <w:sz w:val="24"/>
          <w:szCs w:val="24"/>
        </w:rPr>
        <w:t>ção a um dos autores, com mesma causa de pedir remota e próxima, além de apresentar matéria fática idêntica em relação a todos os</w:t>
      </w:r>
      <w:r>
        <w:rPr>
          <w:sz w:val="24"/>
          <w:szCs w:val="24"/>
        </w:rPr>
        <w:t xml:space="preserve"> litisconsortes. Consignou</w:t>
      </w:r>
      <w:r w:rsidRPr="00DD2AE4">
        <w:rPr>
          <w:sz w:val="24"/>
          <w:szCs w:val="24"/>
        </w:rPr>
        <w:t>, ainda, que o § 3º do art. 515 do CPC ampliou a possibilidade do julgamento imediato da lide, não restringindo aos casos em que houve extinção do feito sem</w:t>
      </w:r>
      <w:r>
        <w:rPr>
          <w:sz w:val="24"/>
          <w:szCs w:val="24"/>
        </w:rPr>
        <w:t xml:space="preserve"> resolução do mérito. Dessarte</w:t>
      </w:r>
      <w:r w:rsidRPr="00DD2AE4">
        <w:rPr>
          <w:sz w:val="24"/>
          <w:szCs w:val="24"/>
        </w:rPr>
        <w:t xml:space="preserve">, a Subseção, por unanimidade, julgou improcedente a pretensão rescisória. </w:t>
      </w:r>
      <w:hyperlink r:id="rId11" w:history="1">
        <w:r w:rsidRPr="00761E53">
          <w:rPr>
            <w:rStyle w:val="Hyperlink"/>
            <w:sz w:val="24"/>
            <w:szCs w:val="24"/>
          </w:rPr>
          <w:t>TST-AR-2653-</w:t>
        </w:r>
        <w:r w:rsidRPr="00761E53">
          <w:rPr>
            <w:rStyle w:val="Hyperlink"/>
            <w:sz w:val="24"/>
            <w:szCs w:val="24"/>
          </w:rPr>
          <w:t>6</w:t>
        </w:r>
        <w:r w:rsidRPr="00761E53">
          <w:rPr>
            <w:rStyle w:val="Hyperlink"/>
            <w:sz w:val="24"/>
            <w:szCs w:val="24"/>
          </w:rPr>
          <w:t>7.2011.5.</w:t>
        </w:r>
        <w:r w:rsidRPr="00761E53">
          <w:rPr>
            <w:rStyle w:val="Hyperlink"/>
            <w:sz w:val="24"/>
            <w:szCs w:val="24"/>
          </w:rPr>
          <w:t>0</w:t>
        </w:r>
        <w:r w:rsidRPr="00761E53">
          <w:rPr>
            <w:rStyle w:val="Hyperlink"/>
            <w:sz w:val="24"/>
            <w:szCs w:val="24"/>
          </w:rPr>
          <w:t>0.0000</w:t>
        </w:r>
      </w:hyperlink>
      <w:r>
        <w:rPr>
          <w:sz w:val="24"/>
          <w:szCs w:val="24"/>
          <w:u w:val="single"/>
        </w:rPr>
        <w:t>, SBDI-II</w:t>
      </w:r>
      <w:r w:rsidRPr="00DD2AE4">
        <w:rPr>
          <w:sz w:val="24"/>
          <w:szCs w:val="24"/>
          <w:u w:val="single"/>
        </w:rPr>
        <w:t xml:space="preserve">, rel. Min. Pedro Paulo Teixeira Manus, </w:t>
      </w:r>
      <w:r>
        <w:rPr>
          <w:sz w:val="24"/>
          <w:szCs w:val="24"/>
          <w:u w:val="single"/>
        </w:rPr>
        <w:t>26</w:t>
      </w:r>
      <w:r w:rsidRPr="00DD2AE4">
        <w:rPr>
          <w:sz w:val="24"/>
          <w:szCs w:val="24"/>
          <w:u w:val="single"/>
        </w:rPr>
        <w:t>.6.2012.</w:t>
      </w:r>
    </w:p>
    <w:p w:rsidR="00A10171" w:rsidRPr="00A10171" w:rsidRDefault="00A10171" w:rsidP="00111E4A">
      <w:pPr>
        <w:jc w:val="both"/>
        <w:rPr>
          <w:sz w:val="10"/>
          <w:szCs w:val="10"/>
          <w:u w:val="single"/>
        </w:rPr>
      </w:pPr>
    </w:p>
    <w:p w:rsidR="004C5FBA" w:rsidRDefault="004C5FBA" w:rsidP="00111E4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AR. Incompetência da Justiça do Trabalho. Cancelamento de ato administrativo que constitui crédito tributário. </w:t>
      </w:r>
    </w:p>
    <w:p w:rsidR="004C5FBA" w:rsidRDefault="004C5FBA" w:rsidP="00111E4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SBDI-II, em face do disposto nos arts. 109 e 114 da Constituição Federal, concluiu pela incompetência da Justiça do Trabalho para determinar o cancelamento de ato administrativo que constitui crédito tributário. Registrou, ainda, ser o decurso do prazo para interposição do recurso cabível suficiente para a comprovação do trânsito em julgado, tendo em vista a peculiaridade da sentença rescindenda, que, por meio de decisão interlocutória, pôs fim à relação tributária afeta à União, terceira estranha à lide e autora da ação rescisória. Com esses fundamentos, a Subseção, por unanimidade, negou provimento ao recurso ordinário, mantendo o acórdão do Tribunal </w:t>
      </w:r>
      <w:r>
        <w:rPr>
          <w:i/>
          <w:sz w:val="24"/>
          <w:szCs w:val="24"/>
        </w:rPr>
        <w:t>a quo</w:t>
      </w:r>
      <w:r>
        <w:rPr>
          <w:sz w:val="24"/>
          <w:szCs w:val="24"/>
        </w:rPr>
        <w:t xml:space="preserve">, em que se julgou procedente a ação rescisória para desconstituir a decisão rescindenda no tocante à determinação do cancelamento de inscrição em dívida ativa da União. </w:t>
      </w:r>
      <w:hyperlink r:id="rId12" w:history="1">
        <w:r w:rsidRPr="00761E53">
          <w:rPr>
            <w:rStyle w:val="Hyperlink"/>
            <w:sz w:val="24"/>
            <w:szCs w:val="24"/>
          </w:rPr>
          <w:t>TST</w:t>
        </w:r>
        <w:r w:rsidRPr="00761E53">
          <w:rPr>
            <w:rStyle w:val="Hyperlink"/>
            <w:sz w:val="24"/>
            <w:szCs w:val="24"/>
          </w:rPr>
          <w:t>-</w:t>
        </w:r>
        <w:r w:rsidRPr="00761E53">
          <w:rPr>
            <w:rStyle w:val="Hyperlink"/>
            <w:sz w:val="24"/>
            <w:szCs w:val="24"/>
          </w:rPr>
          <w:t>R</w:t>
        </w:r>
        <w:r w:rsidRPr="00761E53">
          <w:rPr>
            <w:rStyle w:val="Hyperlink"/>
            <w:sz w:val="24"/>
            <w:szCs w:val="24"/>
          </w:rPr>
          <w:t>O</w:t>
        </w:r>
        <w:r w:rsidRPr="00761E53">
          <w:rPr>
            <w:rStyle w:val="Hyperlink"/>
            <w:sz w:val="24"/>
            <w:szCs w:val="24"/>
          </w:rPr>
          <w:t>-187-96.2010.5.05.0000</w:t>
        </w:r>
      </w:hyperlink>
      <w:r>
        <w:rPr>
          <w:sz w:val="24"/>
          <w:szCs w:val="24"/>
          <w:u w:val="single"/>
        </w:rPr>
        <w:t>, SBDI-II, rel. Min. Pedro Paulo Manus, 26.6.2012.</w:t>
      </w:r>
    </w:p>
    <w:p w:rsidR="004C5FBA" w:rsidRPr="004C5FBA" w:rsidRDefault="004C5FBA" w:rsidP="004C5FBA">
      <w:pPr>
        <w:ind w:right="-567"/>
        <w:jc w:val="both"/>
        <w:rPr>
          <w:sz w:val="10"/>
          <w:szCs w:val="10"/>
        </w:rPr>
      </w:pPr>
    </w:p>
    <w:p w:rsidR="004C5FBA" w:rsidRPr="00B72A62" w:rsidRDefault="004C5FBA" w:rsidP="00304BB9">
      <w:pPr>
        <w:pStyle w:val="Ementa"/>
        <w:ind w:left="0"/>
        <w:rPr>
          <w:rFonts w:ascii="Times New Roman" w:eastAsia="Calibri" w:hAnsi="Times New Roman" w:cs="Times New Roman"/>
          <w:b/>
          <w:i/>
          <w:color w:val="auto"/>
          <w:spacing w:val="-4"/>
          <w:lang w:val="pt-BR" w:eastAsia="en-US"/>
        </w:rPr>
      </w:pPr>
      <w:r w:rsidRPr="00B72A62">
        <w:rPr>
          <w:rFonts w:ascii="Times New Roman" w:eastAsia="Calibri" w:hAnsi="Times New Roman" w:cs="Times New Roman"/>
          <w:b/>
          <w:i/>
          <w:color w:val="auto"/>
          <w:spacing w:val="-4"/>
          <w:lang w:val="pt-BR" w:eastAsia="en-US"/>
        </w:rPr>
        <w:t xml:space="preserve">AR. Coisa julgada material. Eficácia preclusiva. Causa extintiva da obrigação. Manejo após o último momento útil. Ofensa à coisa julgada não caracterizada. </w:t>
      </w:r>
    </w:p>
    <w:p w:rsidR="004C5FBA" w:rsidRDefault="004C5FBA" w:rsidP="00304BB9">
      <w:pPr>
        <w:pStyle w:val="Ementa"/>
        <w:ind w:left="0"/>
        <w:rPr>
          <w:rFonts w:ascii="Times New Roman" w:hAnsi="Times New Roman" w:cs="Times New Roman"/>
          <w:bCs/>
          <w:color w:val="auto"/>
          <w:u w:val="single"/>
          <w:lang w:val="pt-BR"/>
        </w:rPr>
      </w:pPr>
      <w:r w:rsidRPr="004453A7">
        <w:rPr>
          <w:rFonts w:ascii="Times New Roman" w:eastAsia="Calibri" w:hAnsi="Times New Roman" w:cs="Times New Roman"/>
          <w:color w:val="auto"/>
          <w:lang w:val="pt-BR" w:eastAsia="en-US"/>
        </w:rPr>
        <w:t>A causa extintiva da obrigação constatada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após o último momento útil</w:t>
      </w:r>
      <w:r w:rsidRPr="004453A7">
        <w:rPr>
          <w:rFonts w:ascii="Times New Roman" w:eastAsia="Calibri" w:hAnsi="Times New Roman" w:cs="Times New Roman"/>
          <w:color w:val="auto"/>
          <w:lang w:val="pt-BR" w:eastAsia="en-US"/>
        </w:rPr>
        <w:t xml:space="preserve"> para o acolhimento do fato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ocorrido no curso do processo</w:t>
      </w:r>
      <w:r w:rsidRPr="004453A7">
        <w:rPr>
          <w:rFonts w:ascii="Times New Roman" w:eastAsia="Calibri" w:hAnsi="Times New Roman" w:cs="Times New Roman"/>
          <w:color w:val="auto"/>
          <w:lang w:val="pt-BR" w:eastAsia="en-US"/>
        </w:rPr>
        <w:t xml:space="preserve"> não enseja a eficácia preclusiva disciplinada no art. 474 do Código de Processo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Civil</w:t>
      </w:r>
      <w:r w:rsidRPr="004453A7">
        <w:rPr>
          <w:rFonts w:ascii="Times New Roman" w:eastAsia="Calibri" w:hAnsi="Times New Roman" w:cs="Times New Roman"/>
          <w:color w:val="auto"/>
          <w:lang w:val="pt-BR" w:eastAsia="en-US"/>
        </w:rPr>
        <w:t>.  Desse modo,</w:t>
      </w:r>
      <w:r>
        <w:t xml:space="preserve"> </w:t>
      </w:r>
      <w:r w:rsidRPr="004453A7">
        <w:rPr>
          <w:rFonts w:ascii="Times New Roman" w:eastAsia="Calibri" w:hAnsi="Times New Roman" w:cs="Times New Roman"/>
          <w:color w:val="auto"/>
          <w:lang w:val="pt-BR" w:eastAsia="en-US"/>
        </w:rPr>
        <w:t>a transação superveniente à sentença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 w:rsidRPr="004453A7">
        <w:rPr>
          <w:rFonts w:ascii="Times New Roman" w:eastAsia="Calibri" w:hAnsi="Times New Roman" w:cs="Times New Roman"/>
          <w:color w:val="auto"/>
          <w:lang w:val="pt-BR" w:eastAsia="en-US"/>
        </w:rPr>
        <w:t>acolhida quando do julgamento do agravo de petição, ainda que não discutida na fase cognitiva, não tem o condão de abalar a eficácia jurídica do ajuste entre as partes, tornando-se inviável o corte rescisório com amparo no inciso V do art. 485 do CPC. Co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m esse entendimento, a SBDI-II</w:t>
      </w:r>
      <w:r w:rsidRPr="004453A7">
        <w:rPr>
          <w:rFonts w:ascii="Times New Roman" w:eastAsia="Calibri" w:hAnsi="Times New Roman" w:cs="Times New Roman"/>
          <w:color w:val="auto"/>
          <w:lang w:val="pt-BR" w:eastAsia="en-US"/>
        </w:rPr>
        <w:t>, por unanimidade, conheceu do recurso ordinário e, no mérito, deu-lhe provimento para julgar improcedente a ação rescisória</w:t>
      </w:r>
      <w:r w:rsidRPr="004C5FBA">
        <w:rPr>
          <w:rFonts w:ascii="Times New Roman" w:hAnsi="Times New Roman" w:cs="Times New Roman"/>
          <w:bCs/>
          <w:color w:val="auto"/>
          <w:lang w:val="pt-BR"/>
        </w:rPr>
        <w:t xml:space="preserve">. </w:t>
      </w:r>
      <w:hyperlink r:id="rId13" w:history="1">
        <w:r w:rsidRPr="00E01107">
          <w:rPr>
            <w:rStyle w:val="Hyperlink"/>
            <w:rFonts w:ascii="Times New Roman" w:hAnsi="Times New Roman"/>
            <w:bCs/>
            <w:lang w:val="pt-BR"/>
          </w:rPr>
          <w:t>TST-</w:t>
        </w:r>
        <w:r w:rsidRPr="00E01107">
          <w:rPr>
            <w:rStyle w:val="Hyperlink"/>
            <w:rFonts w:ascii="Times New Roman" w:hAnsi="Times New Roman"/>
            <w:bCs/>
            <w:caps/>
            <w:lang w:val="pt-BR"/>
          </w:rPr>
          <w:t>ro</w:t>
        </w:r>
        <w:r w:rsidRPr="00E01107">
          <w:rPr>
            <w:rStyle w:val="Hyperlink"/>
            <w:rFonts w:ascii="Times New Roman" w:hAnsi="Times New Roman"/>
            <w:bCs/>
            <w:lang w:val="pt-BR"/>
          </w:rPr>
          <w:t>-231600-91.20</w:t>
        </w:r>
        <w:r w:rsidRPr="00E01107">
          <w:rPr>
            <w:rStyle w:val="Hyperlink"/>
            <w:rFonts w:ascii="Times New Roman" w:hAnsi="Times New Roman"/>
            <w:bCs/>
            <w:lang w:val="pt-BR"/>
          </w:rPr>
          <w:t>0</w:t>
        </w:r>
        <w:r w:rsidRPr="00E01107">
          <w:rPr>
            <w:rStyle w:val="Hyperlink"/>
            <w:rFonts w:ascii="Times New Roman" w:hAnsi="Times New Roman"/>
            <w:bCs/>
            <w:lang w:val="pt-BR"/>
          </w:rPr>
          <w:t>9.5.01</w:t>
        </w:r>
        <w:r w:rsidRPr="00E01107">
          <w:rPr>
            <w:rStyle w:val="Hyperlink"/>
            <w:rFonts w:ascii="Times New Roman" w:hAnsi="Times New Roman"/>
            <w:bCs/>
            <w:lang w:val="pt-BR"/>
          </w:rPr>
          <w:t>.</w:t>
        </w:r>
        <w:r w:rsidRPr="00E01107">
          <w:rPr>
            <w:rStyle w:val="Hyperlink"/>
            <w:rFonts w:ascii="Times New Roman" w:hAnsi="Times New Roman"/>
            <w:bCs/>
            <w:lang w:val="pt-BR"/>
          </w:rPr>
          <w:t>0000</w:t>
        </w:r>
      </w:hyperlink>
      <w:r w:rsidRPr="004C5FBA">
        <w:rPr>
          <w:rFonts w:ascii="Times New Roman" w:hAnsi="Times New Roman" w:cs="Times New Roman"/>
          <w:bCs/>
          <w:color w:val="auto"/>
          <w:u w:val="single"/>
          <w:lang w:val="pt-BR"/>
        </w:rPr>
        <w:t xml:space="preserve">, </w:t>
      </w:r>
      <w:r w:rsidRPr="004C5FBA">
        <w:rPr>
          <w:rFonts w:ascii="Times New Roman" w:hAnsi="Times New Roman" w:cs="Times New Roman"/>
          <w:bCs/>
          <w:caps/>
          <w:color w:val="auto"/>
          <w:u w:val="single"/>
          <w:lang w:val="pt-BR"/>
        </w:rPr>
        <w:t>sbdi-II</w:t>
      </w:r>
      <w:r w:rsidRPr="004C5FBA">
        <w:rPr>
          <w:rFonts w:ascii="Times New Roman" w:hAnsi="Times New Roman" w:cs="Times New Roman"/>
          <w:bCs/>
          <w:color w:val="auto"/>
          <w:u w:val="single"/>
          <w:lang w:val="pt-BR"/>
        </w:rPr>
        <w:t>, rel. Min. Alberto Luiz Bresciani de Fontan Pereira, 26.6.2012.</w:t>
      </w:r>
    </w:p>
    <w:p w:rsidR="00B72A62" w:rsidRPr="00B72A62" w:rsidRDefault="00B72A62" w:rsidP="004C5FBA">
      <w:pPr>
        <w:pStyle w:val="Ementa"/>
        <w:spacing w:line="276" w:lineRule="auto"/>
        <w:ind w:left="0"/>
        <w:rPr>
          <w:color w:val="auto"/>
          <w:sz w:val="10"/>
          <w:szCs w:val="10"/>
        </w:rPr>
      </w:pPr>
    </w:p>
    <w:p w:rsidR="004C5FBA" w:rsidRDefault="004C5FBA" w:rsidP="00304BB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Ação anulatória. Astreintes. Redução do valor da multa. Inadequação da via eleita. Art. 486 do CPC.</w:t>
      </w:r>
    </w:p>
    <w:p w:rsidR="004C5FBA" w:rsidRPr="00562ABF" w:rsidRDefault="004C5FBA" w:rsidP="00304B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face do disposto no art. 486 do CPC, é incabível ação anulatória quando se pretende a redução do valor da multa (astreintes) fixada em acórdão prolatado em agravo de petição. Na espécie, a decisão que se pretendia anular não se enquadrava na hipótese de ato judicial que não dependa de sentença ou em que esta era meramente declaratória, mas hipótese em que o julgador formulou juízo de valor sobre a questão. Adotando esses fundamentos, a SBDI-II, por maioria, negou provimento ao recurso ordinário. Vencido o Ministro João Oreste Dalazen. </w:t>
      </w:r>
      <w:hyperlink r:id="rId14" w:history="1">
        <w:r w:rsidRPr="009D14AA">
          <w:rPr>
            <w:rStyle w:val="Hyperlink"/>
            <w:sz w:val="24"/>
            <w:szCs w:val="24"/>
          </w:rPr>
          <w:t>TS</w:t>
        </w:r>
        <w:r w:rsidRPr="009D14AA">
          <w:rPr>
            <w:rStyle w:val="Hyperlink"/>
            <w:sz w:val="24"/>
            <w:szCs w:val="24"/>
          </w:rPr>
          <w:t>T</w:t>
        </w:r>
        <w:r w:rsidRPr="009D14AA">
          <w:rPr>
            <w:rStyle w:val="Hyperlink"/>
            <w:sz w:val="24"/>
            <w:szCs w:val="24"/>
          </w:rPr>
          <w:t>-</w:t>
        </w:r>
        <w:r w:rsidRPr="009D14AA">
          <w:rPr>
            <w:rStyle w:val="Hyperlink"/>
            <w:sz w:val="24"/>
            <w:szCs w:val="24"/>
          </w:rPr>
          <w:t>R</w:t>
        </w:r>
        <w:r w:rsidRPr="009D14AA">
          <w:rPr>
            <w:rStyle w:val="Hyperlink"/>
            <w:sz w:val="24"/>
            <w:szCs w:val="24"/>
          </w:rPr>
          <w:t>O-41500-72.2008.5.17.0000</w:t>
        </w:r>
      </w:hyperlink>
      <w:r w:rsidRPr="003D032E">
        <w:rPr>
          <w:sz w:val="24"/>
          <w:szCs w:val="24"/>
          <w:u w:val="single"/>
        </w:rPr>
        <w:t>, SBDI-</w:t>
      </w:r>
      <w:r>
        <w:rPr>
          <w:sz w:val="24"/>
          <w:szCs w:val="24"/>
          <w:u w:val="single"/>
        </w:rPr>
        <w:t xml:space="preserve">II, rel. </w:t>
      </w:r>
      <w:r w:rsidRPr="003D032E">
        <w:rPr>
          <w:sz w:val="24"/>
          <w:szCs w:val="24"/>
          <w:u w:val="single"/>
        </w:rPr>
        <w:t xml:space="preserve">Min. </w:t>
      </w:r>
      <w:r>
        <w:rPr>
          <w:sz w:val="24"/>
          <w:szCs w:val="24"/>
          <w:u w:val="single"/>
        </w:rPr>
        <w:t>Maria de Assis Calsing, 26.6.2012</w:t>
      </w:r>
      <w:r w:rsidRPr="003D032E">
        <w:rPr>
          <w:sz w:val="24"/>
          <w:szCs w:val="24"/>
          <w:u w:val="single"/>
        </w:rPr>
        <w:t>.</w:t>
      </w:r>
    </w:p>
    <w:p w:rsidR="00EA29F5" w:rsidRPr="005D1DE4" w:rsidRDefault="00EA29F5" w:rsidP="004B21AD">
      <w:pPr>
        <w:pStyle w:val="EXPLICAO"/>
        <w:ind w:left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A9" w:rsidRDefault="003D43A9">
      <w:r>
        <w:separator/>
      </w:r>
    </w:p>
  </w:endnote>
  <w:endnote w:type="continuationSeparator" w:id="0">
    <w:p w:rsidR="003D43A9" w:rsidRDefault="003D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2" w:rsidRDefault="001B0AB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522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B0AB2" w:rsidRDefault="001B0AB2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2" w:rsidRDefault="001B0AB2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7574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A9" w:rsidRDefault="003D43A9">
      <w:r>
        <w:separator/>
      </w:r>
    </w:p>
  </w:footnote>
  <w:footnote w:type="continuationSeparator" w:id="0">
    <w:p w:rsidR="003D43A9" w:rsidRDefault="003D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2" w:rsidRPr="00971E07" w:rsidRDefault="001B0AB2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>º 1</w:t>
    </w:r>
    <w:r>
      <w:rPr>
        <w:shadow/>
        <w:sz w:val="24"/>
        <w:szCs w:val="24"/>
      </w:rPr>
      <w:t>5</w:t>
    </w:r>
  </w:p>
  <w:p w:rsidR="001B0AB2" w:rsidRPr="00971E07" w:rsidRDefault="001B0AB2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>
      <w:rPr>
        <w:sz w:val="20"/>
        <w:szCs w:val="20"/>
      </w:rPr>
      <w:t>Período: 28 de junho a 4 de julho</w:t>
    </w:r>
    <w:r w:rsidRPr="00971E07">
      <w:rPr>
        <w:sz w:val="20"/>
        <w:szCs w:val="20"/>
      </w:rPr>
      <w:t xml:space="preserve"> de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2" w:rsidRDefault="001B0AB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35pt;height:77pt">
          <v:imagedata r:id="rId1" o:title="TST LOGO"/>
        </v:shape>
      </w:pict>
    </w:r>
  </w:p>
  <w:p w:rsidR="001B0AB2" w:rsidRPr="002168DE" w:rsidRDefault="001B0AB2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>Nº 1</w:t>
    </w:r>
    <w:r>
      <w:rPr>
        <w:b/>
        <w:sz w:val="40"/>
        <w:szCs w:val="40"/>
      </w:rPr>
      <w:t>5</w:t>
    </w:r>
  </w:p>
  <w:p w:rsidR="001B0AB2" w:rsidRPr="005D1DE4" w:rsidRDefault="001B0AB2">
    <w:pPr>
      <w:pStyle w:val="Cabealho"/>
      <w:jc w:val="right"/>
      <w:rPr>
        <w:i/>
        <w:iCs/>
        <w:sz w:val="10"/>
        <w:szCs w:val="10"/>
      </w:rPr>
    </w:pPr>
  </w:p>
  <w:p w:rsidR="001B0AB2" w:rsidRPr="005D1DE4" w:rsidRDefault="001B0AB2">
    <w:pPr>
      <w:pStyle w:val="Cabealho"/>
      <w:jc w:val="right"/>
    </w:pPr>
    <w:r>
      <w:rPr>
        <w:i/>
        <w:iCs/>
      </w:rPr>
      <w:t>Período:</w:t>
    </w:r>
    <w:r w:rsidRPr="005D1DE4">
      <w:rPr>
        <w:i/>
        <w:iCs/>
      </w:rPr>
      <w:t xml:space="preserve"> </w:t>
    </w:r>
    <w:r>
      <w:rPr>
        <w:i/>
        <w:iCs/>
      </w:rPr>
      <w:t>28 de junho a 4 de julho</w:t>
    </w:r>
    <w:r w:rsidRPr="005D1DE4">
      <w:rPr>
        <w:i/>
        <w:iCs/>
      </w:rPr>
      <w:t xml:space="preserve"> de 2012</w:t>
    </w:r>
  </w:p>
  <w:p w:rsidR="001B0AB2" w:rsidRDefault="001B0AB2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1E4A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B0AB2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04BB9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D43A9"/>
    <w:rsid w:val="003F2078"/>
    <w:rsid w:val="00422C34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C5FBA"/>
    <w:rsid w:val="004D6000"/>
    <w:rsid w:val="004D6415"/>
    <w:rsid w:val="004D71E8"/>
    <w:rsid w:val="004E393E"/>
    <w:rsid w:val="004E4507"/>
    <w:rsid w:val="004E4619"/>
    <w:rsid w:val="004F08AD"/>
    <w:rsid w:val="004F0A7D"/>
    <w:rsid w:val="0051538E"/>
    <w:rsid w:val="00517E01"/>
    <w:rsid w:val="00521EEC"/>
    <w:rsid w:val="00541487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0522E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1E53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00D6"/>
    <w:rsid w:val="008E2AE5"/>
    <w:rsid w:val="008E3F89"/>
    <w:rsid w:val="008F26CB"/>
    <w:rsid w:val="008F6509"/>
    <w:rsid w:val="008F79D9"/>
    <w:rsid w:val="009027C8"/>
    <w:rsid w:val="00911BFA"/>
    <w:rsid w:val="00912392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9704B"/>
    <w:rsid w:val="009A32D5"/>
    <w:rsid w:val="009B6012"/>
    <w:rsid w:val="009C102D"/>
    <w:rsid w:val="009C2A4F"/>
    <w:rsid w:val="009D14AA"/>
    <w:rsid w:val="009D4C59"/>
    <w:rsid w:val="009D7F91"/>
    <w:rsid w:val="009E20EF"/>
    <w:rsid w:val="009E26EE"/>
    <w:rsid w:val="009F21A2"/>
    <w:rsid w:val="00A10171"/>
    <w:rsid w:val="00A306D9"/>
    <w:rsid w:val="00A32FBF"/>
    <w:rsid w:val="00A407EA"/>
    <w:rsid w:val="00A51749"/>
    <w:rsid w:val="00A521B6"/>
    <w:rsid w:val="00A56962"/>
    <w:rsid w:val="00A6412C"/>
    <w:rsid w:val="00A64717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2A62"/>
    <w:rsid w:val="00B73FFA"/>
    <w:rsid w:val="00B874F1"/>
    <w:rsid w:val="00BC1DE7"/>
    <w:rsid w:val="00BC5AEE"/>
    <w:rsid w:val="00BD6029"/>
    <w:rsid w:val="00BE0541"/>
    <w:rsid w:val="00BE1ADB"/>
    <w:rsid w:val="00C0675F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1E06"/>
    <w:rsid w:val="00DC50EB"/>
    <w:rsid w:val="00DD3FA0"/>
    <w:rsid w:val="00DE5B2D"/>
    <w:rsid w:val="00DE5CE9"/>
    <w:rsid w:val="00E01107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75743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basedOn w:val="Fontepargpadro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basedOn w:val="Fontepargpadro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uiPriority w:val="99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basedOn w:val="Fontepargpadro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basedOn w:val="Fontepargpadro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grame">
    <w:name w:val="grame"/>
    <w:basedOn w:val="Fontepargpadro"/>
    <w:rsid w:val="00422C34"/>
  </w:style>
  <w:style w:type="character" w:customStyle="1" w:styleId="HELENChar1">
    <w:name w:val="HELEN Char1"/>
    <w:basedOn w:val="Fontepargpadro"/>
    <w:rsid w:val="00422C34"/>
    <w:rPr>
      <w:rFonts w:ascii="Courier New" w:hAnsi="Courier New" w:cs="Courier New" w:hint="default"/>
      <w:caps/>
      <w:noProof w:val="0"/>
      <w:snapToGrid w:val="0"/>
      <w:sz w:val="16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A101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02.tst.jus.br/pls/ap01/ap_red100.resumo?num_int=511937&amp;ano_int=2008&amp;qtd_acesso=6377365&amp;novoportal=1" TargetMode="External"/><Relationship Id="rId13" Type="http://schemas.openxmlformats.org/officeDocument/2006/relationships/hyperlink" Target="http://ext02.tst.jus.br/pls/ap01/ap_red100.resumo?num_int=30818&amp;ano_int=2011&amp;qtd_acesso=428233&amp;novoportal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xt02.tst.jus.br/pls/ap01/ap_red100.resumo?num_int=136281&amp;ano_int=2011&amp;qtd_acesso=1869517&amp;novoportal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t02.tst.jus.br/pls/ap01/ap_red100.resumo?num_int=58704&amp;ano_int=2011&amp;qtd_acesso=762865&amp;novoportal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xt02.tst.jus.br/pls/ap01/ap_red100.resumo?num_int=49737&amp;ano_int=2011&amp;qtd_acesso=830989&amp;novoportal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xt02.tst.jus.br/pls/ap01/ap_red100.resumo?num_int=729732&amp;ano_int=2009&amp;qtd_acesso=8815185&amp;novoportal=1" TargetMode="External"/><Relationship Id="rId14" Type="http://schemas.openxmlformats.org/officeDocument/2006/relationships/hyperlink" Target="http://ext02.tst.jus.br/pls/ap01/ap_red100.resumo?num_int=612641&amp;ano_int=2009&amp;qtd_acesso=7585821&amp;novoportal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6AC2-4706-421E-A6F0-F9C541B4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8466</CharactersWithSpaces>
  <SharedDoc>false</SharedDoc>
  <HLinks>
    <vt:vector size="42" baseType="variant">
      <vt:variant>
        <vt:i4>3866686</vt:i4>
      </vt:variant>
      <vt:variant>
        <vt:i4>18</vt:i4>
      </vt:variant>
      <vt:variant>
        <vt:i4>0</vt:i4>
      </vt:variant>
      <vt:variant>
        <vt:i4>5</vt:i4>
      </vt:variant>
      <vt:variant>
        <vt:lpwstr>http://ext02.tst.jus.br/pls/ap01/ap_red100.resumo?num_int=612641&amp;ano_int=2009&amp;qtd_acesso=7585821&amp;novoportal=1</vt:lpwstr>
      </vt:variant>
      <vt:variant>
        <vt:lpwstr/>
      </vt:variant>
      <vt:variant>
        <vt:i4>4194368</vt:i4>
      </vt:variant>
      <vt:variant>
        <vt:i4>15</vt:i4>
      </vt:variant>
      <vt:variant>
        <vt:i4>0</vt:i4>
      </vt:variant>
      <vt:variant>
        <vt:i4>5</vt:i4>
      </vt:variant>
      <vt:variant>
        <vt:lpwstr>http://ext02.tst.jus.br/pls/ap01/ap_red100.resumo?num_int=30818&amp;ano_int=2011&amp;qtd_acesso=428233&amp;novoportal=1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http://ext02.tst.jus.br/pls/ap01/ap_red100.resumo?num_int=136281&amp;ano_int=2011&amp;qtd_acesso=1869517&amp;novoportal=1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http://ext02.tst.jus.br/pls/ap01/ap_red100.resumo?num_int=58704&amp;ano_int=2011&amp;qtd_acesso=762865&amp;novoportal=1</vt:lpwstr>
      </vt:variant>
      <vt:variant>
        <vt:lpwstr/>
      </vt:variant>
      <vt:variant>
        <vt:i4>4915272</vt:i4>
      </vt:variant>
      <vt:variant>
        <vt:i4>6</vt:i4>
      </vt:variant>
      <vt:variant>
        <vt:i4>0</vt:i4>
      </vt:variant>
      <vt:variant>
        <vt:i4>5</vt:i4>
      </vt:variant>
      <vt:variant>
        <vt:lpwstr>http://ext02.tst.jus.br/pls/ap01/ap_red100.resumo?num_int=49737&amp;ano_int=2011&amp;qtd_acesso=830989&amp;novoportal=1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http://ext02.tst.jus.br/pls/ap01/ap_red100.resumo?num_int=729732&amp;ano_int=2009&amp;qtd_acesso=8815185&amp;novoportal=1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http://ext02.tst.jus.br/pls/ap01/ap_red100.resumo?num_int=511937&amp;ano_int=2008&amp;qtd_acesso=6377365&amp;novoportal=1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dc:description/>
  <cp:lastModifiedBy>c041658</cp:lastModifiedBy>
  <cp:revision>2</cp:revision>
  <cp:lastPrinted>2012-07-04T21:10:00Z</cp:lastPrinted>
  <dcterms:created xsi:type="dcterms:W3CDTF">2018-06-27T22:31:00Z</dcterms:created>
  <dcterms:modified xsi:type="dcterms:W3CDTF">2018-06-27T22:31:00Z</dcterms:modified>
</cp:coreProperties>
</file>