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055A9D" w:rsidRDefault="00055A9D" w:rsidP="00C6738C">
      <w:pPr>
        <w:rPr>
          <w:sz w:val="10"/>
          <w:szCs w:val="10"/>
        </w:rPr>
      </w:pPr>
    </w:p>
    <w:p w:rsidR="00055A9D" w:rsidRPr="00CE7555" w:rsidRDefault="00055A9D" w:rsidP="00055A9D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8E3CCE" w:rsidRPr="00FE421F" w:rsidRDefault="008E3CCE" w:rsidP="00055A9D">
      <w:pPr>
        <w:jc w:val="both"/>
        <w:rPr>
          <w:rFonts w:cs="Courier New"/>
          <w:color w:val="000000"/>
          <w:sz w:val="10"/>
          <w:szCs w:val="10"/>
          <w:u w:val="single"/>
        </w:rPr>
      </w:pPr>
    </w:p>
    <w:p w:rsidR="008E3CCE" w:rsidRPr="00EA2BB2" w:rsidRDefault="008E3CCE" w:rsidP="008E3CCE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Incompetência da Justiça do Trabalho. Ação civil pública. R</w:t>
      </w:r>
      <w:r w:rsidRPr="00B057C2">
        <w:rPr>
          <w:rFonts w:eastAsia="Calibri"/>
          <w:b/>
          <w:i/>
          <w:sz w:val="24"/>
          <w:szCs w:val="24"/>
        </w:rPr>
        <w:t>eajuste dos honorários repassados pelas operadoras de plano de saúde aos médicos credenciados.</w:t>
      </w:r>
      <w:r>
        <w:rPr>
          <w:rFonts w:eastAsia="Calibri"/>
          <w:b/>
          <w:i/>
          <w:sz w:val="24"/>
          <w:szCs w:val="24"/>
        </w:rPr>
        <w:t xml:space="preserve"> Relação de trabalho não configurada.</w:t>
      </w:r>
    </w:p>
    <w:p w:rsidR="008E3CCE" w:rsidRPr="007A57B7" w:rsidRDefault="008E3CCE" w:rsidP="008E3CCE">
      <w:pPr>
        <w:jc w:val="both"/>
        <w:rPr>
          <w:rFonts w:eastAsia="Calibri"/>
          <w:color w:val="FF0000"/>
          <w:sz w:val="24"/>
          <w:szCs w:val="24"/>
        </w:rPr>
      </w:pPr>
      <w:r w:rsidRPr="00EA2BB2">
        <w:rPr>
          <w:rFonts w:eastAsia="Calibri"/>
          <w:sz w:val="24"/>
          <w:szCs w:val="24"/>
        </w:rPr>
        <w:t xml:space="preserve">A Justiça do Trabalho é incompetente para processar e julgar </w:t>
      </w:r>
      <w:r>
        <w:rPr>
          <w:rFonts w:eastAsia="Calibri"/>
          <w:sz w:val="24"/>
          <w:szCs w:val="24"/>
        </w:rPr>
        <w:t xml:space="preserve">ação civil pública na qual se postula o reajuste dos honorários repassados pelas operadoras de plano de saúde aos médicos credenciados, pois a relação entre eles não possui natureza trabalhista. As operadoras de plano de </w:t>
      </w:r>
      <w:r w:rsidRPr="000D6FBC">
        <w:rPr>
          <w:rFonts w:eastAsia="Calibri"/>
          <w:sz w:val="24"/>
          <w:szCs w:val="24"/>
        </w:rPr>
        <w:t>saúde</w:t>
      </w:r>
      <w:r>
        <w:rPr>
          <w:rFonts w:eastAsia="Calibri"/>
          <w:sz w:val="24"/>
          <w:szCs w:val="24"/>
        </w:rPr>
        <w:t xml:space="preserve">, ligadas à chamada autogestão, </w:t>
      </w:r>
      <w:r w:rsidRPr="000D6FBC">
        <w:rPr>
          <w:rFonts w:eastAsia="Calibri"/>
          <w:sz w:val="24"/>
          <w:szCs w:val="24"/>
        </w:rPr>
        <w:t>atuam como intermediadoras entre os interesses dos usuári</w:t>
      </w:r>
      <w:r>
        <w:rPr>
          <w:rFonts w:eastAsia="Calibri"/>
          <w:sz w:val="24"/>
          <w:szCs w:val="24"/>
        </w:rPr>
        <w:t xml:space="preserve">os e dos prestadores de serviço, ao passo que os médicos credenciados não prestam serviço diretamente às operadoras, mas aos beneficiários/usuários, não havendo falar, portanto, em relação de trabalho nos moldes do art. 114, I, da CF. </w:t>
      </w:r>
      <w:r w:rsidRPr="00EA2BB2">
        <w:rPr>
          <w:rFonts w:eastAsia="Calibri"/>
          <w:sz w:val="24"/>
          <w:szCs w:val="24"/>
        </w:rPr>
        <w:t>Sob esse</w:t>
      </w:r>
      <w:r>
        <w:rPr>
          <w:rFonts w:eastAsia="Calibri"/>
          <w:sz w:val="24"/>
          <w:szCs w:val="24"/>
        </w:rPr>
        <w:t>s</w:t>
      </w:r>
      <w:r w:rsidRPr="00EA2BB2">
        <w:rPr>
          <w:rFonts w:eastAsia="Calibri"/>
          <w:sz w:val="24"/>
          <w:szCs w:val="24"/>
        </w:rPr>
        <w:t xml:space="preserve"> fundamento</w:t>
      </w:r>
      <w:r>
        <w:rPr>
          <w:rFonts w:eastAsia="Calibri"/>
          <w:sz w:val="24"/>
          <w:szCs w:val="24"/>
        </w:rPr>
        <w:t>s</w:t>
      </w:r>
      <w:r w:rsidRPr="00EA2BB2">
        <w:rPr>
          <w:rFonts w:eastAsia="Calibri"/>
          <w:sz w:val="24"/>
          <w:szCs w:val="24"/>
        </w:rPr>
        <w:t xml:space="preserve">, a SBDI-I, por unanimidade, </w:t>
      </w:r>
      <w:r>
        <w:rPr>
          <w:rFonts w:eastAsia="Calibri"/>
          <w:sz w:val="24"/>
          <w:szCs w:val="24"/>
        </w:rPr>
        <w:t>não conheceu</w:t>
      </w:r>
      <w:r w:rsidRPr="00EA2BB2">
        <w:rPr>
          <w:rFonts w:eastAsia="Calibri"/>
          <w:sz w:val="24"/>
          <w:szCs w:val="24"/>
        </w:rPr>
        <w:t xml:space="preserve"> do recurso de embargos da C</w:t>
      </w:r>
      <w:r>
        <w:rPr>
          <w:rFonts w:eastAsia="Calibri"/>
          <w:sz w:val="24"/>
          <w:szCs w:val="24"/>
        </w:rPr>
        <w:t>onab,</w:t>
      </w:r>
      <w:r w:rsidRPr="00EA2B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mas </w:t>
      </w:r>
      <w:r w:rsidRPr="00EA2BB2">
        <w:rPr>
          <w:rFonts w:eastAsia="Calibri"/>
          <w:sz w:val="24"/>
          <w:szCs w:val="24"/>
        </w:rPr>
        <w:t>conhece</w:t>
      </w:r>
      <w:r>
        <w:rPr>
          <w:rFonts w:eastAsia="Calibri"/>
          <w:sz w:val="24"/>
          <w:szCs w:val="24"/>
        </w:rPr>
        <w:t xml:space="preserve">u </w:t>
      </w:r>
      <w:r w:rsidRPr="00EA2BB2">
        <w:rPr>
          <w:rFonts w:eastAsia="Calibri"/>
          <w:sz w:val="24"/>
          <w:szCs w:val="24"/>
        </w:rPr>
        <w:t>dos recursos de embargos interpostos pela C</w:t>
      </w:r>
      <w:r>
        <w:rPr>
          <w:rFonts w:eastAsia="Calibri"/>
          <w:sz w:val="24"/>
          <w:szCs w:val="24"/>
        </w:rPr>
        <w:t>assi</w:t>
      </w:r>
      <w:r w:rsidRPr="00EA2BB2">
        <w:rPr>
          <w:rFonts w:eastAsia="Calibri"/>
          <w:sz w:val="24"/>
          <w:szCs w:val="24"/>
        </w:rPr>
        <w:t>, G</w:t>
      </w:r>
      <w:r>
        <w:rPr>
          <w:rFonts w:eastAsia="Calibri"/>
          <w:sz w:val="24"/>
          <w:szCs w:val="24"/>
        </w:rPr>
        <w:t>eap</w:t>
      </w:r>
      <w:r w:rsidRPr="00EA2BB2">
        <w:rPr>
          <w:rFonts w:eastAsia="Calibri"/>
          <w:sz w:val="24"/>
          <w:szCs w:val="24"/>
        </w:rPr>
        <w:t>, P</w:t>
      </w:r>
      <w:r>
        <w:rPr>
          <w:rFonts w:eastAsia="Calibri"/>
          <w:sz w:val="24"/>
          <w:szCs w:val="24"/>
        </w:rPr>
        <w:t>etrobras e Embratel, e, no mérito, deu</w:t>
      </w:r>
      <w:r w:rsidRPr="00EA2BB2">
        <w:rPr>
          <w:rFonts w:eastAsia="Calibri"/>
          <w:sz w:val="24"/>
          <w:szCs w:val="24"/>
        </w:rPr>
        <w:t xml:space="preserve">-lhes provimento para restabelecer o acórdão </w:t>
      </w:r>
      <w:r>
        <w:rPr>
          <w:rFonts w:eastAsia="Calibri"/>
          <w:sz w:val="24"/>
          <w:szCs w:val="24"/>
        </w:rPr>
        <w:t>do Re</w:t>
      </w:r>
      <w:r w:rsidRPr="00EA2BB2">
        <w:rPr>
          <w:rFonts w:eastAsia="Calibri"/>
          <w:sz w:val="24"/>
          <w:szCs w:val="24"/>
        </w:rPr>
        <w:t>gional</w:t>
      </w:r>
      <w:r>
        <w:rPr>
          <w:rFonts w:eastAsia="Calibri"/>
          <w:sz w:val="24"/>
          <w:szCs w:val="24"/>
        </w:rPr>
        <w:t xml:space="preserve"> que manteve a sentença que julgou extinto o processo</w:t>
      </w:r>
      <w:r w:rsidR="00FE421F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sem resolução de mérito, por incompetência da Justiça do Trabalho para apreciar o pedido de correção de honorários médicos de profissionais vinculados às gestoras de plano de saúde</w:t>
      </w:r>
      <w:r w:rsidRPr="00EA2BB2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hyperlink r:id="rId8" w:history="1">
        <w:r w:rsidRPr="00C028BC">
          <w:rPr>
            <w:rStyle w:val="Hyperlink"/>
            <w:rFonts w:eastAsia="Calibri"/>
            <w:sz w:val="24"/>
            <w:szCs w:val="24"/>
          </w:rPr>
          <w:t>TST-E-ED-RR-1485-76.2010.5.09.0012</w:t>
        </w:r>
      </w:hyperlink>
      <w:r w:rsidRPr="00EA2BB2">
        <w:rPr>
          <w:rFonts w:eastAsia="Calibri"/>
          <w:sz w:val="24"/>
          <w:szCs w:val="24"/>
          <w:u w:val="single"/>
        </w:rPr>
        <w:t xml:space="preserve">, SBDI-I, rel. Min. Guilherme Augusto Caputo Bastos, </w:t>
      </w:r>
      <w:r>
        <w:rPr>
          <w:rFonts w:eastAsia="Calibri"/>
          <w:sz w:val="24"/>
          <w:szCs w:val="24"/>
          <w:u w:val="single"/>
        </w:rPr>
        <w:t>30</w:t>
      </w:r>
      <w:r w:rsidRPr="00EA2BB2">
        <w:rPr>
          <w:rFonts w:eastAsia="Calibri"/>
          <w:sz w:val="24"/>
          <w:szCs w:val="24"/>
          <w:u w:val="single"/>
        </w:rPr>
        <w:t>.</w:t>
      </w:r>
      <w:r>
        <w:rPr>
          <w:rFonts w:eastAsia="Calibri"/>
          <w:sz w:val="24"/>
          <w:szCs w:val="24"/>
          <w:u w:val="single"/>
        </w:rPr>
        <w:t>6</w:t>
      </w:r>
      <w:r w:rsidRPr="00EA2BB2">
        <w:rPr>
          <w:rFonts w:eastAsia="Calibri"/>
          <w:sz w:val="24"/>
          <w:szCs w:val="24"/>
          <w:u w:val="single"/>
        </w:rPr>
        <w:t>.201</w:t>
      </w:r>
      <w:r>
        <w:rPr>
          <w:rFonts w:eastAsia="Calibri"/>
          <w:sz w:val="24"/>
          <w:szCs w:val="24"/>
          <w:u w:val="single"/>
        </w:rPr>
        <w:t>6</w:t>
      </w:r>
    </w:p>
    <w:p w:rsidR="00F753D1" w:rsidRDefault="00F753D1" w:rsidP="00C6738C"/>
    <w:p w:rsidR="00FE421F" w:rsidRPr="008E3CCE" w:rsidRDefault="00FE421F" w:rsidP="00C6738C"/>
    <w:p w:rsidR="00B335D5" w:rsidRPr="00CE7555" w:rsidRDefault="00B335D5" w:rsidP="00B335D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8A1A58" w:rsidRPr="00FE421F" w:rsidRDefault="008A1A58" w:rsidP="00B335D5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8E3CCE" w:rsidRDefault="008E3CCE" w:rsidP="008E3CC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Conflito negativo de competência. Carta precatória. Oitiva de testemunhas. Degravação de depoimentos audiovisuais. Competência do juízo deprecado.</w:t>
      </w:r>
    </w:p>
    <w:p w:rsidR="008E3CCE" w:rsidRDefault="008E3CCE" w:rsidP="008E3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atribuição do juízo deprecado proceder à degravação dos depoimentos colhidos em audiência por meio audiovisual. Na hipótese, após a oitiva das testemunhas, o juízo deprecado determinou a devolução das cartas precatórias sem que houvesse realizado a degravação dos depoimentos, cujo conteúdo foi disponibilizado mediante mídia (CD). De acordo com o art. 417, § 1º, do CPC de 1973, o depoimento registrado por meio idôneo de documentação será </w:t>
      </w:r>
      <w:r w:rsidRPr="00457194">
        <w:rPr>
          <w:sz w:val="24"/>
          <w:szCs w:val="24"/>
        </w:rPr>
        <w:t>passado para a versão datilográfica quando</w:t>
      </w:r>
      <w:r>
        <w:rPr>
          <w:sz w:val="24"/>
          <w:szCs w:val="24"/>
        </w:rPr>
        <w:t xml:space="preserve"> houver recurso da sentença ou quando </w:t>
      </w:r>
      <w:r w:rsidRPr="00457194">
        <w:rPr>
          <w:sz w:val="24"/>
          <w:szCs w:val="24"/>
        </w:rPr>
        <w:t>o juiz o determinar</w:t>
      </w:r>
      <w:r>
        <w:rPr>
          <w:sz w:val="24"/>
          <w:szCs w:val="24"/>
        </w:rPr>
        <w:t>, de ofício</w:t>
      </w:r>
      <w:r w:rsidRPr="00457194">
        <w:rPr>
          <w:sz w:val="24"/>
          <w:szCs w:val="24"/>
        </w:rPr>
        <w:t xml:space="preserve"> ou a requerimento da parte</w:t>
      </w:r>
      <w:r>
        <w:rPr>
          <w:sz w:val="24"/>
          <w:szCs w:val="24"/>
        </w:rPr>
        <w:t xml:space="preserve">, razão pela qual não se pode atribuir ao reclamante ou ao reclamado a responsabilidade da degravação. De outra sorte, o registro audiovisual não fora determinado pelo juízo deprecante, mas decorrera de iniciativa do próprio juízo deprecado, razão pela qual se conclui que cabe a este o ônus da degravação. </w:t>
      </w:r>
      <w:r w:rsidRPr="000269FB">
        <w:rPr>
          <w:sz w:val="24"/>
          <w:szCs w:val="24"/>
        </w:rPr>
        <w:t>Sob esses fundamentos,</w:t>
      </w:r>
      <w:r>
        <w:rPr>
          <w:sz w:val="24"/>
          <w:szCs w:val="24"/>
        </w:rPr>
        <w:t xml:space="preserve"> e citando precedentes do STJ que afirmam ser a transcrição de depoimentos obrigação do juízo deprecado, como parte do cumprimento integral da carta precatória,</w:t>
      </w:r>
      <w:r w:rsidRPr="000269FB">
        <w:rPr>
          <w:sz w:val="24"/>
          <w:szCs w:val="24"/>
        </w:rPr>
        <w:t xml:space="preserve"> a SBDI-II, por unanimidade, conheceu do conflito negativo de competência e declarou competente o Juízo da 9ª Vara do Trabalho de Curitiba</w:t>
      </w:r>
      <w:r>
        <w:rPr>
          <w:sz w:val="24"/>
          <w:szCs w:val="24"/>
        </w:rPr>
        <w:t xml:space="preserve"> (deprecado)</w:t>
      </w:r>
      <w:r w:rsidRPr="000269FB">
        <w:rPr>
          <w:sz w:val="24"/>
          <w:szCs w:val="24"/>
        </w:rPr>
        <w:t xml:space="preserve"> para efetuar a degravação das declarações das testemunhas ali ouvidas mediante registro audiovisual. </w:t>
      </w:r>
      <w:hyperlink r:id="rId9" w:history="1">
        <w:r w:rsidRPr="009870AC">
          <w:rPr>
            <w:rStyle w:val="Hyperlink"/>
            <w:sz w:val="24"/>
            <w:szCs w:val="24"/>
          </w:rPr>
          <w:t>TST-CC-10634-88.2013.5.07.0031</w:t>
        </w:r>
      </w:hyperlink>
      <w:r w:rsidRPr="009870AC">
        <w:rPr>
          <w:sz w:val="24"/>
          <w:szCs w:val="24"/>
          <w:u w:val="single"/>
        </w:rPr>
        <w:t>, SBDI-II, rel. Min. Antonio José de Barros Levenhagen</w:t>
      </w:r>
      <w:r>
        <w:rPr>
          <w:sz w:val="24"/>
          <w:szCs w:val="24"/>
          <w:u w:val="single"/>
        </w:rPr>
        <w:t xml:space="preserve">, 28.6.2016 </w:t>
      </w:r>
    </w:p>
    <w:p w:rsidR="00FE421F" w:rsidRDefault="00FE421F" w:rsidP="008E3CCE">
      <w:pPr>
        <w:ind w:right="-1"/>
        <w:jc w:val="both"/>
        <w:rPr>
          <w:b/>
          <w:i/>
          <w:sz w:val="24"/>
          <w:szCs w:val="24"/>
        </w:rPr>
      </w:pPr>
    </w:p>
    <w:p w:rsidR="008E3CCE" w:rsidRPr="008E3CCE" w:rsidRDefault="008E3CCE" w:rsidP="008E3CCE">
      <w:pPr>
        <w:ind w:right="-1"/>
        <w:jc w:val="both"/>
        <w:rPr>
          <w:b/>
          <w:i/>
          <w:sz w:val="24"/>
          <w:szCs w:val="24"/>
        </w:rPr>
      </w:pPr>
      <w:r w:rsidRPr="008E3CCE">
        <w:rPr>
          <w:b/>
          <w:i/>
          <w:sz w:val="24"/>
          <w:szCs w:val="24"/>
        </w:rPr>
        <w:lastRenderedPageBreak/>
        <w:t xml:space="preserve">Mandado de segurança. Despedida por justa causa de grupo de empregados. Alegação de desídia e mau </w:t>
      </w:r>
      <w:r w:rsidR="0086211B">
        <w:rPr>
          <w:b/>
          <w:i/>
          <w:sz w:val="24"/>
          <w:szCs w:val="24"/>
        </w:rPr>
        <w:t>procedimento</w:t>
      </w:r>
      <w:r w:rsidRPr="008E3CCE">
        <w:rPr>
          <w:b/>
          <w:i/>
          <w:sz w:val="24"/>
          <w:szCs w:val="24"/>
        </w:rPr>
        <w:t>. Ausência de provas pré-constituídas. Deferimento da tutela antecipada. Reintegração. Manutenção.</w:t>
      </w:r>
    </w:p>
    <w:p w:rsidR="008E3CCE" w:rsidRPr="008E3CCE" w:rsidRDefault="008E3CCE" w:rsidP="008E3CCE">
      <w:pPr>
        <w:jc w:val="both"/>
        <w:rPr>
          <w:sz w:val="24"/>
          <w:szCs w:val="24"/>
        </w:rPr>
      </w:pPr>
      <w:r w:rsidRPr="008E3CCE">
        <w:rPr>
          <w:sz w:val="24"/>
          <w:szCs w:val="24"/>
        </w:rPr>
        <w:t>A sonegação de trabalho junto ao tomador, com adoção de meios de coação contra empregados que intentavam trabalhar</w:t>
      </w:r>
      <w:r w:rsidR="0086211B">
        <w:rPr>
          <w:sz w:val="24"/>
          <w:szCs w:val="24"/>
        </w:rPr>
        <w:t>,</w:t>
      </w:r>
      <w:r w:rsidRPr="008E3CCE">
        <w:rPr>
          <w:sz w:val="24"/>
          <w:szCs w:val="24"/>
        </w:rPr>
        <w:t xml:space="preserve"> não justifica, por si só, o despedimento de vinte e um trabalhadores por justa causa, sob a alegação de mau procedimento e desídia. Nos termos da Súmula nº 316 do STF, a simples adesão a greve não constitui falta grave. Ademais, nos autos do mandado de segurança, não vieram provas pré-constituídas de que, quanto à desídia, todos os empregados foram anteriormente punidos com sanções mais brandas, conforme exigido pela jurisprudência do TST. Outro</w:t>
      </w:r>
      <w:r w:rsidR="0086211B">
        <w:rPr>
          <w:sz w:val="24"/>
          <w:szCs w:val="24"/>
        </w:rPr>
        <w:t>ssim, quanto ao mau procedimento</w:t>
      </w:r>
      <w:r w:rsidRPr="008E3CCE">
        <w:rPr>
          <w:sz w:val="24"/>
          <w:szCs w:val="24"/>
        </w:rPr>
        <w:t xml:space="preserve">, também não houve manifestação sobre o conteúdo da referida conduta. Desse modo, ausentes maiores especificações a respeito do comportamento coletivo que culminou na despedida dos empregados por justa causa, sobressai a verossimilhança da tese de que as despedidas constituíram tão somente reprimenda à ação coletiva dos trabalhadores, o que justifica o deferimento da antecipação da tutela nos autos da reclamação trabalhista. Sob esses fundamentos, a SBDI-II, por unanimidade, conheceu do recurso ordinário e, no mérito, por maioria, negou-lhe provimento, mantendo a decisão que, ao denegar a segurança, rejeitou o pedido de suspensão da antecipação da tutela por meio da qual se determinou a reintegração dos vinte e um empregados. Vencido o Ministro Antonio José de Barros Levenhagen. </w:t>
      </w:r>
      <w:hyperlink r:id="rId10" w:history="1">
        <w:r w:rsidRPr="00C028BC">
          <w:rPr>
            <w:rStyle w:val="Hyperlink"/>
            <w:sz w:val="24"/>
            <w:szCs w:val="24"/>
          </w:rPr>
          <w:t>TST-RO-5107-61.2015.5.15.0000</w:t>
        </w:r>
      </w:hyperlink>
      <w:r w:rsidRPr="008E3CCE">
        <w:rPr>
          <w:sz w:val="24"/>
          <w:szCs w:val="24"/>
          <w:u w:val="single"/>
        </w:rPr>
        <w:t>, SBDI-II, rel. Min. Alberto Luiz Bresciani de Fontan Pereira , 28.6.2016</w:t>
      </w:r>
    </w:p>
    <w:p w:rsidR="008A1A58" w:rsidRPr="00AC5C19" w:rsidRDefault="008A1A58" w:rsidP="00B335D5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F753D1" w:rsidRDefault="00F753D1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37" w:rsidRDefault="009A5D37">
      <w:r>
        <w:separator/>
      </w:r>
    </w:p>
  </w:endnote>
  <w:endnote w:type="continuationSeparator" w:id="0">
    <w:p w:rsidR="009A5D37" w:rsidRDefault="009A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B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F6BB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37" w:rsidRDefault="009A5D37">
      <w:r>
        <w:separator/>
      </w:r>
    </w:p>
  </w:footnote>
  <w:footnote w:type="continuationSeparator" w:id="0">
    <w:p w:rsidR="009A5D37" w:rsidRDefault="009A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8E3CCE">
      <w:rPr>
        <w:shadow/>
        <w:sz w:val="24"/>
        <w:szCs w:val="24"/>
      </w:rPr>
      <w:t>40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>Período:</w:t>
    </w:r>
    <w:r w:rsidR="009802D2">
      <w:rPr>
        <w:i/>
        <w:iCs/>
      </w:rPr>
      <w:t xml:space="preserve"> 2</w:t>
    </w:r>
    <w:r w:rsidR="008E3CCE">
      <w:rPr>
        <w:i/>
        <w:iCs/>
      </w:rPr>
      <w:t xml:space="preserve">8 de junho a 1º de agosto 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393131">
      <w:rPr>
        <w:b/>
        <w:sz w:val="40"/>
        <w:szCs w:val="40"/>
      </w:rPr>
      <w:t>40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B335D5">
      <w:rPr>
        <w:i/>
        <w:iCs/>
      </w:rPr>
      <w:t>2</w:t>
    </w:r>
    <w:r w:rsidR="008E3CCE">
      <w:rPr>
        <w:i/>
        <w:iCs/>
      </w:rPr>
      <w:t>8</w:t>
    </w:r>
    <w:r w:rsidR="00B335D5">
      <w:rPr>
        <w:i/>
        <w:iCs/>
      </w:rPr>
      <w:t xml:space="preserve"> </w:t>
    </w:r>
    <w:r w:rsidR="00F675D5">
      <w:rPr>
        <w:i/>
        <w:iCs/>
      </w:rPr>
      <w:t>de junho</w:t>
    </w:r>
    <w:r w:rsidR="008E3CCE">
      <w:rPr>
        <w:i/>
        <w:iCs/>
      </w:rPr>
      <w:t xml:space="preserve"> a 1º de agosto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425FC"/>
    <w:rsid w:val="00050E85"/>
    <w:rsid w:val="0005125E"/>
    <w:rsid w:val="00055A9D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11575C"/>
    <w:rsid w:val="0011692E"/>
    <w:rsid w:val="001257D7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B2C08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3131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3641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2EE9"/>
    <w:rsid w:val="007D469A"/>
    <w:rsid w:val="007E094E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2D2"/>
    <w:rsid w:val="00980944"/>
    <w:rsid w:val="00986D77"/>
    <w:rsid w:val="00993A6E"/>
    <w:rsid w:val="009943EC"/>
    <w:rsid w:val="009A32D5"/>
    <w:rsid w:val="009A5D37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AF6BB4"/>
    <w:rsid w:val="00B06261"/>
    <w:rsid w:val="00B108BA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28BC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06DC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485&amp;digitoTst=76&amp;anoTst=2010&amp;orgaoTst=5&amp;tribunalTst=09&amp;varaTst=00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5107&amp;digitoTst=61&amp;anoTst=2015&amp;orgaoTst=5&amp;tribunalTst=15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634&amp;digitoTst=88&amp;anoTst=2013&amp;orgaoTst=5&amp;tribunalTst=&amp;varaTst=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21C5-301B-4739-AD89-D1ABA05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5830</CharactersWithSpaces>
  <SharedDoc>false</SharedDoc>
  <HLinks>
    <vt:vector size="18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http://aplicacao4.tst.jus.br/consultaProcessual/consultaTstNumUnica.do?consulta=Consultar&amp;conscsjt=&amp;numeroTst=5107&amp;digitoTst=61&amp;anoTst=2015&amp;orgaoTst=5&amp;tribunalTst=15&amp;varaTst=0000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http://aplicacao4.tst.jus.br/consultaProcessual/consultaTstNumUnica.do?consulta=Consultar&amp;conscsjt=&amp;numeroTst=10634&amp;digitoTst=88&amp;anoTst=2013&amp;orgaoTst=5&amp;tribunalTst=&amp;varaTst=</vt:lpwstr>
      </vt:variant>
      <vt:variant>
        <vt:lpwstr/>
      </vt:variant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http://aplicacao4.tst.jus.br/consultaProcessual/consultaTstNumUnica.do?consulta=Consultar&amp;conscsjt=&amp;numeroTst=1485&amp;digitoTst=76&amp;anoTst=2010&amp;orgaoTst=5&amp;tribunalTst=09&amp;varaTst=0012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2016-08-02T17:47:00Z</cp:lastPrinted>
  <dcterms:created xsi:type="dcterms:W3CDTF">2017-05-18T23:10:00Z</dcterms:created>
  <dcterms:modified xsi:type="dcterms:W3CDTF">2017-05-18T23:10:00Z</dcterms:modified>
</cp:coreProperties>
</file>