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rPr>
                <w:sz w:val="16"/>
                <w:szCs w:val="16"/>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p w:rsidR="00651D1B" w:rsidRPr="00187A37" w:rsidRDefault="00651D1B" w:rsidP="00DC50EB">
            <w:pPr>
              <w:pStyle w:val="Cabealho"/>
              <w:tabs>
                <w:tab w:val="clear" w:pos="4419"/>
                <w:tab w:val="clear" w:pos="8838"/>
              </w:tabs>
              <w:jc w:val="both"/>
              <w:rPr>
                <w:sz w:val="10"/>
                <w:szCs w:val="10"/>
              </w:rPr>
            </w:pPr>
          </w:p>
        </w:tc>
      </w:tr>
    </w:tbl>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5D1DE4" w:rsidRDefault="00FE00AD" w:rsidP="00F82D8F">
      <w:pPr>
        <w:pStyle w:val="Corpodetexto2"/>
        <w:jc w:val="center"/>
        <w:rPr>
          <w:b/>
          <w:bCs/>
          <w:emboss/>
          <w:sz w:val="10"/>
          <w:szCs w:val="10"/>
        </w:rPr>
      </w:pPr>
    </w:p>
    <w:p w:rsidR="009573AD" w:rsidRDefault="009573AD" w:rsidP="00A52BDB">
      <w:pPr>
        <w:ind w:right="-142"/>
        <w:jc w:val="both"/>
        <w:rPr>
          <w:b/>
          <w:i/>
          <w:sz w:val="24"/>
          <w:szCs w:val="24"/>
        </w:rPr>
      </w:pPr>
      <w:r>
        <w:rPr>
          <w:b/>
          <w:i/>
          <w:sz w:val="24"/>
          <w:szCs w:val="24"/>
        </w:rPr>
        <w:t>Ministério Público do Trabalho. Ação civil coletiva. Legitimidade ativa.  Supressão de pagamento ou dispensa com intuito punitivo e discriminatório. Direitos individuais homogêneos. Garantia de acesso ao Judiciário.</w:t>
      </w:r>
    </w:p>
    <w:p w:rsidR="009573AD" w:rsidRPr="00562ABF" w:rsidRDefault="009573AD" w:rsidP="00A52BDB">
      <w:pPr>
        <w:ind w:right="-142"/>
        <w:jc w:val="both"/>
        <w:rPr>
          <w:sz w:val="24"/>
          <w:szCs w:val="24"/>
        </w:rPr>
      </w:pPr>
      <w:r>
        <w:rPr>
          <w:sz w:val="24"/>
          <w:szCs w:val="24"/>
        </w:rPr>
        <w:t xml:space="preserve">O Ministério Público do Trabalho tem legitimidade para ajuizar ação civil coletiva em face de empregador que, com intuito punitivo e discriminatório, suprime o pagamento de adicionais e gratificações ou dispensa empregados que ajuizaram reclamação trabalhista e não aderiram a acordo judicial, ainda que a postulação envolva sanções de caráter pecuniário. Trata-se, com efeito, da tutela de direitos individuais homogêneos, sendo cabível a defesa coletiva para facilitar o acesso à Justiça, conferindo uniformidade e relevância às decisões judiciais nos conflitos de massa. Ademais, a pretensão ostenta interesse social relevante, não só para a categoria dos empregados atingidos, mas também para todos os trabalhadores, na medida em que visa assegurar a garantia fundamental de acesso ao Judiciário sem discriminações ou retaliações. Com base nessas premissas e citando precedentes da própria Corte e do STF, a SBDI-I, por unanimidade, conheceu dos embargos, por divergência jurisprudencial e, no mérito, deu-lhes provimento para, reformando o acórdão que extinguira o feito sem resolução de mérito, declarar a legitimidade ativa do </w:t>
      </w:r>
      <w:r w:rsidRPr="00B13B40">
        <w:rPr>
          <w:i/>
          <w:sz w:val="24"/>
          <w:szCs w:val="24"/>
        </w:rPr>
        <w:t>P</w:t>
      </w:r>
      <w:r>
        <w:rPr>
          <w:i/>
          <w:sz w:val="24"/>
          <w:szCs w:val="24"/>
        </w:rPr>
        <w:t>arquet</w:t>
      </w:r>
      <w:r>
        <w:rPr>
          <w:sz w:val="24"/>
          <w:szCs w:val="24"/>
        </w:rPr>
        <w:t xml:space="preserve"> e determinar o retorno dos autos à </w:t>
      </w:r>
      <w:r w:rsidR="00A52BDB">
        <w:rPr>
          <w:sz w:val="24"/>
          <w:szCs w:val="24"/>
        </w:rPr>
        <w:t>T</w:t>
      </w:r>
      <w:r>
        <w:rPr>
          <w:sz w:val="24"/>
          <w:szCs w:val="24"/>
        </w:rPr>
        <w:t>urma de origem para julgar o recurso de revista da primeira reclamada como entender de direito</w:t>
      </w:r>
      <w:r w:rsidRPr="003D032E">
        <w:rPr>
          <w:sz w:val="24"/>
          <w:szCs w:val="24"/>
        </w:rPr>
        <w:t>.</w:t>
      </w:r>
      <w:r>
        <w:rPr>
          <w:sz w:val="24"/>
          <w:szCs w:val="24"/>
        </w:rPr>
        <w:t xml:space="preserve"> </w:t>
      </w:r>
      <w:hyperlink r:id="rId8" w:history="1">
        <w:r w:rsidRPr="00A52BDB">
          <w:rPr>
            <w:rStyle w:val="Hyperlink"/>
            <w:sz w:val="24"/>
            <w:szCs w:val="24"/>
          </w:rPr>
          <w:t>TST-E-ED-RR-197400-58.2003.5.19.0003</w:t>
        </w:r>
      </w:hyperlink>
      <w:r w:rsidRPr="003D032E">
        <w:rPr>
          <w:sz w:val="24"/>
          <w:szCs w:val="24"/>
          <w:u w:val="single"/>
        </w:rPr>
        <w:t>, SBDI-</w:t>
      </w:r>
      <w:r>
        <w:rPr>
          <w:sz w:val="24"/>
          <w:szCs w:val="24"/>
          <w:u w:val="single"/>
        </w:rPr>
        <w:t xml:space="preserve">I, </w:t>
      </w:r>
      <w:r w:rsidRPr="003D032E">
        <w:rPr>
          <w:sz w:val="24"/>
          <w:szCs w:val="24"/>
          <w:u w:val="single"/>
        </w:rPr>
        <w:t xml:space="preserve">Min. </w:t>
      </w:r>
      <w:r>
        <w:rPr>
          <w:sz w:val="24"/>
          <w:szCs w:val="24"/>
          <w:u w:val="single"/>
        </w:rPr>
        <w:t>Augusto César Leite de Carvalho, 21.6.2012</w:t>
      </w:r>
      <w:r w:rsidRPr="003D032E">
        <w:rPr>
          <w:sz w:val="24"/>
          <w:szCs w:val="24"/>
          <w:u w:val="single"/>
        </w:rPr>
        <w:t>.</w:t>
      </w:r>
    </w:p>
    <w:p w:rsidR="009573AD" w:rsidRPr="00A52BDB" w:rsidRDefault="009573AD" w:rsidP="00651D1B">
      <w:pPr>
        <w:jc w:val="both"/>
        <w:rPr>
          <w:b/>
          <w:i/>
          <w:sz w:val="10"/>
          <w:szCs w:val="10"/>
        </w:rPr>
      </w:pPr>
    </w:p>
    <w:p w:rsidR="0085105E" w:rsidRPr="00F2745E" w:rsidRDefault="0085105E" w:rsidP="00A52BDB">
      <w:pPr>
        <w:pStyle w:val="Default"/>
        <w:ind w:right="-142"/>
        <w:jc w:val="both"/>
        <w:rPr>
          <w:b/>
          <w:i/>
          <w:color w:val="auto"/>
        </w:rPr>
      </w:pPr>
      <w:r w:rsidRPr="00F2745E">
        <w:rPr>
          <w:b/>
          <w:i/>
          <w:color w:val="auto"/>
        </w:rPr>
        <w:t xml:space="preserve">Despacho de admissibilidade do recurso de revista que afasta as violações de lei indicadas </w:t>
      </w:r>
      <w:r>
        <w:rPr>
          <w:b/>
          <w:i/>
          <w:color w:val="auto"/>
        </w:rPr>
        <w:t xml:space="preserve">e </w:t>
      </w:r>
      <w:r w:rsidRPr="00F2745E">
        <w:rPr>
          <w:b/>
          <w:i/>
          <w:color w:val="auto"/>
        </w:rPr>
        <w:t xml:space="preserve">aponta </w:t>
      </w:r>
      <w:r>
        <w:rPr>
          <w:b/>
          <w:i/>
          <w:color w:val="auto"/>
        </w:rPr>
        <w:t xml:space="preserve">como </w:t>
      </w:r>
      <w:r w:rsidRPr="00F2745E">
        <w:rPr>
          <w:b/>
          <w:i/>
          <w:color w:val="auto"/>
        </w:rPr>
        <w:t>óbice ao processamento</w:t>
      </w:r>
      <w:r>
        <w:rPr>
          <w:b/>
          <w:i/>
          <w:color w:val="auto"/>
        </w:rPr>
        <w:t xml:space="preserve"> a </w:t>
      </w:r>
      <w:r w:rsidRPr="00F2745E">
        <w:rPr>
          <w:b/>
          <w:i/>
          <w:color w:val="auto"/>
        </w:rPr>
        <w:t>Súmula nº 126 do TST</w:t>
      </w:r>
      <w:r>
        <w:rPr>
          <w:b/>
          <w:i/>
          <w:color w:val="auto"/>
        </w:rPr>
        <w:t xml:space="preserve">. </w:t>
      </w:r>
      <w:r w:rsidRPr="00F2745E">
        <w:rPr>
          <w:b/>
          <w:i/>
          <w:color w:val="auto"/>
        </w:rPr>
        <w:t xml:space="preserve"> </w:t>
      </w:r>
      <w:r>
        <w:rPr>
          <w:b/>
          <w:i/>
          <w:color w:val="auto"/>
        </w:rPr>
        <w:t xml:space="preserve">Agravo de instrumento que impugna apenas o tema que se referia às violações afastadas. </w:t>
      </w:r>
      <w:r w:rsidRPr="00F2745E">
        <w:rPr>
          <w:b/>
          <w:i/>
          <w:color w:val="auto"/>
        </w:rPr>
        <w:t>Decisão que não conhece d</w:t>
      </w:r>
      <w:r>
        <w:rPr>
          <w:b/>
          <w:i/>
          <w:color w:val="auto"/>
        </w:rPr>
        <w:t xml:space="preserve">o recurso </w:t>
      </w:r>
      <w:r w:rsidRPr="00F2745E">
        <w:rPr>
          <w:b/>
          <w:i/>
          <w:color w:val="auto"/>
        </w:rPr>
        <w:t>por ausência de fundamentação. Súmula n.º 422 do TST.</w:t>
      </w:r>
      <w:r>
        <w:rPr>
          <w:b/>
          <w:i/>
          <w:color w:val="auto"/>
        </w:rPr>
        <w:t xml:space="preserve"> Má aplicação. </w:t>
      </w:r>
      <w:r w:rsidRPr="00F2745E">
        <w:rPr>
          <w:b/>
          <w:i/>
          <w:color w:val="auto"/>
        </w:rPr>
        <w:t xml:space="preserve"> </w:t>
      </w:r>
    </w:p>
    <w:p w:rsidR="0085105E" w:rsidRPr="00B2680E" w:rsidRDefault="0085105E" w:rsidP="00A52BDB">
      <w:pPr>
        <w:pStyle w:val="Transcrio"/>
        <w:spacing w:line="240" w:lineRule="auto"/>
        <w:ind w:left="0" w:right="-142" w:firstLine="0"/>
        <w:rPr>
          <w:lang w:val="pt-BR"/>
        </w:rPr>
      </w:pPr>
      <w:r w:rsidRPr="00F2745E">
        <w:rPr>
          <w:rFonts w:eastAsia="Calibri"/>
          <w:color w:val="auto"/>
          <w:lang w:val="pt-BR" w:eastAsia="en-US"/>
        </w:rPr>
        <w:t xml:space="preserve">No caso em que o despacho de admissibilidade do recurso de revista proferido pelo TRT aponta a Súmula nº 126 do TST como óbice ao processamento do recurso e, ao mesmo tempo, afasta as violações de lei indicadas nas razões do apelo, cabe ao TST, na apreciação do agravo de instrumento, inferir em quais temas em análise realmente seria aplicável a vedação à reapreciação de fatos e provas e em que casos se estaria afastando as violações de lei. Assim, tendo em conta que, na espécie, o tema objeto do inconformismo do agravante referia-se apenas às violações afastadas e não ao óbice da Súmula nº 126 do TST, conclui-se que o agravo de instrumento que apenas renova as violações apontadas encontra-se devidamente fundamentado. Com esse entendimento, a SBDI-I, por unanimidade, conheceu dos embargos por má aplicação da Súmula nº 422 do TST e, no mérito, deu-lhes provimento para determinar o retorno dos autos à </w:t>
      </w:r>
      <w:r w:rsidR="00A52BDB">
        <w:rPr>
          <w:rFonts w:eastAsia="Calibri"/>
          <w:color w:val="auto"/>
          <w:lang w:val="pt-BR" w:eastAsia="en-US"/>
        </w:rPr>
        <w:t>T</w:t>
      </w:r>
      <w:r w:rsidRPr="00F2745E">
        <w:rPr>
          <w:rFonts w:eastAsia="Calibri"/>
          <w:color w:val="auto"/>
          <w:lang w:val="pt-BR" w:eastAsia="en-US"/>
        </w:rPr>
        <w:t>urma</w:t>
      </w:r>
      <w:r>
        <w:rPr>
          <w:rFonts w:eastAsia="Calibri"/>
          <w:color w:val="auto"/>
          <w:lang w:val="pt-BR" w:eastAsia="en-US"/>
        </w:rPr>
        <w:t xml:space="preserve"> de origem</w:t>
      </w:r>
      <w:r w:rsidRPr="00F2745E">
        <w:rPr>
          <w:rFonts w:eastAsia="Calibri"/>
          <w:color w:val="auto"/>
          <w:lang w:val="pt-BR" w:eastAsia="en-US"/>
        </w:rPr>
        <w:t xml:space="preserve"> para que, afastado o óbice ao conhecimento do recurso, o aprecie como de direito.</w:t>
      </w:r>
      <w:r w:rsidRPr="00B800C5">
        <w:rPr>
          <w:lang w:val="pt-BR"/>
        </w:rPr>
        <w:t xml:space="preserve"> </w:t>
      </w:r>
      <w:hyperlink r:id="rId9" w:history="1">
        <w:r w:rsidRPr="00A52BDB">
          <w:rPr>
            <w:rStyle w:val="Hyperlink"/>
            <w:rFonts w:eastAsia="Calibri"/>
            <w:lang w:val="pt-BR" w:eastAsia="en-US"/>
          </w:rPr>
          <w:t>TST-E-AIRR-418-60.2010.5.06.0012</w:t>
        </w:r>
      </w:hyperlink>
      <w:r w:rsidRPr="00F2745E">
        <w:rPr>
          <w:rFonts w:eastAsia="Calibri"/>
          <w:color w:val="auto"/>
          <w:u w:val="single"/>
          <w:lang w:val="pt-BR" w:eastAsia="en-US"/>
        </w:rPr>
        <w:t>, SBDI-1, rel. Luiz Philippe Vieira de Mello Filho,21.6.2012.</w:t>
      </w:r>
    </w:p>
    <w:p w:rsidR="0085105E" w:rsidRPr="00A52BDB" w:rsidRDefault="0085105E" w:rsidP="00651D1B">
      <w:pPr>
        <w:jc w:val="both"/>
        <w:rPr>
          <w:b/>
          <w:i/>
          <w:sz w:val="10"/>
          <w:szCs w:val="10"/>
        </w:rPr>
      </w:pPr>
    </w:p>
    <w:p w:rsidR="0085105E" w:rsidRDefault="0085105E" w:rsidP="00A52BDB">
      <w:pPr>
        <w:ind w:right="-142"/>
        <w:jc w:val="both"/>
        <w:rPr>
          <w:sz w:val="24"/>
          <w:szCs w:val="24"/>
        </w:rPr>
      </w:pPr>
      <w:r>
        <w:rPr>
          <w:b/>
          <w:i/>
          <w:sz w:val="24"/>
          <w:szCs w:val="24"/>
        </w:rPr>
        <w:t>Confissão real. Valoração. Existência de prova em contrário. Princípio do livre convencimento do juiz.</w:t>
      </w:r>
      <w:r w:rsidRPr="00C5183E">
        <w:rPr>
          <w:sz w:val="24"/>
          <w:szCs w:val="24"/>
          <w:u w:val="single"/>
        </w:rPr>
        <w:t xml:space="preserve"> </w:t>
      </w:r>
    </w:p>
    <w:p w:rsidR="0085105E" w:rsidRDefault="0085105E" w:rsidP="00A52BDB">
      <w:pPr>
        <w:ind w:right="-142"/>
        <w:jc w:val="both"/>
        <w:rPr>
          <w:sz w:val="24"/>
          <w:szCs w:val="24"/>
        </w:rPr>
      </w:pPr>
      <w:r>
        <w:rPr>
          <w:sz w:val="24"/>
          <w:szCs w:val="24"/>
        </w:rPr>
        <w:t xml:space="preserve">O princípio do livre convencimento do juiz, consubstanciado no art. 131 do CPC, que estabelece a liberdade do julgador no exame das provas produzidas no curso da instrução processual, permite concluir que a confissão real não se sobrepõe, por si só, ao conjunto das demais provas constantes dos autos, cabendo ao juiz definir seu valor, à luz das circunstâncias de cada caso. Com esse </w:t>
      </w:r>
      <w:r>
        <w:rPr>
          <w:sz w:val="24"/>
          <w:szCs w:val="24"/>
        </w:rPr>
        <w:lastRenderedPageBreak/>
        <w:t xml:space="preserve">entendimento, a SBDI-I, por unanimidade, </w:t>
      </w:r>
      <w:r w:rsidRPr="008E7BA0">
        <w:rPr>
          <w:sz w:val="24"/>
          <w:szCs w:val="24"/>
        </w:rPr>
        <w:t>conhece</w:t>
      </w:r>
      <w:r>
        <w:rPr>
          <w:sz w:val="24"/>
          <w:szCs w:val="24"/>
        </w:rPr>
        <w:t>u</w:t>
      </w:r>
      <w:r w:rsidRPr="008E7BA0">
        <w:rPr>
          <w:sz w:val="24"/>
          <w:szCs w:val="24"/>
        </w:rPr>
        <w:t xml:space="preserve"> dos embargos por divergência jurisprudencial</w:t>
      </w:r>
      <w:r>
        <w:rPr>
          <w:sz w:val="24"/>
          <w:szCs w:val="24"/>
        </w:rPr>
        <w:t xml:space="preserve"> e, no mérito, por maioria, negou</w:t>
      </w:r>
      <w:r w:rsidRPr="008E7BA0">
        <w:rPr>
          <w:sz w:val="24"/>
          <w:szCs w:val="24"/>
        </w:rPr>
        <w:t>-lhes provimento</w:t>
      </w:r>
      <w:r>
        <w:rPr>
          <w:sz w:val="24"/>
          <w:szCs w:val="24"/>
        </w:rPr>
        <w:t xml:space="preserve">, mantendo decisão </w:t>
      </w:r>
      <w:r w:rsidR="00A52BDB">
        <w:rPr>
          <w:sz w:val="24"/>
          <w:szCs w:val="24"/>
        </w:rPr>
        <w:t xml:space="preserve">turmária </w:t>
      </w:r>
      <w:r>
        <w:rPr>
          <w:sz w:val="24"/>
          <w:szCs w:val="24"/>
        </w:rPr>
        <w:t>que, na hipótese, reconheceu a possibilidade de se elidir os efeitos da confissão resultante de depoimento pessoal por meio de prova em contrário juntada aos autos e não impugnada. V</w:t>
      </w:r>
      <w:r w:rsidRPr="008E7BA0">
        <w:rPr>
          <w:sz w:val="24"/>
          <w:szCs w:val="24"/>
        </w:rPr>
        <w:t>encidos os Ministros Milton de Moura França, Horácio Senna Pires, Renato de Lacerda Paiva, Aloysio Corrêa da Veiga, A</w:t>
      </w:r>
      <w:r w:rsidR="00311D52">
        <w:rPr>
          <w:sz w:val="24"/>
          <w:szCs w:val="24"/>
        </w:rPr>
        <w:t>ugusto César de Carvalho e Delaí</w:t>
      </w:r>
      <w:r w:rsidRPr="008E7BA0">
        <w:rPr>
          <w:sz w:val="24"/>
          <w:szCs w:val="24"/>
        </w:rPr>
        <w:t>de Miranda Arantes.</w:t>
      </w:r>
      <w:r w:rsidR="00A52BDB">
        <w:rPr>
          <w:sz w:val="24"/>
          <w:szCs w:val="24"/>
        </w:rPr>
        <w:t xml:space="preserve"> </w:t>
      </w:r>
      <w:hyperlink r:id="rId10" w:history="1">
        <w:r w:rsidRPr="00A52BDB">
          <w:rPr>
            <w:rStyle w:val="Hyperlink"/>
            <w:sz w:val="24"/>
            <w:szCs w:val="24"/>
          </w:rPr>
          <w:t>TST-E-ED-ED-ED-RR-112300-51.2000.5.02.0024</w:t>
        </w:r>
      </w:hyperlink>
      <w:r w:rsidRPr="003D032E">
        <w:rPr>
          <w:sz w:val="24"/>
          <w:szCs w:val="24"/>
          <w:u w:val="single"/>
        </w:rPr>
        <w:t>, SBDI-</w:t>
      </w:r>
      <w:r>
        <w:rPr>
          <w:sz w:val="24"/>
          <w:szCs w:val="24"/>
          <w:u w:val="single"/>
        </w:rPr>
        <w:t>I</w:t>
      </w:r>
      <w:r w:rsidRPr="003D032E">
        <w:rPr>
          <w:sz w:val="24"/>
          <w:szCs w:val="24"/>
          <w:u w:val="single"/>
        </w:rPr>
        <w:t xml:space="preserve">, rel. Min. </w:t>
      </w:r>
      <w:r>
        <w:rPr>
          <w:sz w:val="24"/>
          <w:szCs w:val="24"/>
          <w:u w:val="single"/>
        </w:rPr>
        <w:t>Lelio Bentes Corrêa, 21.6.2012</w:t>
      </w:r>
      <w:r w:rsidRPr="003D032E">
        <w:rPr>
          <w:sz w:val="24"/>
          <w:szCs w:val="24"/>
          <w:u w:val="single"/>
        </w:rPr>
        <w:t>.</w:t>
      </w:r>
    </w:p>
    <w:p w:rsidR="009573AD" w:rsidRPr="00A52BDB" w:rsidRDefault="009573AD" w:rsidP="00651D1B">
      <w:pPr>
        <w:jc w:val="both"/>
        <w:rPr>
          <w:b/>
          <w:i/>
          <w:sz w:val="10"/>
          <w:szCs w:val="10"/>
        </w:rPr>
      </w:pPr>
    </w:p>
    <w:p w:rsidR="00651D1B" w:rsidRDefault="00651D1B" w:rsidP="00A52BDB">
      <w:pPr>
        <w:ind w:right="-142"/>
        <w:jc w:val="both"/>
        <w:rPr>
          <w:b/>
          <w:i/>
          <w:sz w:val="24"/>
          <w:szCs w:val="24"/>
        </w:rPr>
      </w:pPr>
      <w:r>
        <w:rPr>
          <w:b/>
          <w:i/>
          <w:sz w:val="24"/>
          <w:szCs w:val="24"/>
        </w:rPr>
        <w:t xml:space="preserve">Multa do art. 557, § 2º, do CPC. Análise prejudicada. Provimento do tema principal a que estava ligada. </w:t>
      </w:r>
    </w:p>
    <w:p w:rsidR="00651D1B" w:rsidRDefault="00651D1B" w:rsidP="00A52BDB">
      <w:pPr>
        <w:ind w:right="-142"/>
        <w:jc w:val="both"/>
        <w:rPr>
          <w:color w:val="000000"/>
          <w:sz w:val="24"/>
          <w:szCs w:val="24"/>
          <w:u w:val="single"/>
        </w:rPr>
      </w:pPr>
      <w:r>
        <w:rPr>
          <w:sz w:val="24"/>
          <w:szCs w:val="24"/>
        </w:rPr>
        <w:t xml:space="preserve">Ao concluir pela regularidade da representação e dar provimento aos embargos, reformando decisão turmária que entendera manifestamente infundado o agravo interposto contra o despacho que, no caso, fez incidir a diretriz da Orientação Jurisprudencial n.º 349 da SBDI-I na exegese que lhe dava anteriormente a Subseção, esta decidiu, à unanimidade, como consequência lógica do provimento dos embargos, afastar a multa do art. 557, § 2º, do CPC aplicada na decisão que negou provimento ao agravo, entendendo prejudicada a sua análise diante do provimento do tema principal a que estava ligada. </w:t>
      </w:r>
      <w:hyperlink r:id="rId11" w:history="1">
        <w:r w:rsidRPr="00A52BDB">
          <w:rPr>
            <w:rStyle w:val="Hyperlink"/>
            <w:sz w:val="24"/>
            <w:szCs w:val="24"/>
          </w:rPr>
          <w:t>TST-E-A-AIRR-187040-23.2006.5.08.0114</w:t>
        </w:r>
      </w:hyperlink>
      <w:r>
        <w:rPr>
          <w:sz w:val="24"/>
          <w:szCs w:val="24"/>
          <w:u w:val="single"/>
        </w:rPr>
        <w:t>, SBDI-I, rel. Min. Maria de Assis Calsing, 21.6.2012</w:t>
      </w:r>
    </w:p>
    <w:p w:rsidR="00651D1B" w:rsidRDefault="00651D1B" w:rsidP="002C2904">
      <w:pPr>
        <w:ind w:right="-71"/>
        <w:jc w:val="both"/>
        <w:rPr>
          <w:b/>
          <w:i/>
          <w:sz w:val="24"/>
          <w:szCs w:val="24"/>
        </w:rPr>
      </w:pP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2"/>
      <w:footerReference w:type="default" r:id="rId13"/>
      <w:headerReference w:type="first" r:id="rId14"/>
      <w:footerReference w:type="first" r:id="rId15"/>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5E" w:rsidRDefault="0083165E">
      <w:r>
        <w:separator/>
      </w:r>
    </w:p>
  </w:endnote>
  <w:endnote w:type="continuationSeparator" w:id="0">
    <w:p w:rsidR="0083165E" w:rsidRDefault="0083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41BA">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C541BA">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5E" w:rsidRDefault="0083165E">
      <w:r>
        <w:separator/>
      </w:r>
    </w:p>
  </w:footnote>
  <w:footnote w:type="continuationSeparator" w:id="0">
    <w:p w:rsidR="0083165E" w:rsidRDefault="00831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AE5EDF" w:rsidRPr="00971E07">
      <w:rPr>
        <w:shadow/>
        <w:sz w:val="24"/>
        <w:szCs w:val="24"/>
      </w:rPr>
      <w:t>1</w:t>
    </w:r>
    <w:r w:rsidR="00144983">
      <w:rPr>
        <w:shadow/>
        <w:sz w:val="24"/>
        <w:szCs w:val="24"/>
      </w:rPr>
      <w:t>4</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144983">
      <w:rPr>
        <w:sz w:val="20"/>
        <w:szCs w:val="20"/>
      </w:rPr>
      <w:t>21</w:t>
    </w:r>
    <w:r w:rsidR="00E16E01" w:rsidRPr="00971E07">
      <w:rPr>
        <w:sz w:val="20"/>
        <w:szCs w:val="20"/>
      </w:rPr>
      <w:t xml:space="preserve"> a</w:t>
    </w:r>
    <w:r w:rsidR="00FE00AD" w:rsidRPr="00971E07">
      <w:rPr>
        <w:sz w:val="20"/>
        <w:szCs w:val="20"/>
      </w:rPr>
      <w:t xml:space="preserve"> </w:t>
    </w:r>
    <w:r w:rsidR="00144983">
      <w:rPr>
        <w:sz w:val="20"/>
        <w:szCs w:val="20"/>
      </w:rPr>
      <w:t>2</w:t>
    </w:r>
    <w:r w:rsidR="00E16E01" w:rsidRPr="00971E07">
      <w:rPr>
        <w:sz w:val="20"/>
        <w:szCs w:val="20"/>
      </w:rPr>
      <w:t>7</w:t>
    </w:r>
    <w:r w:rsidR="00FE00AD" w:rsidRPr="00971E07">
      <w:rPr>
        <w:sz w:val="20"/>
        <w:szCs w:val="20"/>
      </w:rPr>
      <w:t xml:space="preserve"> de </w:t>
    </w:r>
    <w:r w:rsidR="00144983">
      <w:rPr>
        <w:sz w:val="20"/>
        <w:szCs w:val="20"/>
      </w:rPr>
      <w:t>junho</w:t>
    </w:r>
    <w:r w:rsidR="00FE00AD" w:rsidRPr="00971E07">
      <w:rPr>
        <w:sz w:val="20"/>
        <w:szCs w:val="20"/>
      </w:rPr>
      <w:t xml:space="preserve"> de 20</w:t>
    </w:r>
    <w:r w:rsidR="00E16E01" w:rsidRPr="00971E07">
      <w:rPr>
        <w:sz w:val="20"/>
        <w:szCs w:val="20"/>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AE5EDF" w:rsidRPr="002168DE">
      <w:rPr>
        <w:b/>
        <w:sz w:val="40"/>
        <w:szCs w:val="40"/>
      </w:rPr>
      <w:t>1</w:t>
    </w:r>
    <w:r w:rsidR="00144983">
      <w:rPr>
        <w:b/>
        <w:sz w:val="40"/>
        <w:szCs w:val="40"/>
      </w:rPr>
      <w:t>4</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144983">
      <w:rPr>
        <w:i/>
        <w:iCs/>
      </w:rPr>
      <w:t xml:space="preserve">21 </w:t>
    </w:r>
    <w:r w:rsidR="00FE00AD" w:rsidRPr="005D1DE4">
      <w:rPr>
        <w:i/>
        <w:iCs/>
      </w:rPr>
      <w:t xml:space="preserve">a </w:t>
    </w:r>
    <w:r w:rsidR="00144983">
      <w:rPr>
        <w:i/>
        <w:iCs/>
      </w:rPr>
      <w:t>27</w:t>
    </w:r>
    <w:r w:rsidR="00FE00AD" w:rsidRPr="005D1DE4">
      <w:rPr>
        <w:i/>
        <w:iCs/>
      </w:rPr>
      <w:t xml:space="preserve"> de </w:t>
    </w:r>
    <w:r w:rsidR="00144983">
      <w:rPr>
        <w:i/>
        <w:iCs/>
      </w:rPr>
      <w:t>junho</w:t>
    </w:r>
    <w:r w:rsidR="00FE00AD" w:rsidRPr="005D1DE4">
      <w:rPr>
        <w:i/>
        <w:iCs/>
      </w:rPr>
      <w:t xml:space="preserve"> de 2012</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44983"/>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11D52"/>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4BEF"/>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1D1B"/>
    <w:rsid w:val="006564EC"/>
    <w:rsid w:val="0066084C"/>
    <w:rsid w:val="00672CF9"/>
    <w:rsid w:val="00672E11"/>
    <w:rsid w:val="0068273B"/>
    <w:rsid w:val="00691234"/>
    <w:rsid w:val="006931CC"/>
    <w:rsid w:val="006947F2"/>
    <w:rsid w:val="00697919"/>
    <w:rsid w:val="006A5073"/>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A27EE"/>
    <w:rsid w:val="007B0F83"/>
    <w:rsid w:val="007D29A1"/>
    <w:rsid w:val="007E0EA7"/>
    <w:rsid w:val="007E3F23"/>
    <w:rsid w:val="007F142E"/>
    <w:rsid w:val="007F7B5E"/>
    <w:rsid w:val="00802B1A"/>
    <w:rsid w:val="0080615C"/>
    <w:rsid w:val="0081027F"/>
    <w:rsid w:val="0081742D"/>
    <w:rsid w:val="00821F4D"/>
    <w:rsid w:val="00823906"/>
    <w:rsid w:val="0083165E"/>
    <w:rsid w:val="008409D3"/>
    <w:rsid w:val="00845559"/>
    <w:rsid w:val="0085105E"/>
    <w:rsid w:val="00854DB8"/>
    <w:rsid w:val="00854EF2"/>
    <w:rsid w:val="00863B86"/>
    <w:rsid w:val="00871F69"/>
    <w:rsid w:val="008842D0"/>
    <w:rsid w:val="00884AC4"/>
    <w:rsid w:val="0088579D"/>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51531"/>
    <w:rsid w:val="009573AD"/>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2BDB"/>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541BA"/>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uiPriority w:val="99"/>
    <w:locked/>
    <w:rsid w:val="008D3C38"/>
    <w:rPr>
      <w:rFonts w:ascii="Courier New" w:hAnsi="Courier New" w:cs="Courier New"/>
      <w:color w:val="000000"/>
      <w:sz w:val="24"/>
      <w:szCs w:val="24"/>
      <w:lang w:val="en-US" w:eastAsia="pt-BR" w:bidi="ar-SA"/>
    </w:rPr>
  </w:style>
  <w:style w:type="paragraph" w:customStyle="1" w:styleId="Default">
    <w:name w:val="Default"/>
    <w:rsid w:val="0085105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02.tst.jus.br/pls/ap01/ap_red100.resumo?num_int=237163&amp;ano_int=2006&amp;qtd_acesso=6086199&amp;novoport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02.tst.jus.br/pls/ap01/ap_red100.resumo?num_int=8741&amp;ano_int=2008&amp;qtd_acesso=1974627&amp;novoportal=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xt02.tst.jus.br/pls/ap01/ap_red100.resumo?num_int=433929&amp;ano_int=2008&amp;qtd_acesso=9628011&amp;novoportal=1" TargetMode="External"/><Relationship Id="rId4" Type="http://schemas.openxmlformats.org/officeDocument/2006/relationships/settings" Target="settings.xml"/><Relationship Id="rId9" Type="http://schemas.openxmlformats.org/officeDocument/2006/relationships/hyperlink" Target="http://ext02.tst.jus.br/pls/ap01/ap_red100.resumo?num_int=184495&amp;ano_int=2011&amp;qtd_acesso=5138235&amp;novoportal=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BE4C-9AC4-4F7B-A88E-1D55E905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5972</CharactersWithSpaces>
  <SharedDoc>false</SharedDoc>
  <HLinks>
    <vt:vector size="24" baseType="variant">
      <vt:variant>
        <vt:i4>655374</vt:i4>
      </vt:variant>
      <vt:variant>
        <vt:i4>9</vt:i4>
      </vt:variant>
      <vt:variant>
        <vt:i4>0</vt:i4>
      </vt:variant>
      <vt:variant>
        <vt:i4>5</vt:i4>
      </vt:variant>
      <vt:variant>
        <vt:lpwstr>http://ext02.tst.jus.br/pls/ap01/ap_red100.resumo?num_int=8741&amp;ano_int=2008&amp;qtd_acesso=1974627&amp;novoportal=1</vt:lpwstr>
      </vt:variant>
      <vt:variant>
        <vt:lpwstr/>
      </vt:variant>
      <vt:variant>
        <vt:i4>3276855</vt:i4>
      </vt:variant>
      <vt:variant>
        <vt:i4>6</vt:i4>
      </vt:variant>
      <vt:variant>
        <vt:i4>0</vt:i4>
      </vt:variant>
      <vt:variant>
        <vt:i4>5</vt:i4>
      </vt:variant>
      <vt:variant>
        <vt:lpwstr>http://ext02.tst.jus.br/pls/ap01/ap_red100.resumo?num_int=433929&amp;ano_int=2008&amp;qtd_acesso=9628011&amp;novoportal=1</vt:lpwstr>
      </vt:variant>
      <vt:variant>
        <vt:lpwstr/>
      </vt:variant>
      <vt:variant>
        <vt:i4>3276850</vt:i4>
      </vt:variant>
      <vt:variant>
        <vt:i4>3</vt:i4>
      </vt:variant>
      <vt:variant>
        <vt:i4>0</vt:i4>
      </vt:variant>
      <vt:variant>
        <vt:i4>5</vt:i4>
      </vt:variant>
      <vt:variant>
        <vt:lpwstr>http://ext02.tst.jus.br/pls/ap01/ap_red100.resumo?num_int=184495&amp;ano_int=2011&amp;qtd_acesso=5138235&amp;novoportal=1</vt:lpwstr>
      </vt:variant>
      <vt:variant>
        <vt:lpwstr/>
      </vt:variant>
      <vt:variant>
        <vt:i4>3932223</vt:i4>
      </vt:variant>
      <vt:variant>
        <vt:i4>0</vt:i4>
      </vt:variant>
      <vt:variant>
        <vt:i4>0</vt:i4>
      </vt:variant>
      <vt:variant>
        <vt:i4>5</vt:i4>
      </vt:variant>
      <vt:variant>
        <vt:lpwstr>http://ext02.tst.jus.br/pls/ap01/ap_red100.resumo?num_int=237163&amp;ano_int=2006&amp;qtd_acesso=6086199&amp;novoportal=1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2012-03-09T15:01:00Z</cp:lastPrinted>
  <dcterms:created xsi:type="dcterms:W3CDTF">2018-06-27T22:30:00Z</dcterms:created>
  <dcterms:modified xsi:type="dcterms:W3CDTF">2018-06-27T22:30:00Z</dcterms:modified>
</cp:coreProperties>
</file>