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C26DFB" w:rsidRPr="00CE7555" w:rsidTr="00FB20B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9538" w:type="dxa"/>
          </w:tcPr>
          <w:p w:rsidR="00C26DFB" w:rsidRDefault="00C26DFB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</w:pPr>
            <w:bookmarkStart w:id="0" w:name="_GoBack"/>
            <w:bookmarkEnd w:id="0"/>
            <w:r w:rsidRPr="00CE7555">
              <w:t>Este Informativo, elaborado a partir de notas tomadas nas sessões de julgamentos, contém resumos não</w:t>
            </w:r>
            <w:r w:rsidR="00DC50EB" w:rsidRPr="00CE7555">
              <w:t xml:space="preserve"> </w:t>
            </w:r>
            <w:r w:rsidRPr="00CE7555">
              <w:t>oficiais de decisões proferidas pelo Tribunal. A fidelidade dos resumos ao conteúdo efetivo das decisões, embora seja uma das metas perseguidas neste trabalho, somente poderá ser aferida após a sua publicação no Diário</w:t>
            </w:r>
            <w:r w:rsidR="00980944" w:rsidRPr="00CE7555">
              <w:t xml:space="preserve"> Eletrônico </w:t>
            </w:r>
            <w:r w:rsidRPr="00CE7555">
              <w:t>da Justiça</w:t>
            </w:r>
            <w:r w:rsidR="00980944" w:rsidRPr="00CE7555">
              <w:t xml:space="preserve"> do Trabalho</w:t>
            </w:r>
            <w:r w:rsidRPr="00CE7555">
              <w:t>.</w:t>
            </w:r>
          </w:p>
          <w:p w:rsidR="00E531C9" w:rsidRPr="00E531C9" w:rsidRDefault="00E531C9" w:rsidP="00DC50EB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sz w:val="10"/>
                <w:szCs w:val="10"/>
              </w:rPr>
            </w:pPr>
          </w:p>
        </w:tc>
      </w:tr>
    </w:tbl>
    <w:p w:rsidR="00F753D1" w:rsidRPr="00055A9D" w:rsidRDefault="00055A9D" w:rsidP="00F753D1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</w:pPr>
      <w:r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  <w:t>TRIBUNAL PLENO</w:t>
      </w:r>
    </w:p>
    <w:p w:rsidR="00055A9D" w:rsidRPr="00055A9D" w:rsidRDefault="00055A9D" w:rsidP="00855623">
      <w:pPr>
        <w:pStyle w:val="Corpo"/>
        <w:spacing w:line="240" w:lineRule="auto"/>
        <w:ind w:firstLine="0"/>
        <w:rPr>
          <w:rFonts w:ascii="Times New Roman" w:hAnsi="Times New Roman"/>
          <w:sz w:val="10"/>
          <w:szCs w:val="10"/>
          <w:u w:val="single"/>
          <w:lang w:val="pt-BR"/>
        </w:rPr>
      </w:pPr>
    </w:p>
    <w:p w:rsidR="007029CF" w:rsidRPr="007029CF" w:rsidRDefault="007029CF" w:rsidP="001E3B29">
      <w:pPr>
        <w:jc w:val="both"/>
        <w:rPr>
          <w:sz w:val="24"/>
        </w:rPr>
      </w:pPr>
      <w:r w:rsidRPr="007029CF">
        <w:rPr>
          <w:sz w:val="24"/>
        </w:rPr>
        <w:t>O Tribunal Pleno, na sessão ordinária do dia 27.6.2016, aprovou</w:t>
      </w:r>
      <w:r>
        <w:rPr>
          <w:sz w:val="24"/>
        </w:rPr>
        <w:t xml:space="preserve"> as seguintes modificações na jurisprudência da Corte:</w:t>
      </w:r>
      <w:r w:rsidRPr="007029CF">
        <w:rPr>
          <w:sz w:val="24"/>
        </w:rPr>
        <w:t xml:space="preserve"> </w:t>
      </w:r>
    </w:p>
    <w:p w:rsidR="007029CF" w:rsidRDefault="007029CF" w:rsidP="001E3B29">
      <w:pPr>
        <w:jc w:val="both"/>
        <w:rPr>
          <w:b/>
          <w:sz w:val="10"/>
          <w:szCs w:val="10"/>
          <w:u w:val="single"/>
        </w:rPr>
      </w:pPr>
    </w:p>
    <w:p w:rsidR="001E3B29" w:rsidRPr="00423641" w:rsidRDefault="001E3B29" w:rsidP="001E3B29">
      <w:pPr>
        <w:jc w:val="both"/>
        <w:rPr>
          <w:b/>
          <w:sz w:val="10"/>
          <w:szCs w:val="10"/>
          <w:u w:val="single"/>
        </w:rPr>
      </w:pPr>
    </w:p>
    <w:p w:rsidR="00423641" w:rsidRPr="007029CF" w:rsidRDefault="00423641" w:rsidP="001E3B29">
      <w:pPr>
        <w:jc w:val="both"/>
        <w:rPr>
          <w:b/>
          <w:bCs/>
          <w:iCs/>
          <w:color w:val="000000"/>
          <w:sz w:val="24"/>
          <w:szCs w:val="24"/>
        </w:rPr>
      </w:pPr>
      <w:r w:rsidRPr="007029CF">
        <w:rPr>
          <w:b/>
          <w:bCs/>
          <w:iCs/>
          <w:color w:val="000000"/>
          <w:sz w:val="24"/>
          <w:szCs w:val="24"/>
        </w:rPr>
        <w:t xml:space="preserve">SÚMULA </w:t>
      </w:r>
      <w:r>
        <w:rPr>
          <w:b/>
          <w:bCs/>
          <w:iCs/>
          <w:color w:val="000000"/>
          <w:sz w:val="24"/>
          <w:szCs w:val="24"/>
        </w:rPr>
        <w:t xml:space="preserve">Nº </w:t>
      </w:r>
      <w:r w:rsidRPr="007029CF">
        <w:rPr>
          <w:b/>
          <w:bCs/>
          <w:iCs/>
          <w:color w:val="000000"/>
          <w:sz w:val="24"/>
          <w:szCs w:val="24"/>
        </w:rPr>
        <w:t>164</w:t>
      </w:r>
      <w:r>
        <w:rPr>
          <w:b/>
          <w:bCs/>
          <w:iCs/>
          <w:color w:val="000000"/>
          <w:sz w:val="24"/>
          <w:szCs w:val="24"/>
        </w:rPr>
        <w:t xml:space="preserve"> DO TST</w:t>
      </w:r>
      <w:r w:rsidRPr="007029CF">
        <w:rPr>
          <w:b/>
          <w:bCs/>
          <w:iCs/>
          <w:color w:val="000000"/>
          <w:sz w:val="24"/>
          <w:szCs w:val="24"/>
        </w:rPr>
        <w:t xml:space="preserve"> </w:t>
      </w:r>
    </w:p>
    <w:p w:rsidR="00423641" w:rsidRDefault="00423641" w:rsidP="001E3B29">
      <w:pPr>
        <w:jc w:val="both"/>
        <w:rPr>
          <w:rFonts w:eastAsia="Calibri"/>
          <w:caps/>
          <w:sz w:val="24"/>
          <w:szCs w:val="24"/>
        </w:rPr>
      </w:pPr>
      <w:r w:rsidRPr="007029CF">
        <w:rPr>
          <w:rFonts w:eastAsia="Calibri"/>
          <w:caps/>
          <w:sz w:val="24"/>
          <w:szCs w:val="24"/>
        </w:rPr>
        <w:t xml:space="preserve">PROCURAÇÃO. JUNTADA </w:t>
      </w:r>
      <w:r w:rsidRPr="007029CF">
        <w:rPr>
          <w:b/>
          <w:sz w:val="24"/>
        </w:rPr>
        <w:t>(cancelada)</w:t>
      </w:r>
      <w:r w:rsidRPr="007029CF">
        <w:rPr>
          <w:rFonts w:eastAsia="Calibri"/>
          <w:caps/>
          <w:sz w:val="24"/>
          <w:szCs w:val="24"/>
        </w:rPr>
        <w:t xml:space="preserve"> </w:t>
      </w:r>
    </w:p>
    <w:p w:rsidR="00423641" w:rsidRDefault="00423641" w:rsidP="001E3B29">
      <w:pPr>
        <w:jc w:val="both"/>
        <w:rPr>
          <w:rFonts w:eastAsia="Calibri"/>
          <w:sz w:val="24"/>
          <w:szCs w:val="24"/>
        </w:rPr>
      </w:pPr>
      <w:r w:rsidRPr="007029CF">
        <w:rPr>
          <w:rFonts w:eastAsia="Calibri"/>
          <w:sz w:val="24"/>
          <w:szCs w:val="24"/>
        </w:rPr>
        <w:t>O não-cumprimento das determinações dos §§ 1º e 2º do art. 5º da Lei nº 8.906, de 04.07.1994 e do art. 37, parágrafo único, do Código de Processo Civil importa o não-conhecimento de recurso, por inexistente, exceto na hipótese de mandato tácito.</w:t>
      </w:r>
    </w:p>
    <w:p w:rsidR="00423641" w:rsidRPr="001E3B29" w:rsidRDefault="00423641" w:rsidP="001E3B29">
      <w:pPr>
        <w:jc w:val="both"/>
        <w:rPr>
          <w:b/>
          <w:u w:val="single"/>
        </w:rPr>
      </w:pPr>
    </w:p>
    <w:p w:rsidR="007029CF" w:rsidRPr="007029CF" w:rsidRDefault="007029CF" w:rsidP="001E3B29">
      <w:pPr>
        <w:jc w:val="both"/>
        <w:rPr>
          <w:b/>
          <w:bCs/>
          <w:iCs/>
          <w:color w:val="000000"/>
          <w:sz w:val="24"/>
          <w:szCs w:val="24"/>
        </w:rPr>
      </w:pPr>
      <w:r w:rsidRPr="007029CF">
        <w:rPr>
          <w:b/>
          <w:bCs/>
          <w:iCs/>
          <w:color w:val="000000"/>
          <w:sz w:val="24"/>
          <w:szCs w:val="24"/>
        </w:rPr>
        <w:t xml:space="preserve">SÚMULA </w:t>
      </w:r>
      <w:r>
        <w:rPr>
          <w:b/>
          <w:bCs/>
          <w:iCs/>
          <w:color w:val="000000"/>
          <w:sz w:val="24"/>
          <w:szCs w:val="24"/>
        </w:rPr>
        <w:t xml:space="preserve">Nº </w:t>
      </w:r>
      <w:r w:rsidRPr="007029CF">
        <w:rPr>
          <w:b/>
          <w:bCs/>
          <w:iCs/>
          <w:color w:val="000000"/>
          <w:sz w:val="24"/>
          <w:szCs w:val="24"/>
        </w:rPr>
        <w:t>383</w:t>
      </w:r>
      <w:r>
        <w:rPr>
          <w:b/>
          <w:bCs/>
          <w:iCs/>
          <w:color w:val="000000"/>
          <w:sz w:val="24"/>
          <w:szCs w:val="24"/>
        </w:rPr>
        <w:t xml:space="preserve"> DO TST</w:t>
      </w:r>
    </w:p>
    <w:p w:rsidR="007029CF" w:rsidRPr="000F6351" w:rsidRDefault="007029CF" w:rsidP="001E3B29">
      <w:pPr>
        <w:pStyle w:val="PargrafodaLista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029CF">
        <w:rPr>
          <w:rFonts w:ascii="Times New Roman" w:hAnsi="Times New Roman"/>
          <w:sz w:val="24"/>
          <w:szCs w:val="24"/>
        </w:rPr>
        <w:t>RECURSO. MANDATO. IRREGULARIDADE DE REPRESENTAÇÃO. CPC DE 2015, ARTS. 104 E 76, § 2º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lang w:eastAsia="pt-BR"/>
        </w:rPr>
        <w:t>(nova redação em decorrência do CPC de 2015)</w:t>
      </w:r>
    </w:p>
    <w:p w:rsidR="007029CF" w:rsidRPr="000F6351" w:rsidRDefault="007029CF" w:rsidP="001E3B2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6351">
        <w:rPr>
          <w:rFonts w:ascii="Times New Roman" w:hAnsi="Times New Roman"/>
          <w:sz w:val="24"/>
          <w:szCs w:val="24"/>
        </w:rPr>
        <w:t>I – É inadmissível recurso firmado por advogado sem procuração juntada aos autos até o momento da sua interposição, salvo mandato tácito. Em caráter excepcional (art. 104 do CPC de 2015), admite-se que o advogado, independentemente de intimação, exiba a procuração no prazo de 5 (cinco) dias após a interposição do recurso, prorrogável por igual período mediante despacho do juiz. Caso não a exiba, considera-se ineficaz o ato praticado e não se conhece do recurso.</w:t>
      </w:r>
    </w:p>
    <w:p w:rsidR="007029CF" w:rsidRPr="000F6351" w:rsidRDefault="007029CF" w:rsidP="001E3B29">
      <w:pPr>
        <w:pStyle w:val="PargrafodaLista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F6351">
        <w:rPr>
          <w:rFonts w:ascii="Times New Roman" w:hAnsi="Times New Roman"/>
          <w:sz w:val="24"/>
          <w:szCs w:val="24"/>
        </w:rPr>
        <w:t>II – Verificada a irregularidade de representação da parte em fase recursal,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3B29">
        <w:rPr>
          <w:rFonts w:ascii="Times New Roman" w:hAnsi="Times New Roman"/>
          <w:sz w:val="24"/>
          <w:szCs w:val="24"/>
        </w:rPr>
        <w:t xml:space="preserve">em </w:t>
      </w:r>
      <w:r w:rsidRPr="007029CF">
        <w:rPr>
          <w:rFonts w:ascii="Times New Roman" w:hAnsi="Times New Roman"/>
          <w:sz w:val="24"/>
          <w:szCs w:val="24"/>
        </w:rPr>
        <w:t>procuração ou substabelecimento já constante dos autos</w:t>
      </w:r>
      <w:r w:rsidRPr="000F6351">
        <w:rPr>
          <w:rFonts w:ascii="Times New Roman" w:hAnsi="Times New Roman"/>
          <w:sz w:val="24"/>
          <w:szCs w:val="24"/>
          <w:u w:val="single"/>
        </w:rPr>
        <w:t>,</w:t>
      </w:r>
      <w:r w:rsidRPr="000F6351">
        <w:rPr>
          <w:rFonts w:ascii="Times New Roman" w:hAnsi="Times New Roman"/>
          <w:sz w:val="24"/>
          <w:szCs w:val="24"/>
        </w:rPr>
        <w:t xml:space="preserve"> o relator ou o órgão competente para julgamento do recurso designará prazo de 5 (cinco) dias para que seja sanado o vício. Descumprida a determinação, o relator não conhecerá do recurso, se a providência couber ao recorrente, ou determinará o desentranhamento das contrarrazões, se a providência couber ao recorrido (art. 76, § 2º, do CPC de 2015).</w:t>
      </w:r>
    </w:p>
    <w:p w:rsidR="007029CF" w:rsidRPr="001E3B29" w:rsidRDefault="007029CF" w:rsidP="001E3B29">
      <w:pPr>
        <w:jc w:val="both"/>
        <w:rPr>
          <w:b/>
          <w:u w:val="single"/>
        </w:rPr>
      </w:pPr>
    </w:p>
    <w:p w:rsidR="007029CF" w:rsidRPr="007029CF" w:rsidRDefault="007029CF" w:rsidP="001E3B29">
      <w:pPr>
        <w:jc w:val="both"/>
        <w:rPr>
          <w:b/>
          <w:bCs/>
          <w:iCs/>
          <w:color w:val="000000"/>
          <w:sz w:val="24"/>
          <w:szCs w:val="24"/>
        </w:rPr>
      </w:pPr>
      <w:r w:rsidRPr="007029CF">
        <w:rPr>
          <w:b/>
          <w:bCs/>
          <w:iCs/>
          <w:color w:val="000000"/>
          <w:sz w:val="24"/>
          <w:szCs w:val="24"/>
        </w:rPr>
        <w:t xml:space="preserve">OJ </w:t>
      </w:r>
      <w:r>
        <w:rPr>
          <w:b/>
          <w:bCs/>
          <w:iCs/>
          <w:color w:val="000000"/>
          <w:sz w:val="24"/>
          <w:szCs w:val="24"/>
        </w:rPr>
        <w:t xml:space="preserve">Nº </w:t>
      </w:r>
      <w:r w:rsidRPr="007029CF">
        <w:rPr>
          <w:b/>
          <w:bCs/>
          <w:iCs/>
          <w:color w:val="000000"/>
          <w:sz w:val="24"/>
          <w:szCs w:val="24"/>
        </w:rPr>
        <w:t>237 DA SBDI-I</w:t>
      </w:r>
    </w:p>
    <w:p w:rsidR="007029CF" w:rsidRPr="000F6351" w:rsidRDefault="007029CF" w:rsidP="001E3B29">
      <w:pPr>
        <w:jc w:val="both"/>
        <w:rPr>
          <w:rFonts w:eastAsia="Calibri"/>
          <w:b/>
          <w:caps/>
          <w:sz w:val="24"/>
          <w:szCs w:val="24"/>
        </w:rPr>
      </w:pPr>
      <w:r w:rsidRPr="007029CF">
        <w:rPr>
          <w:rFonts w:eastAsia="Calibri"/>
          <w:caps/>
          <w:sz w:val="24"/>
          <w:szCs w:val="24"/>
        </w:rPr>
        <w:t>MINISTÉRIO PÚBLICO DO TRABALHO. LEGITIMIDADE PARA RECORRER. sociedade de economia mista. empresa pública</w:t>
      </w:r>
      <w:r>
        <w:rPr>
          <w:rFonts w:eastAsia="Calibri"/>
          <w:b/>
          <w:caps/>
          <w:sz w:val="24"/>
          <w:szCs w:val="24"/>
        </w:rPr>
        <w:t xml:space="preserve"> </w:t>
      </w:r>
      <w:r>
        <w:rPr>
          <w:b/>
          <w:sz w:val="24"/>
        </w:rPr>
        <w:t>(incorporada a Orientação Jurisprudencial nº 338 da SBDI-I)</w:t>
      </w:r>
    </w:p>
    <w:p w:rsidR="007029CF" w:rsidRPr="000F6351" w:rsidRDefault="007029CF" w:rsidP="001E3B29">
      <w:pPr>
        <w:jc w:val="both"/>
        <w:rPr>
          <w:rFonts w:eastAsia="Calibri"/>
          <w:sz w:val="24"/>
          <w:szCs w:val="24"/>
        </w:rPr>
      </w:pPr>
      <w:r w:rsidRPr="000F6351">
        <w:rPr>
          <w:rFonts w:eastAsia="Calibri"/>
          <w:sz w:val="24"/>
          <w:szCs w:val="24"/>
        </w:rPr>
        <w:t>I - O Ministério Público do Trabalho não tem legitimidade para recorrer na defesa de interesse patrimonial privado, ainda que de empresas públicas e sociedades de economia mista.</w:t>
      </w:r>
    </w:p>
    <w:p w:rsidR="007029CF" w:rsidRDefault="007029CF" w:rsidP="001E3B29">
      <w:pPr>
        <w:jc w:val="both"/>
        <w:rPr>
          <w:rFonts w:eastAsia="Calibri"/>
          <w:sz w:val="24"/>
          <w:szCs w:val="24"/>
        </w:rPr>
      </w:pPr>
      <w:r w:rsidRPr="000F6351">
        <w:rPr>
          <w:rFonts w:eastAsia="Calibri"/>
          <w:sz w:val="24"/>
          <w:szCs w:val="24"/>
        </w:rPr>
        <w:t>II – Há legitimidade do Ministério Público do Trabalho para recorrer de decisão que declara a existência de vínculo empregatício com sociedade de economia mista ou empresa pública, após a Constituição Federal de 1988, sem a prévia aprovação em concurso público, pois é matéria de ordem pública.</w:t>
      </w:r>
    </w:p>
    <w:p w:rsidR="00423641" w:rsidRPr="001E3B29" w:rsidRDefault="00423641" w:rsidP="001E3B29">
      <w:pPr>
        <w:jc w:val="both"/>
        <w:rPr>
          <w:rFonts w:eastAsia="Calibri"/>
        </w:rPr>
      </w:pPr>
    </w:p>
    <w:p w:rsidR="00423641" w:rsidRPr="00423641" w:rsidRDefault="00423641" w:rsidP="001E3B29">
      <w:pPr>
        <w:jc w:val="both"/>
        <w:rPr>
          <w:b/>
          <w:sz w:val="24"/>
        </w:rPr>
      </w:pPr>
      <w:r w:rsidRPr="00423641">
        <w:rPr>
          <w:b/>
          <w:sz w:val="24"/>
        </w:rPr>
        <w:t>OJ Nº 331 DA SBDI-I</w:t>
      </w:r>
    </w:p>
    <w:p w:rsidR="00423641" w:rsidRDefault="00423641" w:rsidP="001E3B29">
      <w:pPr>
        <w:jc w:val="both"/>
        <w:rPr>
          <w:sz w:val="24"/>
          <w:szCs w:val="24"/>
        </w:rPr>
      </w:pPr>
      <w:r w:rsidRPr="00423641">
        <w:rPr>
          <w:sz w:val="24"/>
          <w:szCs w:val="24"/>
        </w:rPr>
        <w:t xml:space="preserve">JUSTIÇA GRATUITA. DECLARAÇÃO DE INSUFICIÊNCIA ECONÔMICA. MANDATO. PODERES ESPECÍFICOS </w:t>
      </w:r>
      <w:r>
        <w:rPr>
          <w:sz w:val="24"/>
          <w:szCs w:val="24"/>
        </w:rPr>
        <w:t xml:space="preserve">DESNECESSÁRIOS </w:t>
      </w:r>
      <w:r w:rsidRPr="00423641">
        <w:rPr>
          <w:b/>
          <w:sz w:val="24"/>
          <w:szCs w:val="24"/>
        </w:rPr>
        <w:t xml:space="preserve">(cancelada) </w:t>
      </w:r>
    </w:p>
    <w:p w:rsidR="00423641" w:rsidRPr="00423641" w:rsidRDefault="00423641" w:rsidP="001E3B29">
      <w:pPr>
        <w:jc w:val="both"/>
        <w:rPr>
          <w:b/>
          <w:sz w:val="24"/>
          <w:szCs w:val="24"/>
          <w:u w:val="single"/>
        </w:rPr>
      </w:pPr>
      <w:r w:rsidRPr="00423641">
        <w:rPr>
          <w:sz w:val="24"/>
          <w:szCs w:val="24"/>
        </w:rPr>
        <w:t>Desnecessária a outorga de poderes especiais ao patrono da causa para firmar declaração de insuficiência econômica, destinada à concessão dos benefícios da justiça gratuita.</w:t>
      </w:r>
    </w:p>
    <w:p w:rsidR="007029CF" w:rsidRDefault="007029CF" w:rsidP="001E3B29">
      <w:pPr>
        <w:jc w:val="both"/>
        <w:rPr>
          <w:b/>
          <w:sz w:val="24"/>
          <w:u w:val="single"/>
        </w:rPr>
      </w:pPr>
    </w:p>
    <w:p w:rsidR="007029CF" w:rsidRPr="00423641" w:rsidRDefault="007029CF" w:rsidP="001E3B29">
      <w:pPr>
        <w:jc w:val="both"/>
        <w:rPr>
          <w:b/>
          <w:bCs/>
          <w:iCs/>
          <w:color w:val="000000"/>
          <w:sz w:val="24"/>
          <w:szCs w:val="24"/>
        </w:rPr>
      </w:pPr>
      <w:r w:rsidRPr="00423641">
        <w:rPr>
          <w:b/>
          <w:bCs/>
          <w:iCs/>
          <w:color w:val="000000"/>
          <w:sz w:val="24"/>
          <w:szCs w:val="24"/>
        </w:rPr>
        <w:lastRenderedPageBreak/>
        <w:t xml:space="preserve">OJ </w:t>
      </w:r>
      <w:r w:rsidR="00423641">
        <w:rPr>
          <w:b/>
          <w:bCs/>
          <w:iCs/>
          <w:color w:val="000000"/>
          <w:sz w:val="24"/>
          <w:szCs w:val="24"/>
        </w:rPr>
        <w:t xml:space="preserve">Nº </w:t>
      </w:r>
      <w:r w:rsidRPr="00423641">
        <w:rPr>
          <w:b/>
          <w:bCs/>
          <w:iCs/>
          <w:color w:val="000000"/>
          <w:sz w:val="24"/>
          <w:szCs w:val="24"/>
        </w:rPr>
        <w:t xml:space="preserve">338 </w:t>
      </w:r>
      <w:r w:rsidR="00423641">
        <w:rPr>
          <w:b/>
          <w:bCs/>
          <w:iCs/>
          <w:color w:val="000000"/>
          <w:sz w:val="24"/>
          <w:szCs w:val="24"/>
        </w:rPr>
        <w:t xml:space="preserve">DA </w:t>
      </w:r>
      <w:r w:rsidRPr="00423641">
        <w:rPr>
          <w:b/>
          <w:bCs/>
          <w:iCs/>
          <w:color w:val="000000"/>
          <w:sz w:val="24"/>
          <w:szCs w:val="24"/>
        </w:rPr>
        <w:t>SBDI</w:t>
      </w:r>
      <w:r w:rsidR="00423641">
        <w:rPr>
          <w:b/>
          <w:bCs/>
          <w:iCs/>
          <w:color w:val="000000"/>
          <w:sz w:val="24"/>
          <w:szCs w:val="24"/>
        </w:rPr>
        <w:t>-I</w:t>
      </w:r>
    </w:p>
    <w:p w:rsidR="00423641" w:rsidRDefault="007029CF" w:rsidP="001E3B29">
      <w:pPr>
        <w:jc w:val="both"/>
        <w:rPr>
          <w:sz w:val="24"/>
          <w:szCs w:val="24"/>
        </w:rPr>
      </w:pPr>
      <w:r w:rsidRPr="007029CF">
        <w:rPr>
          <w:sz w:val="24"/>
          <w:szCs w:val="24"/>
        </w:rPr>
        <w:t>MINISTÉRIO PÚBLICO DO TRABALHO. LEGITIMIDADE PARA RECORRER. SOCIEDADE DE ECONOMIA MISTA E EMPRESA PÚBLICA. CONTRATO NULO</w:t>
      </w:r>
      <w:r>
        <w:rPr>
          <w:sz w:val="24"/>
          <w:szCs w:val="24"/>
        </w:rPr>
        <w:t xml:space="preserve"> </w:t>
      </w:r>
      <w:r w:rsidRPr="007029CF">
        <w:rPr>
          <w:b/>
          <w:sz w:val="24"/>
        </w:rPr>
        <w:t>(cancelada em decorrência da sua incorporação à nova redação da Orientação Jurisprudencial nº 237 da SBDI-I)</w:t>
      </w:r>
      <w:r w:rsidRPr="007029CF">
        <w:rPr>
          <w:sz w:val="24"/>
          <w:szCs w:val="24"/>
        </w:rPr>
        <w:t xml:space="preserve"> </w:t>
      </w:r>
    </w:p>
    <w:p w:rsidR="007029CF" w:rsidRDefault="007029CF" w:rsidP="001E3B29">
      <w:pPr>
        <w:jc w:val="both"/>
        <w:rPr>
          <w:sz w:val="24"/>
          <w:szCs w:val="24"/>
        </w:rPr>
      </w:pPr>
      <w:r w:rsidRPr="007029CF">
        <w:rPr>
          <w:sz w:val="24"/>
          <w:szCs w:val="24"/>
        </w:rPr>
        <w:t>Há interesse do Ministério Público do Trabalho para recorrer contra decisão que declara a existência de vínculo empregatício com sociedade de economia mista ou empresa pública, após a CF/1988, sem a prévia aprovação em concurso público.</w:t>
      </w:r>
    </w:p>
    <w:p w:rsidR="00423641" w:rsidRPr="007029CF" w:rsidRDefault="00423641" w:rsidP="007029CF">
      <w:pPr>
        <w:rPr>
          <w:b/>
          <w:sz w:val="24"/>
          <w:szCs w:val="24"/>
          <w:u w:val="single"/>
        </w:rPr>
      </w:pPr>
    </w:p>
    <w:p w:rsidR="00055A9D" w:rsidRPr="00115417" w:rsidRDefault="00055A9D" w:rsidP="00055A9D">
      <w:pPr>
        <w:ind w:right="-1"/>
        <w:jc w:val="both"/>
        <w:rPr>
          <w:b/>
          <w:i/>
          <w:sz w:val="24"/>
          <w:szCs w:val="24"/>
        </w:rPr>
      </w:pPr>
      <w:r w:rsidRPr="00115417">
        <w:rPr>
          <w:b/>
          <w:i/>
          <w:sz w:val="24"/>
          <w:szCs w:val="24"/>
        </w:rPr>
        <w:t>Matéria remetida ao Tribunal Pleno. Art. 77, II, do RITST. Ação coletiva. Sindicato. Substituição Processual. Execução contra a Fazenda Pública. Individualização do crédito de cada substituído. Possibilidade. Expedição de Requisição de Pequeno Valor (RPV).</w:t>
      </w:r>
    </w:p>
    <w:p w:rsidR="00055A9D" w:rsidRDefault="00055A9D" w:rsidP="00055A9D">
      <w:pPr>
        <w:jc w:val="both"/>
        <w:rPr>
          <w:sz w:val="24"/>
          <w:szCs w:val="24"/>
          <w:u w:val="single"/>
        </w:rPr>
      </w:pPr>
      <w:r w:rsidRPr="00115417">
        <w:rPr>
          <w:sz w:val="24"/>
          <w:szCs w:val="24"/>
        </w:rPr>
        <w:t xml:space="preserve">No caso de ação coletiva em que o sindicato atua como substituto processual na defesa de direitos individuais homogêneos, não configura quebra do valor da execução, vedada pelo art. 100, § 8º, da CF, o pagamento individualizado do crédito devido pela Fazenda Púbica aos substituídos. Entendimento consolidado pelo STF nos autos do processo STF-ARE 925754/PR, com repercussão geral reconhecida, que, não obstante </w:t>
      </w:r>
      <w:r w:rsidR="0084319F">
        <w:rPr>
          <w:sz w:val="24"/>
          <w:szCs w:val="24"/>
        </w:rPr>
        <w:t xml:space="preserve">se refira à </w:t>
      </w:r>
      <w:r w:rsidRPr="00115417">
        <w:rPr>
          <w:sz w:val="24"/>
          <w:szCs w:val="24"/>
        </w:rPr>
        <w:t xml:space="preserve">hipótese de execução individual da sentença condenatória genérica, também se aplica à situação em apreço, em que a execução é coletiva. Em ambos os casos, a titularidade do crédito judicialmente concedido não pertence ao sindicato, mas aos empregados que ele substitui, de modo que é possível considerar o valor deferido a cada um deles, individualmente, para fins de expedição da Requisição de Pequeno Valor (RPV). Sob esses fundamentos, o Tribunal Pleno, por unanimidade, conheceu do recurso ordinário e da remessa necessária, e, no mérito, negou-lhes provimento, mantendo a decisão que denegara a segurança por entender que o Município de Salvador/BA não tem direito líquido e certo à execução do valor global do crédito constante do título judicial. </w:t>
      </w:r>
      <w:hyperlink r:id="rId8" w:history="1">
        <w:r w:rsidRPr="00055A9D">
          <w:rPr>
            <w:rStyle w:val="Hyperlink"/>
            <w:sz w:val="24"/>
            <w:szCs w:val="24"/>
          </w:rPr>
          <w:t>TST-ReeNec e RO-118-88.2015.5.05.0000</w:t>
        </w:r>
      </w:hyperlink>
      <w:r w:rsidRPr="00115417">
        <w:rPr>
          <w:sz w:val="24"/>
          <w:szCs w:val="24"/>
          <w:u w:val="single"/>
        </w:rPr>
        <w:t>, Tribunal Pleno, rel. Min. Maria de Assis Calsing, 27.6.2016</w:t>
      </w:r>
    </w:p>
    <w:p w:rsidR="00340D16" w:rsidRDefault="00340D16" w:rsidP="00C6738C">
      <w:pPr>
        <w:rPr>
          <w:sz w:val="10"/>
          <w:szCs w:val="10"/>
        </w:rPr>
      </w:pPr>
    </w:p>
    <w:p w:rsidR="00055A9D" w:rsidRDefault="00055A9D" w:rsidP="00C6738C">
      <w:pPr>
        <w:rPr>
          <w:sz w:val="10"/>
          <w:szCs w:val="10"/>
        </w:rPr>
      </w:pPr>
    </w:p>
    <w:p w:rsidR="00055A9D" w:rsidRPr="00CE7555" w:rsidRDefault="00055A9D" w:rsidP="00055A9D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</w:pPr>
      <w:r w:rsidRPr="00CE7555"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  <w:t xml:space="preserve">SUBSEÇÃO </w:t>
      </w:r>
      <w:r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  <w:t>I</w:t>
      </w:r>
      <w:r w:rsidRPr="00CE7555"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  <w:t xml:space="preserve"> ESPECIALIZADA EM DISSÍDIOS INDIVIDUAIS</w:t>
      </w:r>
    </w:p>
    <w:p w:rsidR="00055A9D" w:rsidRPr="00055A9D" w:rsidRDefault="00055A9D" w:rsidP="00055A9D">
      <w:pPr>
        <w:ind w:right="-1"/>
        <w:rPr>
          <w:b/>
          <w:i/>
          <w:sz w:val="10"/>
          <w:szCs w:val="10"/>
        </w:rPr>
      </w:pPr>
    </w:p>
    <w:p w:rsidR="00055A9D" w:rsidRDefault="00055A9D" w:rsidP="00055A9D">
      <w:pPr>
        <w:jc w:val="both"/>
        <w:rPr>
          <w:i/>
          <w:sz w:val="24"/>
          <w:szCs w:val="24"/>
        </w:rPr>
      </w:pPr>
      <w:r w:rsidRPr="00203F0F">
        <w:rPr>
          <w:b/>
          <w:i/>
          <w:sz w:val="24"/>
          <w:szCs w:val="24"/>
        </w:rPr>
        <w:t>Dano moral</w:t>
      </w:r>
      <w:r>
        <w:rPr>
          <w:b/>
          <w:i/>
          <w:sz w:val="24"/>
          <w:szCs w:val="24"/>
        </w:rPr>
        <w:t xml:space="preserve">. </w:t>
      </w:r>
      <w:r w:rsidRPr="00542FC3">
        <w:rPr>
          <w:b/>
          <w:i/>
          <w:sz w:val="24"/>
          <w:szCs w:val="24"/>
        </w:rPr>
        <w:t>Transporte de valores</w:t>
      </w:r>
      <w:r>
        <w:rPr>
          <w:b/>
          <w:i/>
          <w:sz w:val="24"/>
          <w:szCs w:val="24"/>
        </w:rPr>
        <w:t xml:space="preserve"> por empregado não habilitado</w:t>
      </w:r>
      <w:r w:rsidRPr="00542FC3">
        <w:rPr>
          <w:b/>
          <w:i/>
          <w:sz w:val="24"/>
          <w:szCs w:val="24"/>
        </w:rPr>
        <w:t xml:space="preserve">. Exposição do trabalhador a </w:t>
      </w:r>
      <w:r>
        <w:rPr>
          <w:b/>
          <w:i/>
          <w:sz w:val="24"/>
          <w:szCs w:val="24"/>
        </w:rPr>
        <w:t xml:space="preserve">risco excessivo. Indenização devida. Dano </w:t>
      </w:r>
      <w:r>
        <w:rPr>
          <w:i/>
          <w:sz w:val="24"/>
          <w:szCs w:val="24"/>
        </w:rPr>
        <w:t xml:space="preserve">in re ipsa. </w:t>
      </w:r>
    </w:p>
    <w:p w:rsidR="00055A9D" w:rsidRPr="00055A9D" w:rsidRDefault="00055A9D" w:rsidP="00055A9D">
      <w:pPr>
        <w:jc w:val="both"/>
        <w:rPr>
          <w:color w:val="000000"/>
          <w:sz w:val="24"/>
          <w:szCs w:val="24"/>
        </w:rPr>
      </w:pPr>
      <w:r w:rsidRPr="00055A9D">
        <w:rPr>
          <w:color w:val="000000"/>
          <w:sz w:val="24"/>
          <w:szCs w:val="24"/>
        </w:rPr>
        <w:t xml:space="preserve">Atribuir a atividade de transporte de valores a empregado que não foi contratado para esta finalidade, e sem o necessário treinamento, exigido pela Lei nº 7.102/83, configura exposição a risco excessivo e, portanto, enseja o pagamento de indenização por dano moral </w:t>
      </w:r>
      <w:r w:rsidRPr="00055A9D">
        <w:rPr>
          <w:i/>
          <w:color w:val="000000"/>
          <w:sz w:val="24"/>
          <w:szCs w:val="24"/>
        </w:rPr>
        <w:t>in re ipsa</w:t>
      </w:r>
      <w:r w:rsidRPr="00055A9D">
        <w:rPr>
          <w:color w:val="000000"/>
          <w:sz w:val="24"/>
          <w:szCs w:val="24"/>
        </w:rPr>
        <w:t xml:space="preserve">. Na hipótese, a indenização foi requerida por motorista de distribuidora de bebida que realizava habitualmente transporte de valores, sem a devida habilitação técnica. Registrou-se, ademais, que o transporte de valores em veículos da empresa contendo cofre evidencia o risco potencial a que submetido o empregado responsável pela guarda do numerário recebido pelas vendas, sendo inócua a discussão a respeito da quantidade de dinheiro existente no cofre. Sob esse entendimento, a SBDI-I, por unanimidade, conheceu dos embargos, por divergência jurisprudencial, e, no mérito, negou-lhes provimento. </w:t>
      </w:r>
      <w:hyperlink r:id="rId9" w:history="1">
        <w:r w:rsidRPr="00055A9D">
          <w:rPr>
            <w:rStyle w:val="Hyperlink"/>
            <w:rFonts w:cs="Courier New"/>
            <w:sz w:val="24"/>
            <w:szCs w:val="24"/>
          </w:rPr>
          <w:t>TST-E-RR-514-11.2013.5.23.0008</w:t>
        </w:r>
      </w:hyperlink>
      <w:r w:rsidRPr="00055A9D">
        <w:rPr>
          <w:rFonts w:cs="Courier New"/>
          <w:color w:val="000000"/>
          <w:sz w:val="24"/>
          <w:szCs w:val="24"/>
          <w:u w:val="single"/>
        </w:rPr>
        <w:t>, SBDI-I, rel. Min. Walmir Oliveira da Costa, 23.6.2015</w:t>
      </w:r>
    </w:p>
    <w:p w:rsidR="00055A9D" w:rsidRPr="00055A9D" w:rsidRDefault="00055A9D" w:rsidP="00055A9D">
      <w:pPr>
        <w:pStyle w:val="Corpo"/>
        <w:spacing w:line="240" w:lineRule="auto"/>
        <w:ind w:firstLine="0"/>
        <w:rPr>
          <w:rFonts w:ascii="Times New Roman" w:hAnsi="Times New Roman"/>
          <w:sz w:val="10"/>
          <w:szCs w:val="10"/>
          <w:u w:val="single"/>
          <w:lang w:val="pt-BR"/>
        </w:rPr>
      </w:pPr>
    </w:p>
    <w:p w:rsidR="00055A9D" w:rsidRPr="002E7C57" w:rsidRDefault="00055A9D" w:rsidP="00055A9D">
      <w:pPr>
        <w:ind w:right="-1"/>
        <w:jc w:val="both"/>
        <w:rPr>
          <w:b/>
          <w:i/>
          <w:sz w:val="24"/>
          <w:szCs w:val="24"/>
        </w:rPr>
      </w:pPr>
      <w:r w:rsidRPr="002E7C57">
        <w:rPr>
          <w:b/>
          <w:i/>
          <w:sz w:val="24"/>
          <w:szCs w:val="24"/>
        </w:rPr>
        <w:t>Norma coletiva. Hora noturna. Não observância da redução ficta legal (art. 73, § 1º, da CLT). Possibilidade. Teoria do conglobamento.</w:t>
      </w:r>
    </w:p>
    <w:p w:rsidR="00055A9D" w:rsidRDefault="00055A9D" w:rsidP="00055A9D">
      <w:pPr>
        <w:jc w:val="both"/>
        <w:rPr>
          <w:sz w:val="24"/>
          <w:szCs w:val="24"/>
        </w:rPr>
      </w:pPr>
      <w:r w:rsidRPr="002E7C57">
        <w:rPr>
          <w:sz w:val="24"/>
          <w:szCs w:val="24"/>
        </w:rPr>
        <w:t xml:space="preserve">A norma coletiva pode estipular a </w:t>
      </w:r>
      <w:r>
        <w:rPr>
          <w:sz w:val="24"/>
          <w:szCs w:val="24"/>
        </w:rPr>
        <w:t>exclusão</w:t>
      </w:r>
      <w:r w:rsidRPr="002E7C57">
        <w:rPr>
          <w:sz w:val="24"/>
          <w:szCs w:val="24"/>
        </w:rPr>
        <w:t xml:space="preserve"> da redução ficta da hora noturna, prevista no art. 73, § 1º, da CLT</w:t>
      </w:r>
      <w:r>
        <w:rPr>
          <w:sz w:val="24"/>
          <w:szCs w:val="24"/>
        </w:rPr>
        <w:t>, desde que haja a concessão</w:t>
      </w:r>
      <w:r w:rsidRPr="002E7C57">
        <w:rPr>
          <w:sz w:val="24"/>
          <w:szCs w:val="24"/>
        </w:rPr>
        <w:t xml:space="preserve"> de outras vantagens</w:t>
      </w:r>
      <w:r>
        <w:rPr>
          <w:sz w:val="24"/>
          <w:szCs w:val="24"/>
        </w:rPr>
        <w:t xml:space="preserve"> que, s</w:t>
      </w:r>
      <w:r w:rsidRPr="002E7C57">
        <w:rPr>
          <w:sz w:val="24"/>
          <w:szCs w:val="24"/>
        </w:rPr>
        <w:t>ob a ótica da teoria do conglobamento, sejam mais benéficas</w:t>
      </w:r>
      <w:r>
        <w:rPr>
          <w:sz w:val="24"/>
          <w:szCs w:val="24"/>
        </w:rPr>
        <w:t xml:space="preserve"> ao trabalhador que aquelas asseguradas na legislação trabalhista</w:t>
      </w:r>
      <w:r w:rsidRPr="002E7C57">
        <w:rPr>
          <w:sz w:val="24"/>
          <w:szCs w:val="24"/>
        </w:rPr>
        <w:t>. No caso vertente, o acordo coletivo fixou</w:t>
      </w:r>
      <w:r>
        <w:rPr>
          <w:sz w:val="24"/>
          <w:szCs w:val="24"/>
        </w:rPr>
        <w:t>, para trabalhador submetido ao regime de jornada 12x36,</w:t>
      </w:r>
      <w:r w:rsidRPr="002E7C57">
        <w:rPr>
          <w:sz w:val="24"/>
          <w:szCs w:val="24"/>
        </w:rPr>
        <w:t xml:space="preserve"> hora noturna de sessenta minutos, porém com o pagamento de adicional de 40%</w:t>
      </w:r>
      <w:r>
        <w:rPr>
          <w:sz w:val="24"/>
          <w:szCs w:val="24"/>
        </w:rPr>
        <w:t xml:space="preserve">, o </w:t>
      </w:r>
      <w:r w:rsidRPr="002E7C57">
        <w:rPr>
          <w:sz w:val="24"/>
          <w:szCs w:val="24"/>
        </w:rPr>
        <w:t>dobro do previsto em lei.</w:t>
      </w:r>
      <w:r>
        <w:rPr>
          <w:sz w:val="24"/>
          <w:szCs w:val="24"/>
        </w:rPr>
        <w:t xml:space="preserve"> Sob esse fundamento, a SBDI-I</w:t>
      </w:r>
      <w:r w:rsidRPr="002E7C57">
        <w:rPr>
          <w:sz w:val="24"/>
          <w:szCs w:val="24"/>
        </w:rPr>
        <w:t xml:space="preserve">, por </w:t>
      </w:r>
      <w:r>
        <w:rPr>
          <w:sz w:val="24"/>
          <w:szCs w:val="24"/>
        </w:rPr>
        <w:t>unanimidade</w:t>
      </w:r>
      <w:r w:rsidRPr="002E7C57">
        <w:rPr>
          <w:sz w:val="24"/>
          <w:szCs w:val="24"/>
        </w:rPr>
        <w:t xml:space="preserve">, conheceu </w:t>
      </w:r>
      <w:r>
        <w:rPr>
          <w:sz w:val="24"/>
          <w:szCs w:val="24"/>
        </w:rPr>
        <w:t xml:space="preserve">do recurso de embargos, no tópico, por divergência jurisprudencial e, no mérito, por maioria, </w:t>
      </w:r>
      <w:r w:rsidRPr="002E7C57">
        <w:rPr>
          <w:sz w:val="24"/>
          <w:szCs w:val="24"/>
        </w:rPr>
        <w:t>deu</w:t>
      </w:r>
      <w:r>
        <w:rPr>
          <w:sz w:val="24"/>
          <w:szCs w:val="24"/>
        </w:rPr>
        <w:t>-lhe</w:t>
      </w:r>
      <w:r w:rsidRPr="002E7C57">
        <w:rPr>
          <w:sz w:val="24"/>
          <w:szCs w:val="24"/>
        </w:rPr>
        <w:t xml:space="preserve"> provimento</w:t>
      </w:r>
      <w:r>
        <w:rPr>
          <w:sz w:val="24"/>
          <w:szCs w:val="24"/>
        </w:rPr>
        <w:t xml:space="preserve"> para, reconhecendo válida a norma coletiva em apreço, excluir da condenação o pagamento das </w:t>
      </w:r>
      <w:r>
        <w:rPr>
          <w:sz w:val="24"/>
          <w:szCs w:val="24"/>
        </w:rPr>
        <w:lastRenderedPageBreak/>
        <w:t xml:space="preserve">horas extras. Vencidos os Ministros Alexandre Agra Belmonte e José Roberto Freire Pimenta. </w:t>
      </w:r>
      <w:hyperlink r:id="rId10" w:history="1">
        <w:r w:rsidRPr="00055A9D">
          <w:rPr>
            <w:rStyle w:val="Hyperlink"/>
            <w:sz w:val="24"/>
            <w:szCs w:val="24"/>
          </w:rPr>
          <w:t>TST-EEDEDRR-72700-67.2008.5.17.0010</w:t>
        </w:r>
      </w:hyperlink>
      <w:r w:rsidRPr="002E7C57">
        <w:rPr>
          <w:sz w:val="24"/>
          <w:szCs w:val="24"/>
          <w:u w:val="single"/>
        </w:rPr>
        <w:t>, SBDI-I, rel. Min. Augusto César Leite de Carvalho, 23.6.2016</w:t>
      </w:r>
    </w:p>
    <w:p w:rsidR="00F753D1" w:rsidRDefault="00F753D1" w:rsidP="00C6738C">
      <w:pPr>
        <w:rPr>
          <w:sz w:val="10"/>
          <w:szCs w:val="10"/>
        </w:rPr>
      </w:pPr>
    </w:p>
    <w:p w:rsidR="00B335D5" w:rsidRPr="00CE7555" w:rsidRDefault="00B335D5" w:rsidP="00B335D5">
      <w:pPr>
        <w:pStyle w:val="Corp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solid" w:color="B8CCE4" w:fill="B8CCE4"/>
        <w:tabs>
          <w:tab w:val="center" w:pos="4819"/>
          <w:tab w:val="left" w:pos="675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</w:pPr>
      <w:r w:rsidRPr="00CE7555"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  <w:t xml:space="preserve">SUBSEÇÃO </w:t>
      </w:r>
      <w:r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  <w:t>II</w:t>
      </w:r>
      <w:r w:rsidRPr="00CE7555">
        <w:rPr>
          <w:rFonts w:ascii="Times New Roman" w:hAnsi="Times New Roman" w:cs="Times New Roman"/>
          <w:b/>
          <w:bCs/>
          <w:shadow/>
          <w:color w:val="auto"/>
          <w:sz w:val="25"/>
          <w:szCs w:val="25"/>
          <w:lang w:val="pt-BR"/>
        </w:rPr>
        <w:t xml:space="preserve"> ESPECIALIZADA EM DISSÍDIOS INDIVIDUAIS</w:t>
      </w:r>
    </w:p>
    <w:p w:rsidR="008A1A58" w:rsidRPr="00055A9D" w:rsidRDefault="008A1A58" w:rsidP="00B335D5">
      <w:pPr>
        <w:pStyle w:val="Corpo"/>
        <w:spacing w:line="240" w:lineRule="auto"/>
        <w:ind w:firstLine="0"/>
        <w:rPr>
          <w:rFonts w:ascii="Times New Roman" w:hAnsi="Times New Roman"/>
          <w:sz w:val="10"/>
          <w:szCs w:val="10"/>
          <w:u w:val="single"/>
          <w:lang w:val="pt-BR"/>
        </w:rPr>
      </w:pPr>
    </w:p>
    <w:p w:rsidR="008A1A58" w:rsidRPr="008A1A58" w:rsidRDefault="008A1A58" w:rsidP="008A1A58">
      <w:pPr>
        <w:ind w:right="-1"/>
        <w:jc w:val="both"/>
        <w:rPr>
          <w:b/>
          <w:i/>
          <w:sz w:val="24"/>
          <w:szCs w:val="24"/>
        </w:rPr>
      </w:pPr>
      <w:r w:rsidRPr="008A1A58">
        <w:rPr>
          <w:b/>
          <w:i/>
          <w:sz w:val="24"/>
          <w:szCs w:val="24"/>
        </w:rPr>
        <w:t>Mandado de segurança. Antecipação de tutela. Dirigente sindical. Estabilidade provisória. Processo de registro sindical no Ministério do Trabalho e Emprego. Pendência. Reintegração.</w:t>
      </w:r>
    </w:p>
    <w:p w:rsidR="008A1A58" w:rsidRPr="008A1A58" w:rsidRDefault="008A1A58" w:rsidP="008A1A58">
      <w:pPr>
        <w:jc w:val="both"/>
        <w:rPr>
          <w:sz w:val="24"/>
          <w:szCs w:val="24"/>
        </w:rPr>
      </w:pPr>
      <w:r w:rsidRPr="008A1A58">
        <w:rPr>
          <w:sz w:val="24"/>
          <w:szCs w:val="24"/>
        </w:rPr>
        <w:t xml:space="preserve">A pendência de registro de entidade sindical junto ao Ministério do Trabalho e Emprego não afasta a garantia da estabilidade provisória de dirigente sindical, consoante atual jurisprudência do STF. No caso concreto, não obstante o pedido de registro tenha sido indeferido pelo Ministério do Trabalho, a entidade sindical interpôs recurso administrativo, o qual está pendente de apreciação.  Assim, à luz da interpretação conferida pelo Supremo Tribunal Federal ao art. 8º, VIII, da CF, o empregado eleito dirigente sindical somente não goza da estabilidade provisória a partir do momento em que a solicitação de registro seja definitivamente negada pelo órgão ministerial. Sob esse fundamento, a SBDI-II, por unanimidade, negou provimento ao recurso ordinário interposto pelo impetrante, mantendo incólume a decisão que, ao denegar a segurança, ratificou o deferimento do pedido de antecipação de tutela que determinou a reintegração do dirigente sindical. </w:t>
      </w:r>
      <w:hyperlink r:id="rId11" w:history="1">
        <w:r w:rsidRPr="00055A9D">
          <w:rPr>
            <w:rStyle w:val="Hyperlink"/>
            <w:sz w:val="24"/>
            <w:szCs w:val="24"/>
          </w:rPr>
          <w:t>TST-RO-21386-31.2015.5.04.0000</w:t>
        </w:r>
      </w:hyperlink>
      <w:r w:rsidRPr="008A1A58">
        <w:rPr>
          <w:sz w:val="24"/>
          <w:szCs w:val="24"/>
          <w:u w:val="single"/>
        </w:rPr>
        <w:t>, SBDI-II, rel. Min. Douglas Alencar Rodrigues, 7.6.2016</w:t>
      </w:r>
    </w:p>
    <w:p w:rsidR="008A1A58" w:rsidRPr="00055A9D" w:rsidRDefault="008A1A58" w:rsidP="00B335D5">
      <w:pPr>
        <w:pStyle w:val="Corpo"/>
        <w:spacing w:line="240" w:lineRule="auto"/>
        <w:ind w:firstLine="0"/>
        <w:rPr>
          <w:rFonts w:ascii="Times New Roman" w:hAnsi="Times New Roman"/>
          <w:sz w:val="10"/>
          <w:szCs w:val="10"/>
          <w:u w:val="single"/>
          <w:lang w:val="pt-BR"/>
        </w:rPr>
      </w:pPr>
    </w:p>
    <w:p w:rsidR="008A1A58" w:rsidRDefault="008A1A58" w:rsidP="008A1A5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</w:t>
      </w:r>
      <w:r w:rsidRPr="003F5A81">
        <w:rPr>
          <w:b/>
          <w:i/>
          <w:sz w:val="24"/>
          <w:szCs w:val="24"/>
        </w:rPr>
        <w:t xml:space="preserve">ção rescisória. </w:t>
      </w:r>
      <w:r>
        <w:rPr>
          <w:b/>
          <w:i/>
          <w:sz w:val="24"/>
          <w:szCs w:val="24"/>
        </w:rPr>
        <w:t>D</w:t>
      </w:r>
      <w:r w:rsidRPr="003F5A81">
        <w:rPr>
          <w:b/>
          <w:i/>
          <w:sz w:val="24"/>
          <w:szCs w:val="24"/>
        </w:rPr>
        <w:t>ecadência.</w:t>
      </w:r>
      <w:r>
        <w:rPr>
          <w:b/>
          <w:i/>
          <w:sz w:val="24"/>
          <w:szCs w:val="24"/>
        </w:rPr>
        <w:t xml:space="preserve"> Recurso ordinário intempestivo. Remessa necessária não conhecida. Condenação </w:t>
      </w:r>
      <w:r w:rsidRPr="003F5A81">
        <w:rPr>
          <w:b/>
          <w:i/>
          <w:sz w:val="24"/>
          <w:szCs w:val="24"/>
        </w:rPr>
        <w:t xml:space="preserve">inferior a sessenta salários mínimos. </w:t>
      </w:r>
      <w:r>
        <w:rPr>
          <w:b/>
          <w:i/>
          <w:sz w:val="24"/>
          <w:szCs w:val="24"/>
        </w:rPr>
        <w:t>Prazo decadencial contado a partir do transcurso do prazo para a interposição do recurso ordinário. S</w:t>
      </w:r>
      <w:r w:rsidRPr="003F5A81">
        <w:rPr>
          <w:b/>
          <w:i/>
          <w:sz w:val="24"/>
          <w:szCs w:val="24"/>
        </w:rPr>
        <w:t>úmula nº 100,</w:t>
      </w:r>
      <w:r>
        <w:rPr>
          <w:b/>
          <w:i/>
          <w:sz w:val="24"/>
          <w:szCs w:val="24"/>
        </w:rPr>
        <w:t xml:space="preserve"> IV</w:t>
      </w:r>
      <w:r w:rsidRPr="003F5A81">
        <w:rPr>
          <w:b/>
          <w:i/>
          <w:sz w:val="24"/>
          <w:szCs w:val="24"/>
        </w:rPr>
        <w:t xml:space="preserve">, do </w:t>
      </w:r>
      <w:r>
        <w:rPr>
          <w:b/>
          <w:i/>
          <w:sz w:val="24"/>
          <w:szCs w:val="24"/>
        </w:rPr>
        <w:t>TST</w:t>
      </w:r>
      <w:r w:rsidRPr="003F5A81">
        <w:rPr>
          <w:b/>
          <w:i/>
          <w:sz w:val="24"/>
          <w:szCs w:val="24"/>
        </w:rPr>
        <w:t>.</w:t>
      </w:r>
    </w:p>
    <w:p w:rsidR="008A1A58" w:rsidRDefault="008A1A58" w:rsidP="008A1A58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BF113C">
        <w:rPr>
          <w:sz w:val="24"/>
          <w:szCs w:val="24"/>
        </w:rPr>
        <w:t xml:space="preserve"> prazo decadencial, na ação rescisória, deve ser contado a partir do dia imediatamente subsequente ao trânsito em julgado da última decisão proferida na causa, seja de mérito ou não. </w:t>
      </w:r>
      <w:r>
        <w:rPr>
          <w:sz w:val="24"/>
          <w:szCs w:val="24"/>
        </w:rPr>
        <w:t>De outro lado, r</w:t>
      </w:r>
      <w:r w:rsidRPr="00BF113C">
        <w:rPr>
          <w:sz w:val="24"/>
          <w:szCs w:val="24"/>
        </w:rPr>
        <w:t>ecurso intempestivo</w:t>
      </w:r>
      <w:r>
        <w:rPr>
          <w:sz w:val="24"/>
          <w:szCs w:val="24"/>
        </w:rPr>
        <w:t xml:space="preserve"> ou</w:t>
      </w:r>
      <w:r w:rsidRPr="00BF113C">
        <w:rPr>
          <w:sz w:val="24"/>
          <w:szCs w:val="24"/>
        </w:rPr>
        <w:t xml:space="preserve"> incabível</w:t>
      </w:r>
      <w:r>
        <w:rPr>
          <w:sz w:val="24"/>
          <w:szCs w:val="24"/>
        </w:rPr>
        <w:t xml:space="preserve"> não tem </w:t>
      </w:r>
      <w:r w:rsidR="0084319F">
        <w:rPr>
          <w:sz w:val="24"/>
          <w:szCs w:val="24"/>
        </w:rPr>
        <w:t xml:space="preserve">o condão de </w:t>
      </w:r>
      <w:r>
        <w:rPr>
          <w:sz w:val="24"/>
          <w:szCs w:val="24"/>
        </w:rPr>
        <w:t xml:space="preserve">impedir o trânsito em julgado da decisão recorrida, salvo se houver dúvida razoável (Súmula nº 100 do TST, itens I e III). Assim, na hipótese em que se denegou seguimento ao recurso ordinário do reclamado, por intempestivo, e o TRT não conheceu da remessa necessária porque a condenação não ultrapassou os sessenta salários mínimos exigidos pelo art. 475, § 2º, do CPC de 1973, conclui-se que a matéria trazida em sede de rescisória foi abordada apenas na sentença proferida pela vara do trabalho, cujo trânsito em julgado se operou após o transcurso do prazo para a interposição do recurso ordinário. Incidência do item IV da Súmula nº 100 do TST, segundo o qual o juízo rescindente não está adstrito à certidão de trânsito em julgado juntada com a ação rescisória, podendo formar sua convicção por meio de outros elementos dos autos quanto à postergação ou não do início do prazo decadencial. Sob esses fundamentos, a SBDI-II, por unanimidade, conheceu do recurso ordinário e, por maioria, extinguiu o processo com resolução do mérito, na forma do art. 487, II, do CPC de 2015. Vencidos os Ministros Douglas Alencar Rodrigues, relator, Maria Helena Mallmann, Renato de Lacerda Paiva e Alberto Luiz Bresciani de Fontan Pereira, os quais entendiam que a determinação explícita de submissão da sentença condenatória ao duplo grau de jurisdição e a </w:t>
      </w:r>
      <w:r w:rsidRPr="00366691">
        <w:rPr>
          <w:sz w:val="24"/>
          <w:szCs w:val="24"/>
        </w:rPr>
        <w:t>circunstância de o valor da condenação</w:t>
      </w:r>
      <w:r>
        <w:rPr>
          <w:sz w:val="24"/>
          <w:szCs w:val="24"/>
        </w:rPr>
        <w:t xml:space="preserve"> ter sido</w:t>
      </w:r>
      <w:r w:rsidRPr="00366691">
        <w:rPr>
          <w:sz w:val="24"/>
          <w:szCs w:val="24"/>
        </w:rPr>
        <w:t xml:space="preserve"> apenas arbitrado, não espelhando o conteúdo econômico das pre</w:t>
      </w:r>
      <w:r>
        <w:rPr>
          <w:sz w:val="24"/>
          <w:szCs w:val="24"/>
        </w:rPr>
        <w:t>tensões deferidas à reclamante (sentença ilíquida)</w:t>
      </w:r>
      <w:r w:rsidRPr="00366691">
        <w:rPr>
          <w:sz w:val="24"/>
          <w:szCs w:val="24"/>
        </w:rPr>
        <w:t>,</w:t>
      </w:r>
      <w:r>
        <w:rPr>
          <w:sz w:val="24"/>
          <w:szCs w:val="24"/>
        </w:rPr>
        <w:t xml:space="preserve"> consistiriam em dúvida razoável capaz de protrair o marco inicial do prazo decadencial</w:t>
      </w:r>
      <w:r w:rsidRPr="0036669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hyperlink r:id="rId12" w:history="1">
        <w:r w:rsidRPr="007D2EE9">
          <w:rPr>
            <w:rStyle w:val="Hyperlink"/>
            <w:sz w:val="24"/>
            <w:szCs w:val="24"/>
          </w:rPr>
          <w:t>TST-RO-7190-84.20</w:t>
        </w:r>
        <w:r w:rsidRPr="007D2EE9">
          <w:rPr>
            <w:rStyle w:val="Hyperlink"/>
            <w:sz w:val="24"/>
            <w:szCs w:val="24"/>
          </w:rPr>
          <w:t>1</w:t>
        </w:r>
        <w:r w:rsidRPr="007D2EE9">
          <w:rPr>
            <w:rStyle w:val="Hyperlink"/>
            <w:sz w:val="24"/>
            <w:szCs w:val="24"/>
          </w:rPr>
          <w:t>4.5.15.0000</w:t>
        </w:r>
      </w:hyperlink>
      <w:r w:rsidRPr="00BB1CF7">
        <w:rPr>
          <w:sz w:val="24"/>
          <w:szCs w:val="24"/>
          <w:u w:val="single"/>
        </w:rPr>
        <w:t>, SBDI-II,</w:t>
      </w:r>
      <w:r>
        <w:rPr>
          <w:sz w:val="24"/>
          <w:szCs w:val="24"/>
          <w:u w:val="single"/>
        </w:rPr>
        <w:t xml:space="preserve"> rel. Min. Douglas Alencar Rodrigues,</w:t>
      </w:r>
      <w:r w:rsidRPr="00BB1CF7">
        <w:rPr>
          <w:sz w:val="24"/>
          <w:szCs w:val="24"/>
          <w:u w:val="single"/>
        </w:rPr>
        <w:t xml:space="preserve"> red.</w:t>
      </w:r>
      <w:r>
        <w:rPr>
          <w:sz w:val="24"/>
          <w:szCs w:val="24"/>
          <w:u w:val="single"/>
        </w:rPr>
        <w:t xml:space="preserve"> p/ acórdão</w:t>
      </w:r>
      <w:r w:rsidRPr="00BB1CF7">
        <w:rPr>
          <w:sz w:val="24"/>
          <w:szCs w:val="24"/>
          <w:u w:val="single"/>
        </w:rPr>
        <w:t xml:space="preserve"> Min. Emmanoel Pereira,14.6.2016</w:t>
      </w:r>
    </w:p>
    <w:p w:rsidR="008A1A58" w:rsidRPr="00AC5C19" w:rsidRDefault="008A1A58" w:rsidP="00B335D5">
      <w:pPr>
        <w:pStyle w:val="Corpo"/>
        <w:spacing w:line="240" w:lineRule="auto"/>
        <w:ind w:firstLine="0"/>
        <w:rPr>
          <w:rFonts w:ascii="Times New Roman" w:hAnsi="Times New Roman" w:cs="Times New Roman"/>
          <w:lang w:val="pt-BR"/>
        </w:rPr>
      </w:pPr>
    </w:p>
    <w:p w:rsidR="00F753D1" w:rsidRDefault="00F753D1" w:rsidP="00C6738C">
      <w:pPr>
        <w:rPr>
          <w:sz w:val="10"/>
          <w:szCs w:val="10"/>
        </w:rPr>
      </w:pPr>
    </w:p>
    <w:p w:rsidR="00340D16" w:rsidRPr="001D6AC9" w:rsidRDefault="00340D16" w:rsidP="00C6738C">
      <w:pPr>
        <w:rPr>
          <w:sz w:val="10"/>
          <w:szCs w:val="10"/>
        </w:rPr>
      </w:pP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outlineLvl w:val="0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 xml:space="preserve">Informativo TST é mantido pela </w:t>
      </w:r>
    </w:p>
    <w:p w:rsidR="00184590" w:rsidRPr="00CE7555" w:rsidRDefault="00184590" w:rsidP="00D11B24">
      <w:pPr>
        <w:pStyle w:val="Corpodetex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rPr>
          <w:b w:val="0"/>
          <w:bCs w:val="0"/>
          <w:snapToGrid w:val="0"/>
          <w:sz w:val="25"/>
          <w:szCs w:val="25"/>
        </w:rPr>
      </w:pPr>
      <w:r w:rsidRPr="00CE7555">
        <w:rPr>
          <w:b w:val="0"/>
          <w:bCs w:val="0"/>
          <w:snapToGrid w:val="0"/>
          <w:sz w:val="25"/>
          <w:szCs w:val="25"/>
        </w:rPr>
        <w:t>Coordenadoria de Jurisprudência – CJUR</w:t>
      </w:r>
    </w:p>
    <w:p w:rsidR="00184590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Informações/Sugestões/Críticas: (61)3043</w:t>
      </w:r>
      <w:r w:rsidR="00352B27" w:rsidRPr="00CE7555">
        <w:rPr>
          <w:snapToGrid w:val="0"/>
          <w:sz w:val="25"/>
          <w:szCs w:val="25"/>
        </w:rPr>
        <w:t>-</w:t>
      </w:r>
      <w:r w:rsidRPr="00CE7555">
        <w:rPr>
          <w:snapToGrid w:val="0"/>
          <w:sz w:val="25"/>
          <w:szCs w:val="25"/>
        </w:rPr>
        <w:t>4</w:t>
      </w:r>
      <w:r w:rsidR="00D72C05" w:rsidRPr="00CE7555">
        <w:rPr>
          <w:snapToGrid w:val="0"/>
          <w:sz w:val="25"/>
          <w:szCs w:val="25"/>
        </w:rPr>
        <w:t>417</w:t>
      </w:r>
    </w:p>
    <w:p w:rsidR="007614F1" w:rsidRPr="00CE7555" w:rsidRDefault="00184590" w:rsidP="00D11B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B8CCE4"/>
        <w:jc w:val="center"/>
        <w:rPr>
          <w:snapToGrid w:val="0"/>
          <w:sz w:val="25"/>
          <w:szCs w:val="25"/>
        </w:rPr>
      </w:pPr>
      <w:r w:rsidRPr="00CE7555">
        <w:rPr>
          <w:snapToGrid w:val="0"/>
          <w:sz w:val="25"/>
          <w:szCs w:val="25"/>
        </w:rPr>
        <w:t>cjur@tst.jus.br</w:t>
      </w:r>
    </w:p>
    <w:sectPr w:rsidR="007614F1" w:rsidRPr="00CE7555" w:rsidSect="00D11B2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304" w:right="1134" w:bottom="851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C08" w:rsidRDefault="001B2C08">
      <w:r>
        <w:separator/>
      </w:r>
    </w:p>
  </w:endnote>
  <w:endnote w:type="continuationSeparator" w:id="0">
    <w:p w:rsidR="001B2C08" w:rsidRDefault="001B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FE00AD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F4A69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E00AD" w:rsidRDefault="00187A37">
    <w:pPr>
      <w:pStyle w:val="Rodap"/>
      <w:ind w:right="360"/>
    </w:pPr>
    <w:r>
      <w:rPr>
        <w:noProof/>
      </w:rPr>
      <w:pict>
        <v:line id="_x0000_s2050" style="position:absolute;z-index:251658240" from=".9pt,-3.55pt" to="497.7pt,-3.55pt" o:allowincell="f" strokecolor="#969696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187A37">
    <w:pPr>
      <w:pStyle w:val="Rodap"/>
      <w:jc w:val="right"/>
    </w:pPr>
    <w:r>
      <w:rPr>
        <w:noProof/>
      </w:rPr>
      <w:pict>
        <v:line id="_x0000_s2054" style="position:absolute;left:0;text-align:left;flip:y;z-index:251659264" from=".9pt,-3.55pt" to="497.7pt,-3.4pt" o:allowincell="f" strokecolor="#969696"/>
      </w:pict>
    </w:r>
    <w:r w:rsidR="00FE00AD">
      <w:rPr>
        <w:rStyle w:val="Nmerodepgina"/>
      </w:rPr>
      <w:fldChar w:fldCharType="begin"/>
    </w:r>
    <w:r w:rsidR="00FE00AD">
      <w:rPr>
        <w:rStyle w:val="Nmerodepgina"/>
      </w:rPr>
      <w:instrText xml:space="preserve"> PAGE </w:instrText>
    </w:r>
    <w:r w:rsidR="00FE00AD">
      <w:rPr>
        <w:rStyle w:val="Nmerodepgina"/>
      </w:rPr>
      <w:fldChar w:fldCharType="separate"/>
    </w:r>
    <w:r w:rsidR="003F4A69">
      <w:rPr>
        <w:rStyle w:val="Nmerodepgina"/>
        <w:noProof/>
      </w:rPr>
      <w:t>1</w:t>
    </w:r>
    <w:r w:rsidR="00FE00AD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C08" w:rsidRDefault="001B2C08">
      <w:r>
        <w:separator/>
      </w:r>
    </w:p>
  </w:footnote>
  <w:footnote w:type="continuationSeparator" w:id="0">
    <w:p w:rsidR="001B2C08" w:rsidRDefault="001B2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Pr="00971E07" w:rsidRDefault="00FE00AD">
    <w:pPr>
      <w:pStyle w:val="Corpodetexto"/>
      <w:jc w:val="right"/>
      <w:rPr>
        <w:shadow/>
        <w:sz w:val="24"/>
        <w:szCs w:val="24"/>
      </w:rPr>
    </w:pPr>
    <w:r w:rsidRPr="00971E07">
      <w:rPr>
        <w:shadow/>
        <w:sz w:val="24"/>
        <w:szCs w:val="24"/>
      </w:rPr>
      <w:t xml:space="preserve">Informativo TST - </w:t>
    </w:r>
    <w:r w:rsidR="00986D77">
      <w:rPr>
        <w:shadow/>
        <w:sz w:val="24"/>
        <w:szCs w:val="24"/>
      </w:rPr>
      <w:t>n</w:t>
    </w:r>
    <w:r w:rsidRPr="00971E07">
      <w:rPr>
        <w:shadow/>
        <w:sz w:val="24"/>
        <w:szCs w:val="24"/>
      </w:rPr>
      <w:t xml:space="preserve">º </w:t>
    </w:r>
    <w:r w:rsidR="00C51600">
      <w:rPr>
        <w:shadow/>
        <w:sz w:val="24"/>
        <w:szCs w:val="24"/>
      </w:rPr>
      <w:t>1</w:t>
    </w:r>
    <w:r w:rsidR="00DC7F71">
      <w:rPr>
        <w:shadow/>
        <w:sz w:val="24"/>
        <w:szCs w:val="24"/>
      </w:rPr>
      <w:t>3</w:t>
    </w:r>
    <w:r w:rsidR="009802D2">
      <w:rPr>
        <w:shadow/>
        <w:sz w:val="24"/>
        <w:szCs w:val="24"/>
      </w:rPr>
      <w:t>9</w:t>
    </w:r>
  </w:p>
  <w:p w:rsidR="00CE7555" w:rsidRPr="005D1DE4" w:rsidRDefault="00187A37" w:rsidP="00CE7555">
    <w:pPr>
      <w:pStyle w:val="Cabealho"/>
      <w:jc w:val="right"/>
    </w:pPr>
    <w:r w:rsidRPr="003C0554">
      <w:rPr>
        <w:noProof/>
      </w:rPr>
      <w:pict>
        <v:line id="_x0000_s2049" style="position:absolute;left:0;text-align:left;flip:x;z-index:251657216" from=".9pt,10.15pt" to="497.7pt,10.15pt" o:allowincell="f" strokecolor="#969696"/>
      </w:pict>
    </w:r>
    <w:r w:rsidR="00DB0223" w:rsidRPr="003C0554">
      <w:rPr>
        <w:iCs/>
      </w:rPr>
      <w:t xml:space="preserve"> </w:t>
    </w:r>
    <w:r w:rsidR="00494DD1">
      <w:rPr>
        <w:i/>
        <w:iCs/>
      </w:rPr>
      <w:t xml:space="preserve">Período: </w:t>
    </w:r>
    <w:r w:rsidR="009802D2">
      <w:rPr>
        <w:i/>
        <w:iCs/>
      </w:rPr>
      <w:t>7 a 2</w:t>
    </w:r>
    <w:r w:rsidR="0084319F">
      <w:rPr>
        <w:i/>
        <w:iCs/>
      </w:rPr>
      <w:t>7</w:t>
    </w:r>
    <w:r w:rsidR="00855623">
      <w:rPr>
        <w:i/>
        <w:iCs/>
      </w:rPr>
      <w:t xml:space="preserve"> de junho</w:t>
    </w:r>
    <w:r w:rsidR="00F907EB">
      <w:rPr>
        <w:i/>
        <w:iCs/>
      </w:rPr>
      <w:t xml:space="preserve"> </w:t>
    </w:r>
    <w:r w:rsidR="000E5C57">
      <w:rPr>
        <w:i/>
        <w:iCs/>
      </w:rPr>
      <w:t>d</w:t>
    </w:r>
    <w:r w:rsidR="00971E5F">
      <w:rPr>
        <w:i/>
        <w:iCs/>
      </w:rPr>
      <w:t>e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AD" w:rsidRDefault="00075BD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65.7pt;margin-top:25pt;width:381.6pt;height:36pt;z-index:251656192" o:allowincell="f" fillcolor="black">
          <v:shadow color="#868686"/>
          <v:textpath style="font-family:&quot;Times New Roman&quot;;v-text-kern:t" trim="t" fitpath="t" string="INFORMATIVO TST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77.25pt">
          <v:imagedata r:id="rId1" o:title="TST LOGO"/>
        </v:shape>
      </w:pict>
    </w:r>
  </w:p>
  <w:p w:rsidR="00FE00AD" w:rsidRPr="002168DE" w:rsidRDefault="00A51749" w:rsidP="00075BDB">
    <w:pPr>
      <w:pStyle w:val="Cabealho"/>
      <w:tabs>
        <w:tab w:val="clear" w:pos="4419"/>
        <w:tab w:val="clear" w:pos="8838"/>
        <w:tab w:val="left" w:pos="2793"/>
      </w:tabs>
      <w:jc w:val="right"/>
      <w:rPr>
        <w:b/>
        <w:sz w:val="40"/>
        <w:szCs w:val="40"/>
      </w:rPr>
    </w:pPr>
    <w:r>
      <w:tab/>
    </w:r>
    <w:r w:rsidR="00075BDB">
      <w:tab/>
    </w:r>
    <w:r w:rsidR="00075BDB">
      <w:tab/>
    </w:r>
    <w:r w:rsidR="00075BDB">
      <w:tab/>
    </w:r>
    <w:r w:rsidR="00075BDB">
      <w:tab/>
    </w:r>
    <w:r w:rsidR="00075BDB">
      <w:tab/>
    </w:r>
    <w:r w:rsidR="00FE00AD" w:rsidRPr="002168DE">
      <w:rPr>
        <w:b/>
        <w:sz w:val="40"/>
        <w:szCs w:val="40"/>
      </w:rPr>
      <w:t xml:space="preserve">Nº </w:t>
    </w:r>
    <w:r w:rsidR="00C51600">
      <w:rPr>
        <w:b/>
        <w:sz w:val="40"/>
        <w:szCs w:val="40"/>
      </w:rPr>
      <w:t>1</w:t>
    </w:r>
    <w:r w:rsidR="00F907EB">
      <w:rPr>
        <w:b/>
        <w:sz w:val="40"/>
        <w:szCs w:val="40"/>
      </w:rPr>
      <w:t>3</w:t>
    </w:r>
    <w:r w:rsidR="00B335D5">
      <w:rPr>
        <w:b/>
        <w:sz w:val="40"/>
        <w:szCs w:val="40"/>
      </w:rPr>
      <w:t>9</w:t>
    </w:r>
  </w:p>
  <w:p w:rsidR="00FE00AD" w:rsidRPr="005D1DE4" w:rsidRDefault="00FE00AD">
    <w:pPr>
      <w:pStyle w:val="Cabealho"/>
      <w:jc w:val="right"/>
      <w:rPr>
        <w:i/>
        <w:iCs/>
        <w:sz w:val="10"/>
        <w:szCs w:val="10"/>
      </w:rPr>
    </w:pPr>
  </w:p>
  <w:p w:rsidR="00FE00AD" w:rsidRPr="005D1DE4" w:rsidRDefault="002168DE">
    <w:pPr>
      <w:pStyle w:val="Cabealho"/>
      <w:jc w:val="right"/>
    </w:pPr>
    <w:r>
      <w:rPr>
        <w:i/>
        <w:iCs/>
      </w:rPr>
      <w:t>Período:</w:t>
    </w:r>
    <w:r w:rsidR="00FE00AD" w:rsidRPr="005D1DE4">
      <w:rPr>
        <w:i/>
        <w:iCs/>
      </w:rPr>
      <w:t xml:space="preserve"> </w:t>
    </w:r>
    <w:r w:rsidR="00B335D5">
      <w:rPr>
        <w:i/>
        <w:iCs/>
      </w:rPr>
      <w:t xml:space="preserve">7 </w:t>
    </w:r>
    <w:r w:rsidR="00855623">
      <w:rPr>
        <w:i/>
        <w:iCs/>
      </w:rPr>
      <w:t xml:space="preserve">a </w:t>
    </w:r>
    <w:r w:rsidR="00B335D5">
      <w:rPr>
        <w:i/>
        <w:iCs/>
      </w:rPr>
      <w:t>2</w:t>
    </w:r>
    <w:r w:rsidR="00055A9D">
      <w:rPr>
        <w:i/>
        <w:iCs/>
      </w:rPr>
      <w:t>7</w:t>
    </w:r>
    <w:r w:rsidR="00B335D5">
      <w:rPr>
        <w:i/>
        <w:iCs/>
      </w:rPr>
      <w:t xml:space="preserve"> </w:t>
    </w:r>
    <w:r w:rsidR="00F675D5">
      <w:rPr>
        <w:i/>
        <w:iCs/>
      </w:rPr>
      <w:t>de junho</w:t>
    </w:r>
    <w:r w:rsidR="000E5C57">
      <w:rPr>
        <w:i/>
        <w:iCs/>
      </w:rPr>
      <w:t xml:space="preserve"> </w:t>
    </w:r>
    <w:r w:rsidR="004A094C">
      <w:rPr>
        <w:i/>
        <w:iCs/>
      </w:rPr>
      <w:t>de 201</w:t>
    </w:r>
    <w:r w:rsidR="000E5C57">
      <w:rPr>
        <w:i/>
        <w:iCs/>
      </w:rPr>
      <w:t>6</w:t>
    </w:r>
  </w:p>
  <w:p w:rsidR="00FE00AD" w:rsidRDefault="00FE00AD" w:rsidP="00631F1C">
    <w:pPr>
      <w:pStyle w:val="Cabealho"/>
      <w:pBdr>
        <w:bottom w:val="single" w:sz="4" w:space="1" w:color="auto"/>
      </w:pBd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08C3"/>
    <w:multiLevelType w:val="multilevel"/>
    <w:tmpl w:val="1292BA3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61C72"/>
    <w:multiLevelType w:val="multilevel"/>
    <w:tmpl w:val="E452BD52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86985"/>
    <w:multiLevelType w:val="multilevel"/>
    <w:tmpl w:val="D854AEF8"/>
    <w:lvl w:ilvl="0"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6FE"/>
    <w:rsid w:val="00004C36"/>
    <w:rsid w:val="00021967"/>
    <w:rsid w:val="000228E6"/>
    <w:rsid w:val="000249BA"/>
    <w:rsid w:val="00024CE9"/>
    <w:rsid w:val="00032056"/>
    <w:rsid w:val="000322FB"/>
    <w:rsid w:val="000425FC"/>
    <w:rsid w:val="00050E85"/>
    <w:rsid w:val="0005125E"/>
    <w:rsid w:val="00055A9D"/>
    <w:rsid w:val="00056752"/>
    <w:rsid w:val="0005765E"/>
    <w:rsid w:val="00057B87"/>
    <w:rsid w:val="0006020E"/>
    <w:rsid w:val="00064486"/>
    <w:rsid w:val="00065048"/>
    <w:rsid w:val="000733B4"/>
    <w:rsid w:val="00073880"/>
    <w:rsid w:val="00075BDB"/>
    <w:rsid w:val="00080C40"/>
    <w:rsid w:val="00080F10"/>
    <w:rsid w:val="000858FB"/>
    <w:rsid w:val="0009237D"/>
    <w:rsid w:val="00093AE9"/>
    <w:rsid w:val="00093BA8"/>
    <w:rsid w:val="00095471"/>
    <w:rsid w:val="000A04E6"/>
    <w:rsid w:val="000A4C94"/>
    <w:rsid w:val="000B2973"/>
    <w:rsid w:val="000B4D41"/>
    <w:rsid w:val="000B67DF"/>
    <w:rsid w:val="000B7CDE"/>
    <w:rsid w:val="000C3022"/>
    <w:rsid w:val="000C38FA"/>
    <w:rsid w:val="000C58F4"/>
    <w:rsid w:val="000C5AC6"/>
    <w:rsid w:val="000C672B"/>
    <w:rsid w:val="000E0A91"/>
    <w:rsid w:val="000E1DC1"/>
    <w:rsid w:val="000E5C57"/>
    <w:rsid w:val="000E7CBE"/>
    <w:rsid w:val="0011575C"/>
    <w:rsid w:val="0011692E"/>
    <w:rsid w:val="001257D7"/>
    <w:rsid w:val="00137564"/>
    <w:rsid w:val="00137DC1"/>
    <w:rsid w:val="00141630"/>
    <w:rsid w:val="00142C28"/>
    <w:rsid w:val="0015612D"/>
    <w:rsid w:val="00161CDE"/>
    <w:rsid w:val="00163142"/>
    <w:rsid w:val="001648F5"/>
    <w:rsid w:val="00176D15"/>
    <w:rsid w:val="00183803"/>
    <w:rsid w:val="00184590"/>
    <w:rsid w:val="00187A37"/>
    <w:rsid w:val="00187BEF"/>
    <w:rsid w:val="0019151D"/>
    <w:rsid w:val="00193208"/>
    <w:rsid w:val="00197B15"/>
    <w:rsid w:val="001B2C08"/>
    <w:rsid w:val="001C04D2"/>
    <w:rsid w:val="001C21FB"/>
    <w:rsid w:val="001C271F"/>
    <w:rsid w:val="001C6C93"/>
    <w:rsid w:val="001D4CF9"/>
    <w:rsid w:val="001D5AB0"/>
    <w:rsid w:val="001D6AC9"/>
    <w:rsid w:val="001D757D"/>
    <w:rsid w:val="001E14A9"/>
    <w:rsid w:val="001E14BB"/>
    <w:rsid w:val="001E3B29"/>
    <w:rsid w:val="001E4B57"/>
    <w:rsid w:val="001E5BD1"/>
    <w:rsid w:val="001E713B"/>
    <w:rsid w:val="001E79B4"/>
    <w:rsid w:val="001F030F"/>
    <w:rsid w:val="001F45E0"/>
    <w:rsid w:val="00204C97"/>
    <w:rsid w:val="00206810"/>
    <w:rsid w:val="002168DE"/>
    <w:rsid w:val="00224AC2"/>
    <w:rsid w:val="0023559D"/>
    <w:rsid w:val="002402B0"/>
    <w:rsid w:val="002449F9"/>
    <w:rsid w:val="00255732"/>
    <w:rsid w:val="00257B4A"/>
    <w:rsid w:val="00260B37"/>
    <w:rsid w:val="002635ED"/>
    <w:rsid w:val="002662BA"/>
    <w:rsid w:val="00266D49"/>
    <w:rsid w:val="00271C5C"/>
    <w:rsid w:val="00271E67"/>
    <w:rsid w:val="002730B5"/>
    <w:rsid w:val="002766D5"/>
    <w:rsid w:val="00276EA0"/>
    <w:rsid w:val="00280594"/>
    <w:rsid w:val="00285064"/>
    <w:rsid w:val="002A219D"/>
    <w:rsid w:val="002A521A"/>
    <w:rsid w:val="002A546D"/>
    <w:rsid w:val="002B4738"/>
    <w:rsid w:val="002B6377"/>
    <w:rsid w:val="002C2904"/>
    <w:rsid w:val="002E78CB"/>
    <w:rsid w:val="002F28E5"/>
    <w:rsid w:val="003074FC"/>
    <w:rsid w:val="0033397A"/>
    <w:rsid w:val="00340D16"/>
    <w:rsid w:val="00340E8D"/>
    <w:rsid w:val="00342846"/>
    <w:rsid w:val="003503FC"/>
    <w:rsid w:val="00352B27"/>
    <w:rsid w:val="0035374D"/>
    <w:rsid w:val="00363255"/>
    <w:rsid w:val="0036325E"/>
    <w:rsid w:val="003671FE"/>
    <w:rsid w:val="003708FD"/>
    <w:rsid w:val="003745DE"/>
    <w:rsid w:val="0037667D"/>
    <w:rsid w:val="00380212"/>
    <w:rsid w:val="00383A89"/>
    <w:rsid w:val="00384075"/>
    <w:rsid w:val="003908C5"/>
    <w:rsid w:val="00396053"/>
    <w:rsid w:val="003A1F0A"/>
    <w:rsid w:val="003A4086"/>
    <w:rsid w:val="003A5E5B"/>
    <w:rsid w:val="003B045C"/>
    <w:rsid w:val="003B0538"/>
    <w:rsid w:val="003B0A59"/>
    <w:rsid w:val="003B3EB5"/>
    <w:rsid w:val="003B4E23"/>
    <w:rsid w:val="003B767E"/>
    <w:rsid w:val="003C01E8"/>
    <w:rsid w:val="003C0554"/>
    <w:rsid w:val="003C1AB7"/>
    <w:rsid w:val="003C6FE7"/>
    <w:rsid w:val="003D032E"/>
    <w:rsid w:val="003D4205"/>
    <w:rsid w:val="003E1C53"/>
    <w:rsid w:val="003F2078"/>
    <w:rsid w:val="003F4A69"/>
    <w:rsid w:val="004034A8"/>
    <w:rsid w:val="00416D9A"/>
    <w:rsid w:val="00423641"/>
    <w:rsid w:val="0042772A"/>
    <w:rsid w:val="004323B0"/>
    <w:rsid w:val="00444E88"/>
    <w:rsid w:val="004477EC"/>
    <w:rsid w:val="00450BAD"/>
    <w:rsid w:val="0045657C"/>
    <w:rsid w:val="004655CC"/>
    <w:rsid w:val="00466DB9"/>
    <w:rsid w:val="00470EF8"/>
    <w:rsid w:val="004731B7"/>
    <w:rsid w:val="00486521"/>
    <w:rsid w:val="00486DFC"/>
    <w:rsid w:val="004922D6"/>
    <w:rsid w:val="00494DD1"/>
    <w:rsid w:val="004A094C"/>
    <w:rsid w:val="004A14FC"/>
    <w:rsid w:val="004A5264"/>
    <w:rsid w:val="004A5908"/>
    <w:rsid w:val="004A7C59"/>
    <w:rsid w:val="004B21AD"/>
    <w:rsid w:val="004C011C"/>
    <w:rsid w:val="004C14EA"/>
    <w:rsid w:val="004C2118"/>
    <w:rsid w:val="004C2612"/>
    <w:rsid w:val="004C749C"/>
    <w:rsid w:val="004C759F"/>
    <w:rsid w:val="004D6000"/>
    <w:rsid w:val="004D6415"/>
    <w:rsid w:val="004D71E8"/>
    <w:rsid w:val="004E393E"/>
    <w:rsid w:val="004E4507"/>
    <w:rsid w:val="004E4619"/>
    <w:rsid w:val="004F0A7D"/>
    <w:rsid w:val="004F5040"/>
    <w:rsid w:val="00513789"/>
    <w:rsid w:val="0051538E"/>
    <w:rsid w:val="00517E01"/>
    <w:rsid w:val="00521EEC"/>
    <w:rsid w:val="00543B94"/>
    <w:rsid w:val="005460BD"/>
    <w:rsid w:val="005521C8"/>
    <w:rsid w:val="00553197"/>
    <w:rsid w:val="0055409E"/>
    <w:rsid w:val="00554139"/>
    <w:rsid w:val="00556367"/>
    <w:rsid w:val="00556B35"/>
    <w:rsid w:val="00573E13"/>
    <w:rsid w:val="005811A4"/>
    <w:rsid w:val="00584F82"/>
    <w:rsid w:val="00591DFA"/>
    <w:rsid w:val="005A30AA"/>
    <w:rsid w:val="005A5695"/>
    <w:rsid w:val="005B0A1C"/>
    <w:rsid w:val="005B22CE"/>
    <w:rsid w:val="005B2F00"/>
    <w:rsid w:val="005B3792"/>
    <w:rsid w:val="005B57DE"/>
    <w:rsid w:val="005C1886"/>
    <w:rsid w:val="005C761E"/>
    <w:rsid w:val="005D0E5F"/>
    <w:rsid w:val="005D1DE4"/>
    <w:rsid w:val="005E35BD"/>
    <w:rsid w:val="005E3D4D"/>
    <w:rsid w:val="005E7FD1"/>
    <w:rsid w:val="005F0545"/>
    <w:rsid w:val="005F2858"/>
    <w:rsid w:val="006002E3"/>
    <w:rsid w:val="006145AC"/>
    <w:rsid w:val="00615F98"/>
    <w:rsid w:val="006207F5"/>
    <w:rsid w:val="00621F9C"/>
    <w:rsid w:val="00631166"/>
    <w:rsid w:val="00631F1C"/>
    <w:rsid w:val="006366A4"/>
    <w:rsid w:val="00643B60"/>
    <w:rsid w:val="006456B1"/>
    <w:rsid w:val="006564EC"/>
    <w:rsid w:val="0066084C"/>
    <w:rsid w:val="00661B23"/>
    <w:rsid w:val="00672CF9"/>
    <w:rsid w:val="00672E11"/>
    <w:rsid w:val="0068273B"/>
    <w:rsid w:val="00691234"/>
    <w:rsid w:val="00692202"/>
    <w:rsid w:val="006931CC"/>
    <w:rsid w:val="006947F2"/>
    <w:rsid w:val="00697919"/>
    <w:rsid w:val="006B3FCF"/>
    <w:rsid w:val="006B46CA"/>
    <w:rsid w:val="006C0391"/>
    <w:rsid w:val="006C28B3"/>
    <w:rsid w:val="006D1F66"/>
    <w:rsid w:val="006D306E"/>
    <w:rsid w:val="006D4497"/>
    <w:rsid w:val="006E1A9C"/>
    <w:rsid w:val="006F6C15"/>
    <w:rsid w:val="00700B1B"/>
    <w:rsid w:val="007029CF"/>
    <w:rsid w:val="0070727E"/>
    <w:rsid w:val="00710D3A"/>
    <w:rsid w:val="0071315F"/>
    <w:rsid w:val="00720057"/>
    <w:rsid w:val="00721942"/>
    <w:rsid w:val="00722BE7"/>
    <w:rsid w:val="00732DF2"/>
    <w:rsid w:val="007403B3"/>
    <w:rsid w:val="007614F1"/>
    <w:rsid w:val="007618C5"/>
    <w:rsid w:val="00764066"/>
    <w:rsid w:val="00766B7B"/>
    <w:rsid w:val="0077600F"/>
    <w:rsid w:val="00776118"/>
    <w:rsid w:val="00781C77"/>
    <w:rsid w:val="00796745"/>
    <w:rsid w:val="007B0F83"/>
    <w:rsid w:val="007C0A4F"/>
    <w:rsid w:val="007D29A1"/>
    <w:rsid w:val="007D2EE9"/>
    <w:rsid w:val="007D469A"/>
    <w:rsid w:val="007E0EA7"/>
    <w:rsid w:val="007E3F23"/>
    <w:rsid w:val="007F142E"/>
    <w:rsid w:val="007F66BC"/>
    <w:rsid w:val="007F7B5E"/>
    <w:rsid w:val="00800B97"/>
    <w:rsid w:val="00801246"/>
    <w:rsid w:val="00802B1A"/>
    <w:rsid w:val="00805CD2"/>
    <w:rsid w:val="0080615C"/>
    <w:rsid w:val="0081027F"/>
    <w:rsid w:val="0081742D"/>
    <w:rsid w:val="00817AB1"/>
    <w:rsid w:val="00821F4D"/>
    <w:rsid w:val="00823906"/>
    <w:rsid w:val="008409D3"/>
    <w:rsid w:val="0084319F"/>
    <w:rsid w:val="00844374"/>
    <w:rsid w:val="00845559"/>
    <w:rsid w:val="00854DB8"/>
    <w:rsid w:val="00854EF2"/>
    <w:rsid w:val="00855623"/>
    <w:rsid w:val="00855D99"/>
    <w:rsid w:val="008622CF"/>
    <w:rsid w:val="008627C6"/>
    <w:rsid w:val="00863B86"/>
    <w:rsid w:val="008652A2"/>
    <w:rsid w:val="008706CD"/>
    <w:rsid w:val="00871F69"/>
    <w:rsid w:val="008842D0"/>
    <w:rsid w:val="00884AC4"/>
    <w:rsid w:val="0088579D"/>
    <w:rsid w:val="008A1A58"/>
    <w:rsid w:val="008A4AFF"/>
    <w:rsid w:val="008A5FA7"/>
    <w:rsid w:val="008A68E7"/>
    <w:rsid w:val="008A7953"/>
    <w:rsid w:val="008B1828"/>
    <w:rsid w:val="008B3081"/>
    <w:rsid w:val="008B32D4"/>
    <w:rsid w:val="008C7AD0"/>
    <w:rsid w:val="008D0020"/>
    <w:rsid w:val="008D3C38"/>
    <w:rsid w:val="008D3C4B"/>
    <w:rsid w:val="008D6A05"/>
    <w:rsid w:val="008E2AE5"/>
    <w:rsid w:val="008E3F89"/>
    <w:rsid w:val="008F26CB"/>
    <w:rsid w:val="008F6509"/>
    <w:rsid w:val="008F79D9"/>
    <w:rsid w:val="009027C8"/>
    <w:rsid w:val="00922D1B"/>
    <w:rsid w:val="0093467A"/>
    <w:rsid w:val="009353F1"/>
    <w:rsid w:val="0094155C"/>
    <w:rsid w:val="00951531"/>
    <w:rsid w:val="00960A3B"/>
    <w:rsid w:val="0096375C"/>
    <w:rsid w:val="00967DE0"/>
    <w:rsid w:val="00971E07"/>
    <w:rsid w:val="00971E5F"/>
    <w:rsid w:val="009802D2"/>
    <w:rsid w:val="00980944"/>
    <w:rsid w:val="00986D77"/>
    <w:rsid w:val="00993A6E"/>
    <w:rsid w:val="009943EC"/>
    <w:rsid w:val="009A32D5"/>
    <w:rsid w:val="009B6012"/>
    <w:rsid w:val="009C102D"/>
    <w:rsid w:val="009C2A4F"/>
    <w:rsid w:val="009D4C59"/>
    <w:rsid w:val="009D7F91"/>
    <w:rsid w:val="009E20EF"/>
    <w:rsid w:val="009E26EE"/>
    <w:rsid w:val="009F1C7B"/>
    <w:rsid w:val="009F21A2"/>
    <w:rsid w:val="00A00D70"/>
    <w:rsid w:val="00A00DEE"/>
    <w:rsid w:val="00A32FBF"/>
    <w:rsid w:val="00A407EA"/>
    <w:rsid w:val="00A51749"/>
    <w:rsid w:val="00A521B6"/>
    <w:rsid w:val="00A56962"/>
    <w:rsid w:val="00A6382F"/>
    <w:rsid w:val="00A6412C"/>
    <w:rsid w:val="00A75419"/>
    <w:rsid w:val="00A76661"/>
    <w:rsid w:val="00A76D2A"/>
    <w:rsid w:val="00A82081"/>
    <w:rsid w:val="00A8557E"/>
    <w:rsid w:val="00A903E4"/>
    <w:rsid w:val="00A91181"/>
    <w:rsid w:val="00A935AC"/>
    <w:rsid w:val="00AA3DE0"/>
    <w:rsid w:val="00AB299E"/>
    <w:rsid w:val="00AB507C"/>
    <w:rsid w:val="00AC096E"/>
    <w:rsid w:val="00AD6E76"/>
    <w:rsid w:val="00AE3EAA"/>
    <w:rsid w:val="00AE5EDF"/>
    <w:rsid w:val="00AE758A"/>
    <w:rsid w:val="00B06261"/>
    <w:rsid w:val="00B108BA"/>
    <w:rsid w:val="00B12273"/>
    <w:rsid w:val="00B14F7F"/>
    <w:rsid w:val="00B16EB9"/>
    <w:rsid w:val="00B22F24"/>
    <w:rsid w:val="00B22F53"/>
    <w:rsid w:val="00B24DBE"/>
    <w:rsid w:val="00B335D5"/>
    <w:rsid w:val="00B34EB2"/>
    <w:rsid w:val="00B4728A"/>
    <w:rsid w:val="00B517C3"/>
    <w:rsid w:val="00B518B2"/>
    <w:rsid w:val="00B526EA"/>
    <w:rsid w:val="00B536FE"/>
    <w:rsid w:val="00B60670"/>
    <w:rsid w:val="00B73FFA"/>
    <w:rsid w:val="00B74A6E"/>
    <w:rsid w:val="00B82CC4"/>
    <w:rsid w:val="00B838C3"/>
    <w:rsid w:val="00B874F1"/>
    <w:rsid w:val="00BC1DE7"/>
    <w:rsid w:val="00BC209E"/>
    <w:rsid w:val="00BC2C67"/>
    <w:rsid w:val="00BC54BC"/>
    <w:rsid w:val="00BC5AEE"/>
    <w:rsid w:val="00BD2A95"/>
    <w:rsid w:val="00BD2CA9"/>
    <w:rsid w:val="00BD6029"/>
    <w:rsid w:val="00BE0541"/>
    <w:rsid w:val="00BE1ADB"/>
    <w:rsid w:val="00BE3152"/>
    <w:rsid w:val="00BF0693"/>
    <w:rsid w:val="00C070DE"/>
    <w:rsid w:val="00C232C2"/>
    <w:rsid w:val="00C26DFB"/>
    <w:rsid w:val="00C273FA"/>
    <w:rsid w:val="00C30D06"/>
    <w:rsid w:val="00C42067"/>
    <w:rsid w:val="00C432D0"/>
    <w:rsid w:val="00C4398E"/>
    <w:rsid w:val="00C44218"/>
    <w:rsid w:val="00C51600"/>
    <w:rsid w:val="00C54185"/>
    <w:rsid w:val="00C57E92"/>
    <w:rsid w:val="00C60B4A"/>
    <w:rsid w:val="00C65BDB"/>
    <w:rsid w:val="00C66C95"/>
    <w:rsid w:val="00C6738C"/>
    <w:rsid w:val="00C71A3B"/>
    <w:rsid w:val="00C76CFA"/>
    <w:rsid w:val="00C819C8"/>
    <w:rsid w:val="00C8747B"/>
    <w:rsid w:val="00C87D5B"/>
    <w:rsid w:val="00C94FF6"/>
    <w:rsid w:val="00C963F8"/>
    <w:rsid w:val="00C96BB1"/>
    <w:rsid w:val="00CA2F80"/>
    <w:rsid w:val="00CA3ECF"/>
    <w:rsid w:val="00CB0C2A"/>
    <w:rsid w:val="00CB3B98"/>
    <w:rsid w:val="00CC4B2B"/>
    <w:rsid w:val="00CC579C"/>
    <w:rsid w:val="00CC5F5F"/>
    <w:rsid w:val="00CC6BEC"/>
    <w:rsid w:val="00CC743B"/>
    <w:rsid w:val="00CD3460"/>
    <w:rsid w:val="00CD44C9"/>
    <w:rsid w:val="00CD4B61"/>
    <w:rsid w:val="00CD5043"/>
    <w:rsid w:val="00CE066A"/>
    <w:rsid w:val="00CE2928"/>
    <w:rsid w:val="00CE314A"/>
    <w:rsid w:val="00CE5865"/>
    <w:rsid w:val="00CE7555"/>
    <w:rsid w:val="00CF3D9D"/>
    <w:rsid w:val="00CF6B77"/>
    <w:rsid w:val="00D00018"/>
    <w:rsid w:val="00D01C50"/>
    <w:rsid w:val="00D11B24"/>
    <w:rsid w:val="00D11C18"/>
    <w:rsid w:val="00D133C8"/>
    <w:rsid w:val="00D14DB8"/>
    <w:rsid w:val="00D17339"/>
    <w:rsid w:val="00D244D5"/>
    <w:rsid w:val="00D2776A"/>
    <w:rsid w:val="00D4021B"/>
    <w:rsid w:val="00D413DB"/>
    <w:rsid w:val="00D420E2"/>
    <w:rsid w:val="00D4459D"/>
    <w:rsid w:val="00D573F9"/>
    <w:rsid w:val="00D6058B"/>
    <w:rsid w:val="00D608E5"/>
    <w:rsid w:val="00D62D9E"/>
    <w:rsid w:val="00D63EC5"/>
    <w:rsid w:val="00D64BC3"/>
    <w:rsid w:val="00D72C05"/>
    <w:rsid w:val="00D73575"/>
    <w:rsid w:val="00D735BF"/>
    <w:rsid w:val="00D77672"/>
    <w:rsid w:val="00D80222"/>
    <w:rsid w:val="00D847CF"/>
    <w:rsid w:val="00D87489"/>
    <w:rsid w:val="00DA0A99"/>
    <w:rsid w:val="00DA0A9D"/>
    <w:rsid w:val="00DA54D4"/>
    <w:rsid w:val="00DA7603"/>
    <w:rsid w:val="00DA7E39"/>
    <w:rsid w:val="00DA7EDE"/>
    <w:rsid w:val="00DB0223"/>
    <w:rsid w:val="00DB047C"/>
    <w:rsid w:val="00DC0AB5"/>
    <w:rsid w:val="00DC3451"/>
    <w:rsid w:val="00DC50EB"/>
    <w:rsid w:val="00DC7F71"/>
    <w:rsid w:val="00DD19F4"/>
    <w:rsid w:val="00DD3FA0"/>
    <w:rsid w:val="00DE5B2D"/>
    <w:rsid w:val="00DE5CE9"/>
    <w:rsid w:val="00DF45BB"/>
    <w:rsid w:val="00E006DC"/>
    <w:rsid w:val="00E03064"/>
    <w:rsid w:val="00E04BD5"/>
    <w:rsid w:val="00E070D2"/>
    <w:rsid w:val="00E100F5"/>
    <w:rsid w:val="00E1139A"/>
    <w:rsid w:val="00E1539C"/>
    <w:rsid w:val="00E162B6"/>
    <w:rsid w:val="00E16E01"/>
    <w:rsid w:val="00E20FC8"/>
    <w:rsid w:val="00E24A50"/>
    <w:rsid w:val="00E31469"/>
    <w:rsid w:val="00E3296A"/>
    <w:rsid w:val="00E35639"/>
    <w:rsid w:val="00E4188A"/>
    <w:rsid w:val="00E432CC"/>
    <w:rsid w:val="00E47FF2"/>
    <w:rsid w:val="00E50711"/>
    <w:rsid w:val="00E52522"/>
    <w:rsid w:val="00E531C9"/>
    <w:rsid w:val="00E60AD3"/>
    <w:rsid w:val="00E60EDA"/>
    <w:rsid w:val="00E62BBC"/>
    <w:rsid w:val="00E9503C"/>
    <w:rsid w:val="00E956D9"/>
    <w:rsid w:val="00EA1958"/>
    <w:rsid w:val="00EA29F5"/>
    <w:rsid w:val="00EA482D"/>
    <w:rsid w:val="00EB5FE6"/>
    <w:rsid w:val="00EB61A5"/>
    <w:rsid w:val="00EB6C1B"/>
    <w:rsid w:val="00EB7A09"/>
    <w:rsid w:val="00EC0EDC"/>
    <w:rsid w:val="00EC5AF4"/>
    <w:rsid w:val="00EC7E0B"/>
    <w:rsid w:val="00ED661C"/>
    <w:rsid w:val="00EE41B5"/>
    <w:rsid w:val="00EE66C9"/>
    <w:rsid w:val="00EF11A9"/>
    <w:rsid w:val="00EF38E1"/>
    <w:rsid w:val="00EF749A"/>
    <w:rsid w:val="00EF771E"/>
    <w:rsid w:val="00F02565"/>
    <w:rsid w:val="00F026EC"/>
    <w:rsid w:val="00F05542"/>
    <w:rsid w:val="00F06855"/>
    <w:rsid w:val="00F17A2C"/>
    <w:rsid w:val="00F21A70"/>
    <w:rsid w:val="00F26708"/>
    <w:rsid w:val="00F30FF2"/>
    <w:rsid w:val="00F37F29"/>
    <w:rsid w:val="00F45608"/>
    <w:rsid w:val="00F511EE"/>
    <w:rsid w:val="00F55574"/>
    <w:rsid w:val="00F558E7"/>
    <w:rsid w:val="00F62016"/>
    <w:rsid w:val="00F63F44"/>
    <w:rsid w:val="00F6746D"/>
    <w:rsid w:val="00F675D5"/>
    <w:rsid w:val="00F753D1"/>
    <w:rsid w:val="00F7766D"/>
    <w:rsid w:val="00F811CD"/>
    <w:rsid w:val="00F82D8F"/>
    <w:rsid w:val="00F83F62"/>
    <w:rsid w:val="00F907EB"/>
    <w:rsid w:val="00F9711D"/>
    <w:rsid w:val="00FA011F"/>
    <w:rsid w:val="00FA7544"/>
    <w:rsid w:val="00FA75E0"/>
    <w:rsid w:val="00FA7771"/>
    <w:rsid w:val="00FB0DC9"/>
    <w:rsid w:val="00FB20B1"/>
    <w:rsid w:val="00FB3AB4"/>
    <w:rsid w:val="00FB6188"/>
    <w:rsid w:val="00FC35EC"/>
    <w:rsid w:val="00FC56A4"/>
    <w:rsid w:val="00FD029A"/>
    <w:rsid w:val="00FD3D06"/>
    <w:rsid w:val="00FD5662"/>
    <w:rsid w:val="00FD72B6"/>
    <w:rsid w:val="00FE00AD"/>
    <w:rsid w:val="00FE206E"/>
    <w:rsid w:val="00FE499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Body Text 3" w:unhideWhenUsed="0"/>
    <w:lsdException w:name="Body Text Inden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  <w:color w:val="0000FF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jc w:val="both"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jc w:val="center"/>
      <w:outlineLvl w:val="5"/>
    </w:pPr>
    <w:rPr>
      <w:sz w:val="28"/>
      <w:szCs w:val="2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5Char">
    <w:name w:val="Título 5 Char"/>
    <w:link w:val="Ttulo5"/>
    <w:uiPriority w:val="99"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locked/>
    <w:rPr>
      <w:rFonts w:ascii="Calibri" w:hAnsi="Calibri" w:cs="Calibri"/>
      <w:b/>
      <w:bCs/>
      <w:sz w:val="22"/>
      <w:szCs w:val="2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Pr>
      <w:rFonts w:cs="Times New Roman"/>
    </w:rPr>
  </w:style>
  <w:style w:type="paragraph" w:styleId="Corpodetexto">
    <w:name w:val="Body Text"/>
    <w:basedOn w:val="Normal"/>
    <w:link w:val="CorpodetextoChar"/>
    <w:uiPriority w:val="99"/>
    <w:pPr>
      <w:jc w:val="center"/>
    </w:pPr>
    <w:rPr>
      <w:b/>
      <w:bCs/>
      <w:sz w:val="26"/>
      <w:szCs w:val="26"/>
    </w:rPr>
  </w:style>
  <w:style w:type="character" w:customStyle="1" w:styleId="CorpodetextoChar">
    <w:name w:val="Corpo de texto Char"/>
    <w:link w:val="Corpodetexto"/>
    <w:uiPriority w:val="99"/>
    <w:locked/>
    <w:rPr>
      <w:rFonts w:cs="Times New Roman"/>
    </w:rPr>
  </w:style>
  <w:style w:type="paragraph" w:customStyle="1" w:styleId="coletanea">
    <w:name w:val="coletanea"/>
    <w:basedOn w:val="Normal"/>
    <w:pPr>
      <w:jc w:val="both"/>
    </w:pPr>
  </w:style>
  <w:style w:type="paragraph" w:customStyle="1" w:styleId="Ementa">
    <w:name w:val="Ementa"/>
    <w:basedOn w:val="Normal"/>
    <w:uiPriority w:val="99"/>
    <w:pPr>
      <w:ind w:left="4536"/>
      <w:jc w:val="both"/>
    </w:pPr>
    <w:rPr>
      <w:rFonts w:ascii="Courier New" w:hAnsi="Courier New" w:cs="Courier New"/>
      <w:color w:val="808000"/>
      <w:sz w:val="24"/>
      <w:szCs w:val="24"/>
      <w:lang w:val="en-US"/>
    </w:rPr>
  </w:style>
  <w:style w:type="paragraph" w:styleId="Corpodetexto3">
    <w:name w:val="Body Text 3"/>
    <w:basedOn w:val="Normal"/>
    <w:link w:val="Corpodetexto3Char"/>
    <w:uiPriority w:val="99"/>
    <w:pPr>
      <w:jc w:val="both"/>
    </w:pPr>
    <w:rPr>
      <w:b/>
      <w:bCs/>
      <w:i/>
      <w:iCs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Pr>
      <w:rFonts w:cs="Times New Roman"/>
      <w:sz w:val="16"/>
      <w:szCs w:val="16"/>
    </w:rPr>
  </w:style>
  <w:style w:type="character" w:styleId="Nmerodepgina">
    <w:name w:val="page number"/>
    <w:uiPriority w:val="99"/>
    <w:rPr>
      <w:rFonts w:cs="Times New Roman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customStyle="1" w:styleId="Identificao">
    <w:name w:val="Identificação"/>
    <w:basedOn w:val="Normal"/>
    <w:uiPriority w:val="99"/>
    <w:pPr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customStyle="1" w:styleId="Corpo">
    <w:name w:val="Corpo"/>
    <w:link w:val="CorpoChar"/>
    <w:uiPriority w:val="99"/>
    <w:qFormat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  <w:lang w:val="en-US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22"/>
      <w:szCs w:val="22"/>
    </w:rPr>
  </w:style>
  <w:style w:type="character" w:customStyle="1" w:styleId="Corpodetexto2Char">
    <w:name w:val="Corpo de texto 2 Char"/>
    <w:link w:val="Corpodetexto2"/>
    <w:uiPriority w:val="99"/>
    <w:locked/>
    <w:rPr>
      <w:rFonts w:cs="Times New Roman"/>
      <w:sz w:val="22"/>
      <w:szCs w:val="22"/>
    </w:rPr>
  </w:style>
  <w:style w:type="paragraph" w:customStyle="1" w:styleId="Voto">
    <w:name w:val="Voto"/>
    <w:basedOn w:val="Corpo"/>
    <w:next w:val="Corpo"/>
    <w:uiPriority w:val="99"/>
    <w:rPr>
      <w:color w:val="0000FF"/>
    </w:rPr>
  </w:style>
  <w:style w:type="paragraph" w:customStyle="1" w:styleId="Transcrio">
    <w:name w:val="Transcrição"/>
    <w:basedOn w:val="Corpo"/>
    <w:link w:val="TranscrioChar"/>
    <w:uiPriority w:val="99"/>
    <w:pPr>
      <w:ind w:left="2551" w:firstLine="567"/>
    </w:pPr>
    <w:rPr>
      <w:rFonts w:ascii="Times New Roman" w:hAnsi="Times New Roman" w:cs="Times New Roman"/>
    </w:rPr>
  </w:style>
  <w:style w:type="paragraph" w:customStyle="1" w:styleId="Transcrio2">
    <w:name w:val="Transcrição 2"/>
    <w:basedOn w:val="Corpo"/>
    <w:uiPriority w:val="99"/>
    <w:pPr>
      <w:spacing w:line="240" w:lineRule="auto"/>
      <w:ind w:left="3686" w:firstLine="567"/>
    </w:pPr>
    <w:rPr>
      <w:rFonts w:ascii="Times New Roman" w:hAnsi="Times New Roman"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2552"/>
      <w:jc w:val="both"/>
    </w:pPr>
    <w:rPr>
      <w:rFonts w:ascii="Courier New" w:hAnsi="Courier New" w:cs="Courier New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locked/>
    <w:rPr>
      <w:rFonts w:cs="Times New Roman"/>
    </w:rPr>
  </w:style>
  <w:style w:type="paragraph" w:customStyle="1" w:styleId="CORPO0">
    <w:name w:val="CORPO"/>
    <w:uiPriority w:val="99"/>
    <w:pPr>
      <w:autoSpaceDE w:val="0"/>
      <w:autoSpaceDN w:val="0"/>
      <w:spacing w:line="360" w:lineRule="atLeast"/>
      <w:ind w:firstLine="2551"/>
      <w:jc w:val="both"/>
    </w:pPr>
    <w:rPr>
      <w:rFonts w:ascii="Courier New" w:hAnsi="Courier New" w:cs="Courier New"/>
      <w:color w:val="000000"/>
      <w:sz w:val="24"/>
      <w:szCs w:val="24"/>
    </w:rPr>
  </w:style>
  <w:style w:type="character" w:styleId="Forte">
    <w:name w:val="Strong"/>
    <w:uiPriority w:val="99"/>
    <w:qFormat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214" w:hanging="142"/>
    </w:pPr>
  </w:style>
  <w:style w:type="character" w:customStyle="1" w:styleId="Recuodecorpodetexto2Char">
    <w:name w:val="Recuo de corpo de texto 2 Char"/>
    <w:link w:val="Recuodecorpodetexto2"/>
    <w:uiPriority w:val="99"/>
    <w:locked/>
    <w:rPr>
      <w:rFonts w:cs="Times New Roman"/>
    </w:rPr>
  </w:style>
  <w:style w:type="paragraph" w:customStyle="1" w:styleId="Funo">
    <w:name w:val="Função"/>
    <w:basedOn w:val="Corpo"/>
    <w:uiPriority w:val="99"/>
    <w:pPr>
      <w:spacing w:line="360" w:lineRule="auto"/>
      <w:ind w:left="1871" w:right="1871" w:firstLine="0"/>
      <w:jc w:val="center"/>
    </w:pPr>
    <w:rPr>
      <w:b/>
      <w:bCs/>
      <w:sz w:val="20"/>
      <w:szCs w:val="20"/>
    </w:rPr>
  </w:style>
  <w:style w:type="paragraph" w:customStyle="1" w:styleId="IstoPosto">
    <w:name w:val="Isto Posto"/>
    <w:basedOn w:val="Corpo"/>
    <w:next w:val="Corpo"/>
    <w:uiPriority w:val="99"/>
    <w:rPr>
      <w:color w:val="800080"/>
    </w:rPr>
  </w:style>
  <w:style w:type="paragraph" w:customStyle="1" w:styleId="body8sem">
    <w:name w:val="body8sem"/>
    <w:uiPriority w:val="99"/>
    <w:pPr>
      <w:autoSpaceDE w:val="0"/>
      <w:autoSpaceDN w:val="0"/>
      <w:spacing w:line="180" w:lineRule="atLeast"/>
      <w:jc w:val="both"/>
    </w:pPr>
    <w:rPr>
      <w:rFonts w:ascii="Times New Roman" w:hAnsi="Times New Roman"/>
      <w:color w:val="000000"/>
      <w:sz w:val="16"/>
      <w:szCs w:val="16"/>
    </w:rPr>
  </w:style>
  <w:style w:type="paragraph" w:customStyle="1" w:styleId="Relatrio">
    <w:name w:val="Relatório"/>
    <w:basedOn w:val="Corpo"/>
    <w:next w:val="Corpo"/>
    <w:uiPriority w:val="99"/>
    <w:rPr>
      <w:color w:val="008000"/>
    </w:rPr>
  </w:style>
  <w:style w:type="paragraph" w:styleId="Data">
    <w:name w:val="Date"/>
    <w:basedOn w:val="Corpo"/>
    <w:next w:val="Corpo"/>
    <w:link w:val="DataChar"/>
    <w:uiPriority w:val="99"/>
    <w:pPr>
      <w:ind w:firstLine="2552"/>
    </w:pPr>
    <w:rPr>
      <w:color w:val="FF00FF"/>
    </w:rPr>
  </w:style>
  <w:style w:type="character" w:customStyle="1" w:styleId="DataChar">
    <w:name w:val="Data Char"/>
    <w:link w:val="Data"/>
    <w:uiPriority w:val="99"/>
    <w:locked/>
    <w:rPr>
      <w:rFonts w:cs="Times New Roman"/>
    </w:rPr>
  </w:style>
  <w:style w:type="paragraph" w:customStyle="1" w:styleId="TemaPN">
    <w:name w:val="TemaPN"/>
    <w:next w:val="Normal"/>
    <w:autoRedefine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7088"/>
      </w:tabs>
      <w:autoSpaceDE w:val="0"/>
      <w:autoSpaceDN w:val="0"/>
      <w:spacing w:before="260"/>
      <w:ind w:left="737" w:hanging="907"/>
      <w:jc w:val="both"/>
    </w:pPr>
    <w:rPr>
      <w:rFonts w:ascii="Times New Roman" w:hAnsi="Times New Roman"/>
      <w:b/>
      <w:bCs/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locked/>
    <w:rPr>
      <w:rFonts w:ascii="Tahoma" w:hAnsi="Tahoma" w:cs="Tahoma"/>
      <w:sz w:val="16"/>
      <w:szCs w:val="16"/>
    </w:rPr>
  </w:style>
  <w:style w:type="paragraph" w:customStyle="1" w:styleId="Textoenun">
    <w:name w:val="Textoenun"/>
    <w:basedOn w:val="Normal"/>
    <w:uiPriority w:val="99"/>
    <w:pPr>
      <w:keepNext/>
      <w:keepLines/>
      <w:tabs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</w:tabs>
      <w:ind w:left="737"/>
      <w:jc w:val="both"/>
    </w:pPr>
    <w:rPr>
      <w:sz w:val="28"/>
      <w:szCs w:val="28"/>
    </w:rPr>
  </w:style>
  <w:style w:type="paragraph" w:customStyle="1" w:styleId="NumProcesso">
    <w:name w:val="Num.Processo"/>
    <w:uiPriority w:val="99"/>
    <w:pPr>
      <w:widowControl w:val="0"/>
      <w:autoSpaceDE w:val="0"/>
      <w:autoSpaceDN w:val="0"/>
      <w:spacing w:before="170" w:line="360" w:lineRule="atLeast"/>
      <w:jc w:val="right"/>
    </w:pPr>
    <w:rPr>
      <w:rFonts w:ascii="Courier New" w:hAnsi="Courier New" w:cs="Courier New"/>
      <w:b/>
      <w:bCs/>
      <w:color w:val="000000"/>
      <w:sz w:val="24"/>
      <w:szCs w:val="24"/>
    </w:rPr>
  </w:style>
  <w:style w:type="character" w:styleId="nfase">
    <w:name w:val="Emphasis"/>
    <w:uiPriority w:val="20"/>
    <w:qFormat/>
    <w:rPr>
      <w:rFonts w:cs="Times New Roman"/>
      <w:i/>
      <w:iCs/>
    </w:rPr>
  </w:style>
  <w:style w:type="paragraph" w:customStyle="1" w:styleId="tema">
    <w:name w:val="tema"/>
    <w:link w:val="temaChar"/>
    <w:qFormat/>
    <w:pPr>
      <w:widowControl w:val="0"/>
      <w:autoSpaceDE w:val="0"/>
      <w:autoSpaceDN w:val="0"/>
      <w:spacing w:line="200" w:lineRule="exact"/>
      <w:ind w:left="567"/>
      <w:jc w:val="both"/>
    </w:pPr>
    <w:rPr>
      <w:rFonts w:ascii="Courier New" w:hAnsi="Courier New" w:cs="Courier New"/>
      <w:b/>
      <w:bCs/>
      <w:caps/>
      <w:color w:val="000000"/>
      <w:sz w:val="24"/>
      <w:szCs w:val="24"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character" w:customStyle="1" w:styleId="moz-txt-tag">
    <w:name w:val="moz-txt-tag"/>
    <w:uiPriority w:val="99"/>
    <w:rPr>
      <w:rFonts w:cs="Times New Roman"/>
    </w:rPr>
  </w:style>
  <w:style w:type="paragraph" w:customStyle="1" w:styleId="EXPLICAO">
    <w:name w:val="EXPLICAÇÃO"/>
    <w:pPr>
      <w:widowControl w:val="0"/>
      <w:autoSpaceDE w:val="0"/>
      <w:autoSpaceDN w:val="0"/>
      <w:spacing w:line="230" w:lineRule="atLeast"/>
      <w:ind w:left="284"/>
      <w:jc w:val="both"/>
    </w:pPr>
    <w:rPr>
      <w:rFonts w:ascii="Courier New" w:hAnsi="Courier New" w:cs="Courier New"/>
      <w:i/>
      <w:iCs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locked/>
    <w:rPr>
      <w:rFonts w:ascii="Courier New" w:hAnsi="Courier New" w:cs="Courier New"/>
      <w:sz w:val="20"/>
      <w:szCs w:val="20"/>
    </w:rPr>
  </w:style>
  <w:style w:type="paragraph" w:customStyle="1" w:styleId="Preformatted">
    <w:name w:val="Preformatted"/>
    <w:basedOn w:val="Normal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explicao0">
    <w:name w:val="explicação"/>
    <w:qFormat/>
    <w:rsid w:val="00553197"/>
    <w:pPr>
      <w:widowControl w:val="0"/>
      <w:tabs>
        <w:tab w:val="left" w:pos="5103"/>
        <w:tab w:val="left" w:pos="5245"/>
      </w:tabs>
      <w:spacing w:line="200" w:lineRule="exact"/>
      <w:ind w:left="284"/>
      <w:jc w:val="both"/>
    </w:pPr>
    <w:rPr>
      <w:rFonts w:ascii="Courier New" w:hAnsi="Courier New"/>
      <w:i/>
      <w:color w:val="000000"/>
      <w:sz w:val="24"/>
    </w:rPr>
  </w:style>
  <w:style w:type="paragraph" w:customStyle="1" w:styleId="Tabela">
    <w:name w:val="Tabela"/>
    <w:rsid w:val="00004C36"/>
    <w:pPr>
      <w:widowControl w:val="0"/>
      <w:spacing w:line="255" w:lineRule="atLeast"/>
      <w:jc w:val="both"/>
    </w:pPr>
    <w:rPr>
      <w:rFonts w:ascii="Courier New" w:hAnsi="Courier New"/>
      <w:caps/>
      <w:color w:val="000000"/>
      <w:sz w:val="24"/>
    </w:rPr>
  </w:style>
  <w:style w:type="character" w:customStyle="1" w:styleId="temaChar">
    <w:name w:val="tema Char"/>
    <w:link w:val="tema"/>
    <w:locked/>
    <w:rsid w:val="003908C5"/>
    <w:rPr>
      <w:rFonts w:ascii="Courier New" w:hAnsi="Courier New" w:cs="Courier New"/>
      <w:b/>
      <w:bCs/>
      <w:caps/>
      <w:color w:val="000000"/>
      <w:sz w:val="24"/>
      <w:szCs w:val="24"/>
      <w:lang w:val="pt-BR" w:eastAsia="pt-BR" w:bidi="ar-SA"/>
    </w:rPr>
  </w:style>
  <w:style w:type="character" w:customStyle="1" w:styleId="CorpoChar">
    <w:name w:val="Corpo Char"/>
    <w:link w:val="Corpo"/>
    <w:uiPriority w:val="99"/>
    <w:locked/>
    <w:rsid w:val="008D3C38"/>
    <w:rPr>
      <w:rFonts w:ascii="Courier New" w:hAnsi="Courier New" w:cs="Courier New"/>
      <w:color w:val="000000"/>
      <w:sz w:val="24"/>
      <w:szCs w:val="24"/>
      <w:lang w:val="en-US" w:eastAsia="pt-BR" w:bidi="ar-SA"/>
    </w:rPr>
  </w:style>
  <w:style w:type="character" w:customStyle="1" w:styleId="apple-converted-space">
    <w:name w:val="apple-converted-space"/>
    <w:rsid w:val="00766B7B"/>
    <w:rPr>
      <w:rFonts w:cs="Times New Roman"/>
    </w:rPr>
  </w:style>
  <w:style w:type="character" w:styleId="HiperlinkVisitado">
    <w:name w:val="FollowedHyperlink"/>
    <w:uiPriority w:val="99"/>
    <w:semiHidden/>
    <w:unhideWhenUsed/>
    <w:rsid w:val="008D3C4B"/>
    <w:rPr>
      <w:color w:val="800080"/>
      <w:u w:val="single"/>
    </w:rPr>
  </w:style>
  <w:style w:type="paragraph" w:customStyle="1" w:styleId="explicao1">
    <w:name w:val="explicao"/>
    <w:basedOn w:val="Normal"/>
    <w:rsid w:val="0005125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51">
    <w:name w:val="f51"/>
    <w:rsid w:val="0005125E"/>
    <w:rPr>
      <w:rFonts w:ascii="Times" w:hAnsi="Times" w:hint="default"/>
      <w:sz w:val="24"/>
      <w:szCs w:val="24"/>
    </w:rPr>
  </w:style>
  <w:style w:type="character" w:customStyle="1" w:styleId="TranscrioChar">
    <w:name w:val="Transcrição Char"/>
    <w:link w:val="Transcrio"/>
    <w:uiPriority w:val="99"/>
    <w:locked/>
    <w:rsid w:val="00BC209E"/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OJDASBDI-1">
    <w:name w:val="OJ DA SBDI-1"/>
    <w:basedOn w:val="Normal"/>
    <w:qFormat/>
    <w:rsid w:val="00BC209E"/>
    <w:pPr>
      <w:tabs>
        <w:tab w:val="left" w:pos="1453"/>
      </w:tabs>
      <w:autoSpaceDE/>
      <w:autoSpaceDN/>
      <w:spacing w:after="200" w:line="276" w:lineRule="auto"/>
      <w:jc w:val="both"/>
    </w:pPr>
    <w:rPr>
      <w:rFonts w:eastAsia="Calibri"/>
      <w:b/>
      <w:caps/>
      <w:sz w:val="28"/>
      <w:szCs w:val="28"/>
      <w:lang w:eastAsia="en-US"/>
    </w:rPr>
  </w:style>
  <w:style w:type="paragraph" w:customStyle="1" w:styleId="CPCeproposta">
    <w:name w:val="CPC e proposta"/>
    <w:basedOn w:val="Normal"/>
    <w:autoRedefine/>
    <w:qFormat/>
    <w:rsid w:val="00BC209E"/>
    <w:pPr>
      <w:autoSpaceDE/>
      <w:autoSpaceDN/>
      <w:ind w:left="1134"/>
      <w:jc w:val="both"/>
    </w:pPr>
    <w:rPr>
      <w:rFonts w:ascii="Courier New" w:eastAsia="Calibri" w:hAnsi="Courier New" w:cs="Courier New"/>
      <w:b/>
      <w:color w:val="FF0000"/>
      <w:sz w:val="24"/>
      <w:szCs w:val="24"/>
      <w:u w:val="single"/>
      <w:lang w:eastAsia="en-US"/>
    </w:rPr>
  </w:style>
  <w:style w:type="paragraph" w:styleId="PargrafodaLista">
    <w:name w:val="List Paragraph"/>
    <w:basedOn w:val="Normal"/>
    <w:uiPriority w:val="34"/>
    <w:qFormat/>
    <w:rsid w:val="007029CF"/>
    <w:pPr>
      <w:autoSpaceDE/>
      <w:autoSpaceDN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icacao4.tst.jus.br/consultaProcessual/consultaTstNumUnica.do?consulta=Consultar&amp;conscsjt=&amp;numeroTst=118&amp;digitoTst=88&amp;anoTst=2015&amp;orgaoTst=5&amp;tribunalTst=05&amp;varaTst=0000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plicacao4.tst.jus.br/consultaProcessual/consultaTstNumUnica.do?consulta=Consultar&amp;conscsjt=&amp;numeroTst=7190&amp;digitoTst=84&amp;anoTst=2014&amp;orgaoTst=5&amp;tribunalTst=15&amp;varaTst=0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licacao4.tst.jus.br/consultaProcessual/consultaTstNumUnica.do?consulta=Consultar&amp;conscsjt=&amp;numeroTst=21386&amp;digitoTst=31&amp;anoTst=2015&amp;orgaoTst=5&amp;tribunalTst=04&amp;varaTst=0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aplicacao4.tst.jus.br/consultaProcessual/consultaTstNumUnica.do?consulta=Consultar&amp;conscsjt=&amp;numeroTst=72700&amp;digitoTst=67&amp;anoTst=2008&amp;orgaoTst=5&amp;tribunalTst=17&amp;varaTst=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licacao4.tst.jus.br/consultaProcessual/consultaTstNumUnica.do?consulta=Consultar&amp;conscsjt=&amp;numeroTst=514&amp;digitoTst=11&amp;anoTst=2013&amp;orgaoTst=5&amp;tribunalTst=23&amp;varaTst=0008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29214-91A8-4BD6-AC2A-530A64B3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1839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Este Informativo, elaborado a partir de notas tomadas nas sessões de julgamentos, contém resumos não-oficiais de decisões proferidas pelo Tribunal</vt:lpstr>
    </vt:vector>
  </TitlesOfParts>
  <Company>Tribunal Superior do Trabalho</Company>
  <LinksUpToDate>false</LinksUpToDate>
  <CharactersWithSpaces>11748</CharactersWithSpaces>
  <SharedDoc>false</SharedDoc>
  <HLinks>
    <vt:vector size="30" baseType="variant">
      <vt:variant>
        <vt:i4>2752633</vt:i4>
      </vt:variant>
      <vt:variant>
        <vt:i4>12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http://aplicacao4.tst.jus.br/consultaProcessual/consultaTstNumUnica.do?consulta=Consultar&amp;conscsjt=&amp;numeroTst=7190&amp;digitoTst=84&amp;anoTst=2014&amp;orgaoTst=5&amp;tribunalTst=15&amp;varaTst=0000</vt:lpwstr>
      </vt:variant>
      <vt:variant>
        <vt:lpwstr/>
      </vt:variant>
      <vt:variant>
        <vt:i4>6684731</vt:i4>
      </vt:variant>
      <vt:variant>
        <vt:i4>9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http://aplicacao4.tst.jus.br/consultaProcessual/consultaTstNumUnica.do?consulta=Consultar&amp;conscsjt=&amp;numeroTst=21386&amp;digitoTst=31&amp;anoTst=2015&amp;orgaoTst=5&amp;tribunalTst=04&amp;varaTst=0000</vt:lpwstr>
      </vt:variant>
      <vt:variant>
        <vt:lpwstr/>
      </vt:variant>
      <vt:variant>
        <vt:i4>6553657</vt:i4>
      </vt:variant>
      <vt:variant>
        <vt:i4>6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http://aplicacao4.tst.jus.br/consultaProcessual/consultaTstNumUnica.do?consulta=Consultar&amp;conscsjt=&amp;numeroTst=72700&amp;digitoTst=67&amp;anoTst=2008&amp;orgaoTst=5&amp;tribunalTst=17&amp;varaTst=0010</vt:lpwstr>
      </vt:variant>
      <vt:variant>
        <vt:lpwstr/>
      </vt:variant>
      <vt:variant>
        <vt:i4>6225933</vt:i4>
      </vt:variant>
      <vt:variant>
        <vt:i4>3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http://aplicacao4.tst.jus.br/consultaProcessual/consultaTstNumUnica.do?consulta=Consultar&amp;conscsjt=&amp;numeroTst=514&amp;digitoTst=11&amp;anoTst=2013&amp;orgaoTst=5&amp;tribunalTst=23&amp;varaTst=0008</vt:lpwstr>
      </vt:variant>
      <vt:variant>
        <vt:lpwstr/>
      </vt:variant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http://aplicacao4.tst.jus.br/consultaProcessual/consultaTstNumUnica.do?consulta=Consultar&amp;conscsjt=&amp;numeroTst=118&amp;digitoTst=88&amp;anoTst=2015&amp;orgaoTst=5&amp;tribunalTst=05&amp;varaTst=0000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Este Informativo, elaborado a partir de notas tomadas nas sessões de julgamentos, contém resumos não-oficiais de decisões proferidas pelo Tribunal</dc:title>
  <dc:subject/>
  <dc:creator>C037163</dc:creator>
  <cp:keywords/>
  <cp:lastModifiedBy>c041658</cp:lastModifiedBy>
  <cp:revision>2</cp:revision>
  <cp:lastPrinted>2016-06-30T19:07:00Z</cp:lastPrinted>
  <dcterms:created xsi:type="dcterms:W3CDTF">2017-05-18T23:09:00Z</dcterms:created>
  <dcterms:modified xsi:type="dcterms:W3CDTF">2017-05-18T23:09:00Z</dcterms:modified>
</cp:coreProperties>
</file>