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CE7555" w:rsidTr="00FB20B1">
        <w:tblPrEx>
          <w:tblCellMar>
            <w:top w:w="0" w:type="dxa"/>
            <w:bottom w:w="0" w:type="dxa"/>
          </w:tblCellMar>
        </w:tblPrEx>
        <w:trPr>
          <w:trHeight w:val="537"/>
        </w:trPr>
        <w:tc>
          <w:tcPr>
            <w:tcW w:w="9538" w:type="dxa"/>
          </w:tcPr>
          <w:p w:rsidR="00C26DFB" w:rsidRDefault="00C26DFB" w:rsidP="00DC50EB">
            <w:pPr>
              <w:pStyle w:val="Cabealho"/>
              <w:tabs>
                <w:tab w:val="clear" w:pos="4419"/>
                <w:tab w:val="clear" w:pos="8838"/>
              </w:tabs>
              <w:jc w:val="both"/>
            </w:pPr>
            <w:bookmarkStart w:id="0" w:name="_GoBack"/>
            <w:bookmarkEnd w:id="0"/>
            <w:r w:rsidRPr="00CE7555">
              <w:t>Este Informativo, elaborado a partir de notas tomadas nas sessões de julgamentos, contém resumos não</w:t>
            </w:r>
            <w:r w:rsidR="00DC50EB" w:rsidRPr="00CE7555">
              <w:t xml:space="preserve"> </w:t>
            </w:r>
            <w:r w:rsidRPr="00CE7555">
              <w:t>oficiais de decisões proferidas pelo Tribunal. A fidelidade dos resumos ao conteúdo efetivo das decisões, embora seja uma das metas perseguidas neste trabalho, somente poderá ser aferida após a sua publicação no Diário</w:t>
            </w:r>
            <w:r w:rsidR="00980944" w:rsidRPr="00CE7555">
              <w:t xml:space="preserve"> Eletrônico </w:t>
            </w:r>
            <w:r w:rsidRPr="00CE7555">
              <w:t>da Justiça</w:t>
            </w:r>
            <w:r w:rsidR="00980944" w:rsidRPr="00CE7555">
              <w:t xml:space="preserve"> do Trabalho</w:t>
            </w:r>
            <w:r w:rsidRPr="00CE7555">
              <w:t>.</w:t>
            </w:r>
          </w:p>
          <w:p w:rsidR="00E531C9" w:rsidRPr="00E531C9" w:rsidRDefault="00E531C9" w:rsidP="00DC50EB">
            <w:pPr>
              <w:pStyle w:val="Cabealho"/>
              <w:tabs>
                <w:tab w:val="clear" w:pos="4419"/>
                <w:tab w:val="clear" w:pos="8838"/>
              </w:tabs>
              <w:jc w:val="both"/>
              <w:rPr>
                <w:sz w:val="10"/>
                <w:szCs w:val="10"/>
              </w:rPr>
            </w:pPr>
          </w:p>
        </w:tc>
      </w:tr>
    </w:tbl>
    <w:p w:rsidR="0005125E" w:rsidRPr="00CE7555" w:rsidRDefault="0005125E" w:rsidP="0005125E">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Pr>
          <w:rFonts w:ascii="Times New Roman" w:hAnsi="Times New Roman" w:cs="Times New Roman"/>
          <w:b/>
          <w:bCs/>
          <w:shadow/>
          <w:color w:val="auto"/>
          <w:sz w:val="25"/>
          <w:szCs w:val="25"/>
          <w:lang w:val="pt-BR"/>
        </w:rPr>
        <w:t>ÓRGÃO ESPECIAL</w:t>
      </w:r>
    </w:p>
    <w:p w:rsidR="0005125E" w:rsidRDefault="0005125E" w:rsidP="00A903E4">
      <w:pPr>
        <w:adjustRightInd w:val="0"/>
        <w:jc w:val="both"/>
        <w:rPr>
          <w:b/>
          <w:i/>
        </w:rPr>
      </w:pPr>
    </w:p>
    <w:p w:rsidR="00F907EB" w:rsidRPr="00F907EB" w:rsidRDefault="00F907EB" w:rsidP="00F907EB">
      <w:pPr>
        <w:pStyle w:val="Corpo"/>
        <w:spacing w:line="240" w:lineRule="auto"/>
        <w:ind w:firstLine="0"/>
        <w:rPr>
          <w:rFonts w:ascii="Times New Roman" w:eastAsia="Calibri" w:hAnsi="Times New Roman" w:cs="Times New Roman"/>
          <w:b/>
          <w:i/>
          <w:color w:val="auto"/>
          <w:lang w:val="pt-BR" w:eastAsia="en-US"/>
        </w:rPr>
      </w:pPr>
      <w:r w:rsidRPr="00F907EB">
        <w:rPr>
          <w:rFonts w:ascii="Times New Roman" w:eastAsia="Calibri" w:hAnsi="Times New Roman" w:cs="Times New Roman"/>
          <w:b/>
          <w:i/>
          <w:color w:val="auto"/>
          <w:lang w:val="pt-BR" w:eastAsia="en-US"/>
        </w:rPr>
        <w:t>Magistrado. Processo administrativo disciplinar. Quórum. Ausência de maioria absoluta. ADI nº 4638. Resolução nº 135/2011 do CNJ. Retorno dos autos ao TRT. Votação específica de cada uma das penas aplicáveis, até que se forme o quórum exigido.</w:t>
      </w:r>
    </w:p>
    <w:p w:rsidR="00F907EB" w:rsidRDefault="00F907EB" w:rsidP="00F907EB">
      <w:pPr>
        <w:jc w:val="both"/>
      </w:pPr>
      <w:r w:rsidRPr="00406DB5">
        <w:rPr>
          <w:rFonts w:eastAsia="Calibri"/>
          <w:sz w:val="24"/>
          <w:szCs w:val="24"/>
        </w:rPr>
        <w:t xml:space="preserve">O STF, ao referendar a medida cautelar na ADI nº 4638, proposta contra a Resolução nº 135/2011 do CNJ, deu interpretação conforme ao parágrafo único do art. 21 da referida resolução, de modo </w:t>
      </w:r>
      <w:r>
        <w:rPr>
          <w:rFonts w:eastAsia="Calibri"/>
          <w:sz w:val="24"/>
          <w:szCs w:val="24"/>
        </w:rPr>
        <w:t>q</w:t>
      </w:r>
      <w:r w:rsidRPr="00406DB5">
        <w:rPr>
          <w:rFonts w:eastAsia="Calibri"/>
          <w:sz w:val="24"/>
          <w:szCs w:val="24"/>
        </w:rPr>
        <w:t>ue, não se formando maioria absoluta para a aplicação de penalidade a magistrado, conforme exigido pelo art. 93, X, da CF, deve haver votação específica de cada uma das penas disciplinares aplicáveis, até que se forme o quórum exigido constitucionalmente. Na espécie, a sessão administrativa do Plenário do TRT da 2ª Região, então composta por noventa desembargadores em exercício, havendo quatro vagas a serem preenchidas, aplicou a magistrado a penalidade de censura, prevista no art. 44 da Loman. Todavia, o cálculo da maioria dos membros em condições de votar excluiu, além das vacâncias, o número de desembargadores impedidos, em desrespeito às garantias e princípios que regem a magistratura, tornando nula a pena, eis que imposta por maioria relativa. Assim, o Órgão Especial, por maioria, deu provimento parcial ao recurso para anular o julgamento do TRT e determinar, em consequência, o retorno dos autos para que se profira nova decisão, votando em separado, cada uma das penas disciplinares aplicáveis ao magistrado. Vencidos os Ministros Walmir Oliveira da Costa, relator, Mauricio Godinho Delgado, Kátia Arruda, Brito Pereira e Emmanoel Pereira, que, diante da materialidade da conduta infracional, substituíam a pena da censura pela sanção de advertência.</w:t>
      </w:r>
      <w:r>
        <w:t xml:space="preserve"> </w:t>
      </w:r>
      <w:hyperlink r:id="rId8" w:history="1">
        <w:r w:rsidRPr="00F907EB">
          <w:rPr>
            <w:rStyle w:val="Hyperlink"/>
            <w:rFonts w:cs="Courier New"/>
            <w:sz w:val="24"/>
            <w:szCs w:val="24"/>
          </w:rPr>
          <w:t>TST-RecAdm-13694-06.2013.5.02.0000</w:t>
        </w:r>
      </w:hyperlink>
      <w:r w:rsidRPr="00F907EB">
        <w:rPr>
          <w:rFonts w:cs="Courier New"/>
          <w:color w:val="000000"/>
          <w:sz w:val="24"/>
          <w:szCs w:val="24"/>
          <w:u w:val="single"/>
        </w:rPr>
        <w:t>, Órgão Especial, rel. Min. Walmir Oliveira da Costa, red. p/ acórdão Min. Maria Cristina Irigoyen Peduzzi, 4.4.2016</w:t>
      </w:r>
      <w:r>
        <w:t xml:space="preserve"> </w:t>
      </w:r>
    </w:p>
    <w:p w:rsidR="00A903E4" w:rsidRPr="00971E5F" w:rsidRDefault="00A903E4" w:rsidP="007403B3">
      <w:pPr>
        <w:jc w:val="both"/>
        <w:rPr>
          <w:u w:val="single"/>
        </w:rPr>
      </w:pPr>
    </w:p>
    <w:p w:rsidR="000E5C57" w:rsidRPr="00CE7555" w:rsidRDefault="000E5C57" w:rsidP="000E5C5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shadow/>
          <w:color w:val="auto"/>
          <w:sz w:val="25"/>
          <w:szCs w:val="25"/>
          <w:lang w:val="pt-BR"/>
        </w:rPr>
      </w:pPr>
      <w:r w:rsidRPr="00CE7555">
        <w:rPr>
          <w:rFonts w:ascii="Times New Roman" w:hAnsi="Times New Roman" w:cs="Times New Roman"/>
          <w:b/>
          <w:bCs/>
          <w:shadow/>
          <w:color w:val="auto"/>
          <w:sz w:val="25"/>
          <w:szCs w:val="25"/>
          <w:lang w:val="pt-BR"/>
        </w:rPr>
        <w:t>SUBSEÇÃO I ESPECIALIZADA EM DISSÍDIOS INDIVIDUAIS</w:t>
      </w:r>
    </w:p>
    <w:p w:rsidR="00A903E4" w:rsidRPr="00A903E4" w:rsidRDefault="00A903E4" w:rsidP="00A903E4">
      <w:pPr>
        <w:pStyle w:val="Corpo"/>
        <w:spacing w:line="240" w:lineRule="auto"/>
        <w:ind w:firstLine="0"/>
        <w:rPr>
          <w:rFonts w:ascii="Times New Roman" w:eastAsia="Calibri" w:hAnsi="Times New Roman" w:cs="Times New Roman"/>
          <w:color w:val="auto"/>
          <w:sz w:val="20"/>
          <w:szCs w:val="20"/>
          <w:lang w:val="pt-BR" w:eastAsia="en-US"/>
        </w:rPr>
      </w:pPr>
    </w:p>
    <w:p w:rsidR="00F907EB" w:rsidRDefault="00F907EB" w:rsidP="00F907EB">
      <w:pPr>
        <w:ind w:right="-74"/>
        <w:jc w:val="both"/>
        <w:rPr>
          <w:rStyle w:val="f51"/>
          <w:b/>
          <w:bCs/>
          <w:i/>
          <w:iCs/>
        </w:rPr>
      </w:pPr>
      <w:r>
        <w:rPr>
          <w:rStyle w:val="f51"/>
          <w:b/>
          <w:bCs/>
          <w:i/>
          <w:iCs/>
        </w:rPr>
        <w:t xml:space="preserve">Trabalhador portuário. Adicional noturno. Integração na base de cálculo das horas extras. Aplicação da Orientação Jurisprudencial nº 97 da SBDI-I. </w:t>
      </w:r>
    </w:p>
    <w:p w:rsidR="00F907EB" w:rsidRDefault="00F907EB" w:rsidP="00F907EB">
      <w:pPr>
        <w:ind w:right="-74"/>
        <w:jc w:val="both"/>
        <w:rPr>
          <w:sz w:val="24"/>
          <w:szCs w:val="24"/>
          <w:u w:val="single"/>
        </w:rPr>
      </w:pPr>
      <w:r>
        <w:rPr>
          <w:rStyle w:val="f51"/>
        </w:rPr>
        <w:t xml:space="preserve">É inegável o maior desgaste a que submetido o trabalhador durante o período noturno, razão pela qual a Constituição Federal consagrou, como direito dos trabalhadores urbanos e rurais, remuneração do trabalho noturno superior à do diurno (art. 7º, IX, da CF). Tal preceito não exclui o trabalhador portuário, razão pela qual o adicional noturno deve integrar a base de cálculo das horas extraordinárias prestadas por ele. Prevalência do disposto na Orientação Jurisprudencial nº 97 da SBDI-I e não incidência do item II da Orientação Jurisprudencial nº 60 da SBDI-I. </w:t>
      </w:r>
      <w:r w:rsidRPr="00BC02FA">
        <w:rPr>
          <w:rStyle w:val="f51"/>
        </w:rPr>
        <w:t>Sob esse fundamento</w:t>
      </w:r>
      <w:r>
        <w:rPr>
          <w:rStyle w:val="f51"/>
        </w:rPr>
        <w:t>,</w:t>
      </w:r>
      <w:r w:rsidRPr="00BC02FA">
        <w:rPr>
          <w:rStyle w:val="f51"/>
        </w:rPr>
        <w:t xml:space="preserve"> a SBDI-I, por unanimidade, conheceu do recurso </w:t>
      </w:r>
      <w:r>
        <w:rPr>
          <w:rStyle w:val="f51"/>
        </w:rPr>
        <w:t>de embargos, por divergência jurisprudencial,</w:t>
      </w:r>
      <w:r w:rsidRPr="00BC02FA">
        <w:rPr>
          <w:rStyle w:val="f51"/>
        </w:rPr>
        <w:t xml:space="preserve"> e, </w:t>
      </w:r>
      <w:r>
        <w:rPr>
          <w:rStyle w:val="f51"/>
        </w:rPr>
        <w:t xml:space="preserve">no mérito, </w:t>
      </w:r>
      <w:r w:rsidRPr="00BC02FA">
        <w:rPr>
          <w:rStyle w:val="f51"/>
        </w:rPr>
        <w:t xml:space="preserve">por maioria, </w:t>
      </w:r>
      <w:r>
        <w:rPr>
          <w:rStyle w:val="f51"/>
        </w:rPr>
        <w:t>negou-lhe</w:t>
      </w:r>
      <w:r w:rsidRPr="00BC02FA">
        <w:rPr>
          <w:rStyle w:val="f51"/>
        </w:rPr>
        <w:t xml:space="preserve"> provimento.</w:t>
      </w:r>
      <w:r w:rsidRPr="00EA737A">
        <w:rPr>
          <w:rStyle w:val="f51"/>
        </w:rPr>
        <w:t xml:space="preserve"> </w:t>
      </w:r>
      <w:r>
        <w:rPr>
          <w:rStyle w:val="f51"/>
        </w:rPr>
        <w:t>Vencidos os Ministro</w:t>
      </w:r>
      <w:r w:rsidRPr="00BC02FA">
        <w:rPr>
          <w:rStyle w:val="f51"/>
        </w:rPr>
        <w:t xml:space="preserve">s </w:t>
      </w:r>
      <w:r>
        <w:rPr>
          <w:rStyle w:val="f51"/>
        </w:rPr>
        <w:t>Renato de Lacerda Paiva, Ives Gandra Martins Filho, Brito Pereira e Aloysio Corrêa da Veiga.</w:t>
      </w:r>
      <w:r w:rsidRPr="00BC02FA">
        <w:rPr>
          <w:rStyle w:val="f51"/>
        </w:rPr>
        <w:t xml:space="preserve"> </w:t>
      </w:r>
      <w:r>
        <w:rPr>
          <w:sz w:val="24"/>
          <w:szCs w:val="24"/>
        </w:rPr>
        <w:t xml:space="preserve"> </w:t>
      </w:r>
      <w:hyperlink r:id="rId9" w:history="1">
        <w:r w:rsidRPr="00F907EB">
          <w:rPr>
            <w:rStyle w:val="Hyperlink"/>
            <w:sz w:val="24"/>
            <w:szCs w:val="24"/>
          </w:rPr>
          <w:t>TST-E-RR-1260-79.2011.5.08.0002</w:t>
        </w:r>
      </w:hyperlink>
      <w:r>
        <w:rPr>
          <w:sz w:val="24"/>
          <w:szCs w:val="24"/>
          <w:u w:val="single"/>
        </w:rPr>
        <w:t>, SBDI-I,</w:t>
      </w:r>
      <w:r w:rsidRPr="00BC02FA">
        <w:rPr>
          <w:sz w:val="24"/>
          <w:szCs w:val="24"/>
          <w:u w:val="single"/>
        </w:rPr>
        <w:t xml:space="preserve"> rel. Min </w:t>
      </w:r>
      <w:r>
        <w:rPr>
          <w:sz w:val="24"/>
          <w:szCs w:val="24"/>
          <w:u w:val="single"/>
        </w:rPr>
        <w:t>Hugo Carlos Scheuermann,</w:t>
      </w:r>
      <w:r w:rsidRPr="00BC02FA">
        <w:rPr>
          <w:sz w:val="24"/>
          <w:szCs w:val="24"/>
          <w:u w:val="single"/>
        </w:rPr>
        <w:t xml:space="preserve"> </w:t>
      </w:r>
      <w:r>
        <w:rPr>
          <w:sz w:val="24"/>
          <w:szCs w:val="24"/>
          <w:u w:val="single"/>
        </w:rPr>
        <w:t>31.3.2016</w:t>
      </w:r>
    </w:p>
    <w:p w:rsidR="00DA54D4" w:rsidRPr="00F907EB" w:rsidRDefault="00DA54D4" w:rsidP="00C54185">
      <w:pPr>
        <w:jc w:val="both"/>
      </w:pPr>
    </w:p>
    <w:p w:rsidR="00F907EB" w:rsidRPr="00F907EB" w:rsidRDefault="00F907EB" w:rsidP="00F907EB">
      <w:pPr>
        <w:pStyle w:val="Corpo"/>
        <w:spacing w:line="240" w:lineRule="auto"/>
        <w:ind w:firstLine="0"/>
        <w:rPr>
          <w:rFonts w:ascii="Times New Roman" w:eastAsia="Calibri" w:hAnsi="Times New Roman" w:cs="Times New Roman"/>
          <w:b/>
          <w:i/>
          <w:color w:val="auto"/>
          <w:lang w:val="pt-BR" w:eastAsia="en-US"/>
        </w:rPr>
      </w:pPr>
      <w:r w:rsidRPr="00F907EB">
        <w:rPr>
          <w:rFonts w:ascii="Times New Roman" w:eastAsia="Calibri" w:hAnsi="Times New Roman" w:cs="Times New Roman"/>
          <w:b/>
          <w:i/>
          <w:color w:val="auto"/>
          <w:lang w:val="pt-BR" w:eastAsia="en-US"/>
        </w:rPr>
        <w:t xml:space="preserve">Incompetência da Justiça do Trabalho. Contrato de estágio. Entes da administração pública. </w:t>
      </w:r>
    </w:p>
    <w:p w:rsidR="00F907EB" w:rsidRPr="00F907EB" w:rsidRDefault="00F907EB" w:rsidP="00F907EB">
      <w:pPr>
        <w:pStyle w:val="Corpo"/>
        <w:spacing w:line="240" w:lineRule="auto"/>
        <w:ind w:firstLine="0"/>
        <w:rPr>
          <w:lang w:val="pt-BR"/>
        </w:rPr>
      </w:pPr>
      <w:r w:rsidRPr="00F907EB">
        <w:rPr>
          <w:rFonts w:ascii="Times New Roman" w:eastAsia="Calibri" w:hAnsi="Times New Roman" w:cs="Times New Roman"/>
          <w:color w:val="auto"/>
          <w:lang w:val="pt-BR" w:eastAsia="en-US"/>
        </w:rPr>
        <w:t xml:space="preserve">As relações de trabalho decorrentes de estágio se inserem na competência da Justiça do Trabalho, exceto quando a contratação envolve entes da administração pública. Incidência, por analogia, do entendimento firmando na ADI nº 3395. Assim, compete à Justiça comum processar e julgar ação </w:t>
      </w:r>
      <w:r w:rsidRPr="00F907EB">
        <w:rPr>
          <w:rFonts w:ascii="Times New Roman" w:eastAsia="Calibri" w:hAnsi="Times New Roman" w:cs="Times New Roman"/>
          <w:color w:val="auto"/>
          <w:lang w:val="pt-BR" w:eastAsia="en-US"/>
        </w:rPr>
        <w:lastRenderedPageBreak/>
        <w:t xml:space="preserve">civil pública que tem como objeto denúncia contra o Centro de Ensino Integrado Empresa e Escola (CIEE), em face do descumprimento do art. 37 da CF, pois não vem observando os princípios da publicidade e da impessoalidade na execução dos contratos para preenchimento de vagas destinadas a estágio em instituições públicas. Com base nessas premissas, a SBDI-I, por unanimidade, conheceu do recurso de embargos interpostos pelo Ministério Público do Trabalho, por divergência jurisprudencial, e, no mérito, por maioria, negou-lhe provimento. Vencidos os Ministros Lelio Bentes Corrêa, José Roberto Freire Pimenta e Hugo Carlos Scheuermann. </w:t>
      </w:r>
      <w:hyperlink r:id="rId10" w:history="1">
        <w:r w:rsidRPr="00F907EB">
          <w:rPr>
            <w:rStyle w:val="Hyperlink"/>
            <w:rFonts w:ascii="Times New Roman" w:hAnsi="Times New Roman" w:cs="Courier New"/>
            <w:lang w:val="pt-BR"/>
          </w:rPr>
          <w:t>TST-E-RR-5500-47.2010.5.13.0022</w:t>
        </w:r>
      </w:hyperlink>
      <w:r w:rsidRPr="00F907EB">
        <w:rPr>
          <w:rFonts w:ascii="Times New Roman" w:hAnsi="Times New Roman"/>
          <w:u w:val="single"/>
          <w:lang w:val="pt-BR"/>
        </w:rPr>
        <w:t>, SBDI-I, rel. Min. Aloysio Corrêa da Veiga, 31.3.2016</w:t>
      </w:r>
    </w:p>
    <w:p w:rsidR="00F907EB" w:rsidRPr="00F907EB" w:rsidRDefault="00F907EB" w:rsidP="00C54185">
      <w:pPr>
        <w:jc w:val="both"/>
      </w:pPr>
    </w:p>
    <w:p w:rsidR="00F907EB" w:rsidRPr="00F72F5A" w:rsidRDefault="00F907EB" w:rsidP="00F907EB">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b/>
          <w:i/>
          <w:color w:val="auto"/>
          <w:lang w:val="pt-BR" w:eastAsia="en-US"/>
        </w:rPr>
        <w:t>Incompetência da Justiça do T</w:t>
      </w:r>
      <w:r w:rsidRPr="005D15AA">
        <w:rPr>
          <w:rFonts w:ascii="Times New Roman" w:eastAsia="Calibri" w:hAnsi="Times New Roman" w:cs="Times New Roman"/>
          <w:b/>
          <w:i/>
          <w:color w:val="auto"/>
          <w:lang w:val="pt-BR" w:eastAsia="en-US"/>
        </w:rPr>
        <w:t>rabalho. Demanda envolvendo a administração pública e servidor. Admissão sem concurso público. Relação jurídico-</w:t>
      </w:r>
      <w:r>
        <w:rPr>
          <w:rFonts w:ascii="Times New Roman" w:eastAsia="Calibri" w:hAnsi="Times New Roman" w:cs="Times New Roman"/>
          <w:b/>
          <w:i/>
          <w:color w:val="auto"/>
          <w:lang w:val="pt-BR" w:eastAsia="en-US"/>
        </w:rPr>
        <w:t>administrativa. Competência da Justiça c</w:t>
      </w:r>
      <w:r w:rsidRPr="005D15AA">
        <w:rPr>
          <w:rFonts w:ascii="Times New Roman" w:eastAsia="Calibri" w:hAnsi="Times New Roman" w:cs="Times New Roman"/>
          <w:b/>
          <w:i/>
          <w:color w:val="auto"/>
          <w:lang w:val="pt-BR" w:eastAsia="en-US"/>
        </w:rPr>
        <w:t>omum.</w:t>
      </w:r>
    </w:p>
    <w:p w:rsidR="00F907EB" w:rsidRPr="009C5D63" w:rsidRDefault="00F907EB" w:rsidP="00F907EB">
      <w:pPr>
        <w:pStyle w:val="Corpo"/>
        <w:spacing w:line="240" w:lineRule="auto"/>
        <w:ind w:firstLine="0"/>
        <w:rPr>
          <w:rFonts w:ascii="Times New Roman" w:eastAsia="Calibri" w:hAnsi="Times New Roman" w:cs="Times New Roman"/>
          <w:color w:val="auto"/>
          <w:lang w:val="pt-BR" w:eastAsia="en-US"/>
        </w:rPr>
      </w:pPr>
      <w:r>
        <w:rPr>
          <w:rFonts w:ascii="Times New Roman" w:eastAsia="Calibri" w:hAnsi="Times New Roman" w:cs="Times New Roman"/>
          <w:color w:val="auto"/>
          <w:lang w:val="pt-BR" w:eastAsia="en-US"/>
        </w:rPr>
        <w:t xml:space="preserve">A </w:t>
      </w:r>
      <w:r w:rsidRPr="00922835">
        <w:rPr>
          <w:rFonts w:ascii="Times New Roman" w:eastAsia="Calibri" w:hAnsi="Times New Roman" w:cs="Times New Roman"/>
          <w:color w:val="auto"/>
          <w:lang w:val="pt-BR" w:eastAsia="en-US"/>
        </w:rPr>
        <w:t>Justiça do Trabalho</w:t>
      </w:r>
      <w:r>
        <w:rPr>
          <w:rFonts w:ascii="Times New Roman" w:eastAsia="Calibri" w:hAnsi="Times New Roman" w:cs="Times New Roman"/>
          <w:color w:val="auto"/>
          <w:lang w:val="pt-BR" w:eastAsia="en-US"/>
        </w:rPr>
        <w:t xml:space="preserve"> é incompetente</w:t>
      </w:r>
      <w:r w:rsidRPr="00922835">
        <w:rPr>
          <w:rFonts w:ascii="Times New Roman" w:eastAsia="Calibri" w:hAnsi="Times New Roman" w:cs="Times New Roman"/>
          <w:color w:val="auto"/>
          <w:lang w:val="pt-BR" w:eastAsia="en-US"/>
        </w:rPr>
        <w:t xml:space="preserve"> para </w:t>
      </w:r>
      <w:r>
        <w:rPr>
          <w:rFonts w:ascii="Times New Roman" w:eastAsia="Calibri" w:hAnsi="Times New Roman" w:cs="Times New Roman"/>
          <w:color w:val="auto"/>
          <w:lang w:val="pt-BR" w:eastAsia="en-US"/>
        </w:rPr>
        <w:t xml:space="preserve">processar e </w:t>
      </w:r>
      <w:r w:rsidRPr="00922835">
        <w:rPr>
          <w:rFonts w:ascii="Times New Roman" w:eastAsia="Calibri" w:hAnsi="Times New Roman" w:cs="Times New Roman"/>
          <w:color w:val="auto"/>
          <w:lang w:val="pt-BR" w:eastAsia="en-US"/>
        </w:rPr>
        <w:t>julgar demanda</w:t>
      </w:r>
      <w:r>
        <w:rPr>
          <w:rFonts w:ascii="Times New Roman" w:eastAsia="Calibri" w:hAnsi="Times New Roman" w:cs="Times New Roman"/>
          <w:color w:val="auto"/>
          <w:lang w:val="pt-BR" w:eastAsia="en-US"/>
        </w:rPr>
        <w:t xml:space="preserve"> na qual resultou caracterizada a admissão de servidor, </w:t>
      </w:r>
      <w:r w:rsidRPr="00630E77">
        <w:rPr>
          <w:rFonts w:ascii="Times New Roman" w:eastAsia="Calibri" w:hAnsi="Times New Roman" w:cs="Times New Roman"/>
          <w:color w:val="auto"/>
          <w:lang w:val="pt-BR" w:eastAsia="en-US"/>
        </w:rPr>
        <w:t xml:space="preserve">após a Constituição </w:t>
      </w:r>
      <w:r>
        <w:rPr>
          <w:rFonts w:ascii="Times New Roman" w:eastAsia="Calibri" w:hAnsi="Times New Roman" w:cs="Times New Roman"/>
          <w:color w:val="auto"/>
          <w:lang w:val="pt-BR" w:eastAsia="en-US"/>
        </w:rPr>
        <w:t>da República</w:t>
      </w:r>
      <w:r w:rsidRPr="00630E77">
        <w:rPr>
          <w:rFonts w:ascii="Times New Roman" w:eastAsia="Calibri" w:hAnsi="Times New Roman" w:cs="Times New Roman"/>
          <w:color w:val="auto"/>
          <w:lang w:val="pt-BR" w:eastAsia="en-US"/>
        </w:rPr>
        <w:t xml:space="preserve"> de 1988</w:t>
      </w:r>
      <w:r>
        <w:rPr>
          <w:rFonts w:ascii="Times New Roman" w:eastAsia="Calibri" w:hAnsi="Times New Roman" w:cs="Times New Roman"/>
          <w:color w:val="auto"/>
          <w:lang w:val="pt-BR" w:eastAsia="en-US"/>
        </w:rPr>
        <w:t>, sem prévia submissão a concurso público</w:t>
      </w:r>
      <w:r w:rsidRPr="00630E77">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Com efeito, consoante decidido pelo</w:t>
      </w:r>
      <w:r w:rsidRPr="00630E77">
        <w:rPr>
          <w:rFonts w:ascii="Times New Roman" w:eastAsia="Calibri" w:hAnsi="Times New Roman" w:cs="Times New Roman"/>
          <w:color w:val="auto"/>
          <w:lang w:val="pt-BR" w:eastAsia="en-US"/>
        </w:rPr>
        <w:t xml:space="preserve"> STF,</w:t>
      </w:r>
      <w:r>
        <w:rPr>
          <w:rFonts w:ascii="Times New Roman" w:eastAsia="Calibri" w:hAnsi="Times New Roman" w:cs="Times New Roman"/>
          <w:color w:val="auto"/>
          <w:lang w:val="pt-BR" w:eastAsia="en-US"/>
        </w:rPr>
        <w:t xml:space="preserve"> no julgamento </w:t>
      </w:r>
      <w:r w:rsidRPr="00BF0327">
        <w:rPr>
          <w:rFonts w:ascii="Times New Roman" w:eastAsia="Calibri" w:hAnsi="Times New Roman" w:cs="Times New Roman"/>
          <w:color w:val="auto"/>
          <w:lang w:val="pt-BR" w:eastAsia="en-US"/>
        </w:rPr>
        <w:t>do AgReg nº 7.217/MG</w:t>
      </w:r>
      <w:r>
        <w:rPr>
          <w:rFonts w:ascii="Times New Roman" w:eastAsia="Calibri" w:hAnsi="Times New Roman" w:cs="Times New Roman"/>
          <w:color w:val="auto"/>
          <w:lang w:val="pt-BR" w:eastAsia="en-US"/>
        </w:rPr>
        <w:t>, cabe</w:t>
      </w:r>
      <w:r w:rsidRPr="00630E77">
        <w:rPr>
          <w:rFonts w:ascii="Times New Roman" w:eastAsia="Calibri" w:hAnsi="Times New Roman" w:cs="Times New Roman"/>
          <w:color w:val="auto"/>
          <w:lang w:val="pt-BR" w:eastAsia="en-US"/>
        </w:rPr>
        <w:t xml:space="preserve"> à Justiça </w:t>
      </w:r>
      <w:r>
        <w:rPr>
          <w:rFonts w:ascii="Times New Roman" w:eastAsia="Calibri" w:hAnsi="Times New Roman" w:cs="Times New Roman"/>
          <w:color w:val="auto"/>
          <w:lang w:val="pt-BR" w:eastAsia="en-US"/>
        </w:rPr>
        <w:t>c</w:t>
      </w:r>
      <w:r w:rsidRPr="00630E77">
        <w:rPr>
          <w:rFonts w:ascii="Times New Roman" w:eastAsia="Calibri" w:hAnsi="Times New Roman" w:cs="Times New Roman"/>
          <w:color w:val="auto"/>
          <w:lang w:val="pt-BR" w:eastAsia="en-US"/>
        </w:rPr>
        <w:t>omum o prévio exame acerca da existência, da validade e da eficácia do vínculo jurídico-administrativo existente entre servidor e Administração Pública, eis que, para o reconhecimento do liame trabalhista, deverá o julgador, anteriormente, averiguar a presença, ou não, de eventual vício a macular a relação administrativa</w:t>
      </w:r>
      <w:r>
        <w:rPr>
          <w:rFonts w:ascii="Times New Roman" w:eastAsia="Calibri" w:hAnsi="Times New Roman" w:cs="Times New Roman"/>
          <w:color w:val="auto"/>
          <w:lang w:val="pt-BR" w:eastAsia="en-US"/>
        </w:rPr>
        <w:t>. Sob esse fundamento,</w:t>
      </w:r>
      <w:r w:rsidRPr="009C5D63">
        <w:rPr>
          <w:rFonts w:ascii="Times New Roman" w:eastAsia="Calibri" w:hAnsi="Times New Roman" w:cs="Times New Roman"/>
          <w:color w:val="auto"/>
          <w:lang w:val="pt-BR" w:eastAsia="en-US"/>
        </w:rPr>
        <w:t xml:space="preserve"> a SBDI-I, </w:t>
      </w:r>
      <w:r>
        <w:rPr>
          <w:rFonts w:ascii="Times New Roman" w:eastAsia="Calibri" w:hAnsi="Times New Roman" w:cs="Times New Roman"/>
          <w:color w:val="auto"/>
          <w:lang w:val="pt-BR" w:eastAsia="en-US"/>
        </w:rPr>
        <w:t>por maioria</w:t>
      </w:r>
      <w:r w:rsidRPr="009C5D63">
        <w:rPr>
          <w:rFonts w:ascii="Times New Roman" w:eastAsia="Calibri" w:hAnsi="Times New Roman" w:cs="Times New Roman"/>
          <w:color w:val="auto"/>
          <w:lang w:val="pt-BR" w:eastAsia="en-US"/>
        </w:rPr>
        <w:t xml:space="preserve">, </w:t>
      </w:r>
      <w:r>
        <w:rPr>
          <w:rFonts w:ascii="Times New Roman" w:eastAsia="Calibri" w:hAnsi="Times New Roman" w:cs="Times New Roman"/>
          <w:color w:val="auto"/>
          <w:lang w:val="pt-BR" w:eastAsia="en-US"/>
        </w:rPr>
        <w:t>conheceu dos embargos interpostos pela reclamante</w:t>
      </w:r>
      <w:r w:rsidRPr="009C5D63">
        <w:rPr>
          <w:rFonts w:ascii="Times New Roman" w:eastAsia="Calibri" w:hAnsi="Times New Roman" w:cs="Times New Roman"/>
          <w:color w:val="auto"/>
          <w:lang w:val="pt-BR" w:eastAsia="en-US"/>
        </w:rPr>
        <w:t>,</w:t>
      </w:r>
      <w:r>
        <w:rPr>
          <w:rFonts w:ascii="Times New Roman" w:eastAsia="Calibri" w:hAnsi="Times New Roman" w:cs="Times New Roman"/>
          <w:color w:val="auto"/>
          <w:lang w:val="pt-BR" w:eastAsia="en-US"/>
        </w:rPr>
        <w:t xml:space="preserve"> por divergência jurisprudencial,</w:t>
      </w:r>
      <w:r w:rsidRPr="009C5D63">
        <w:rPr>
          <w:rFonts w:ascii="Times New Roman" w:eastAsia="Calibri" w:hAnsi="Times New Roman" w:cs="Times New Roman"/>
          <w:color w:val="auto"/>
          <w:lang w:val="pt-BR" w:eastAsia="en-US"/>
        </w:rPr>
        <w:t xml:space="preserve"> e, no mérito,</w:t>
      </w:r>
      <w:r>
        <w:rPr>
          <w:rFonts w:ascii="Times New Roman" w:eastAsia="Calibri" w:hAnsi="Times New Roman" w:cs="Times New Roman"/>
          <w:color w:val="auto"/>
          <w:lang w:val="pt-BR" w:eastAsia="en-US"/>
        </w:rPr>
        <w:t xml:space="preserve"> negou-lhes provimento. Vencidos os Ministros </w:t>
      </w:r>
      <w:r w:rsidRPr="00476C2E">
        <w:rPr>
          <w:rFonts w:ascii="Times New Roman" w:eastAsia="Calibri" w:hAnsi="Times New Roman" w:cs="Times New Roman"/>
          <w:color w:val="auto"/>
          <w:lang w:val="pt-BR" w:eastAsia="en-US"/>
        </w:rPr>
        <w:t>João Oreste Dalazen, Brito Pereira, Márcio Eurico Vitral Amaro, Alexandre de Souza Agra Belmonte e Cláudio Mascarenhas Brandão</w:t>
      </w:r>
      <w:r>
        <w:rPr>
          <w:rFonts w:ascii="Times New Roman" w:eastAsia="Calibri" w:hAnsi="Times New Roman" w:cs="Times New Roman"/>
          <w:color w:val="auto"/>
          <w:lang w:val="pt-BR" w:eastAsia="en-US"/>
        </w:rPr>
        <w:t xml:space="preserve">, que davam provimento aos embargos para, reformulando a decisão recorrida, reconhecer a competência da Justiça do Trabalho para processar e julgar a lide. </w:t>
      </w:r>
      <w:hyperlink r:id="rId11" w:history="1">
        <w:r w:rsidRPr="00F907EB">
          <w:rPr>
            <w:rStyle w:val="Hyperlink"/>
            <w:rFonts w:ascii="Times New Roman" w:hAnsi="Times New Roman" w:cs="Courier New"/>
            <w:lang w:val="pt-BR"/>
          </w:rPr>
          <w:t>TST-E-ED-RR-629-39.2011.5.22.0102</w:t>
        </w:r>
      </w:hyperlink>
      <w:r w:rsidRPr="009C5D63">
        <w:rPr>
          <w:rFonts w:ascii="Times New Roman" w:hAnsi="Times New Roman"/>
          <w:u w:val="single"/>
          <w:lang w:val="pt-BR"/>
        </w:rPr>
        <w:t>, SBDI-I</w:t>
      </w:r>
      <w:r>
        <w:rPr>
          <w:rFonts w:ascii="Times New Roman" w:hAnsi="Times New Roman"/>
          <w:u w:val="single"/>
          <w:lang w:val="pt-BR"/>
        </w:rPr>
        <w:t>, rel. Min. Renato de Lacerda Paiva, 31.3.2016</w:t>
      </w:r>
    </w:p>
    <w:p w:rsidR="00F907EB" w:rsidRDefault="00F907EB" w:rsidP="00C54185">
      <w:pPr>
        <w:jc w:val="both"/>
        <w:rPr>
          <w:sz w:val="25"/>
          <w:szCs w:val="25"/>
        </w:rPr>
      </w:pPr>
    </w:p>
    <w:p w:rsidR="00F907EB" w:rsidRDefault="00F907EB" w:rsidP="00C54185">
      <w:pPr>
        <w:jc w:val="both"/>
        <w:rPr>
          <w:sz w:val="25"/>
          <w:szCs w:val="25"/>
        </w:rPr>
      </w:pPr>
    </w:p>
    <w:p w:rsidR="00F907EB" w:rsidRDefault="00F907EB" w:rsidP="00C54185">
      <w:pPr>
        <w:jc w:val="both"/>
        <w:rPr>
          <w:sz w:val="25"/>
          <w:szCs w:val="25"/>
        </w:rPr>
      </w:pPr>
    </w:p>
    <w:p w:rsidR="00F907EB" w:rsidRDefault="00F907EB" w:rsidP="00C54185">
      <w:pPr>
        <w:jc w:val="both"/>
        <w:rPr>
          <w:sz w:val="25"/>
          <w:szCs w:val="25"/>
        </w:rPr>
      </w:pPr>
    </w:p>
    <w:p w:rsidR="00F907EB" w:rsidRPr="00CE7555" w:rsidRDefault="00F907EB" w:rsidP="00C54185">
      <w:pPr>
        <w:jc w:val="both"/>
        <w:rPr>
          <w:sz w:val="25"/>
          <w:szCs w:val="25"/>
        </w:rPr>
      </w:pP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sidRPr="00CE7555">
        <w:rPr>
          <w:b w:val="0"/>
          <w:bCs w:val="0"/>
          <w:snapToGrid w:val="0"/>
          <w:sz w:val="25"/>
          <w:szCs w:val="25"/>
        </w:rPr>
        <w:t xml:space="preserve">Informativo TST é mantido pela </w:t>
      </w:r>
    </w:p>
    <w:p w:rsidR="00184590" w:rsidRPr="00CE7555"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CE7555">
        <w:rPr>
          <w:b w:val="0"/>
          <w:bCs w:val="0"/>
          <w:snapToGrid w:val="0"/>
          <w:sz w:val="25"/>
          <w:szCs w:val="25"/>
        </w:rPr>
        <w:t>Coordenadoria de Jurisprudência – CJUR</w:t>
      </w:r>
    </w:p>
    <w:p w:rsidR="00184590"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Informações/Sugestões/Críticas: (61)3043</w:t>
      </w:r>
      <w:r w:rsidR="00352B27" w:rsidRPr="00CE7555">
        <w:rPr>
          <w:snapToGrid w:val="0"/>
          <w:sz w:val="25"/>
          <w:szCs w:val="25"/>
        </w:rPr>
        <w:t>-</w:t>
      </w:r>
      <w:r w:rsidRPr="00CE7555">
        <w:rPr>
          <w:snapToGrid w:val="0"/>
          <w:sz w:val="25"/>
          <w:szCs w:val="25"/>
        </w:rPr>
        <w:t>4</w:t>
      </w:r>
      <w:r w:rsidR="00D72C05" w:rsidRPr="00CE7555">
        <w:rPr>
          <w:snapToGrid w:val="0"/>
          <w:sz w:val="25"/>
          <w:szCs w:val="25"/>
        </w:rPr>
        <w:t>417</w:t>
      </w:r>
    </w:p>
    <w:p w:rsidR="007614F1" w:rsidRPr="00CE7555"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CE7555">
        <w:rPr>
          <w:snapToGrid w:val="0"/>
          <w:sz w:val="25"/>
          <w:szCs w:val="25"/>
        </w:rPr>
        <w:t>cjur@tst.jus.br</w:t>
      </w:r>
    </w:p>
    <w:sectPr w:rsidR="007614F1" w:rsidRPr="00CE7555"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F6" w:rsidRDefault="00C94FF6">
      <w:r>
        <w:separator/>
      </w:r>
    </w:p>
  </w:endnote>
  <w:endnote w:type="continuationSeparator" w:id="0">
    <w:p w:rsidR="00C94FF6" w:rsidRDefault="00C9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7777">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B97777">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F6" w:rsidRDefault="00C94FF6">
      <w:r>
        <w:separator/>
      </w:r>
    </w:p>
  </w:footnote>
  <w:footnote w:type="continuationSeparator" w:id="0">
    <w:p w:rsidR="00C94FF6" w:rsidRDefault="00C94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C51600">
      <w:rPr>
        <w:shadow/>
        <w:sz w:val="24"/>
        <w:szCs w:val="24"/>
      </w:rPr>
      <w:t>1</w:t>
    </w:r>
    <w:r w:rsidR="00DC7F71">
      <w:rPr>
        <w:shadow/>
        <w:sz w:val="24"/>
        <w:szCs w:val="24"/>
      </w:rPr>
      <w:t>3</w:t>
    </w:r>
    <w:r w:rsidR="00F907EB">
      <w:rPr>
        <w:shadow/>
        <w:sz w:val="24"/>
        <w:szCs w:val="24"/>
      </w:rPr>
      <w:t>1</w:t>
    </w:r>
  </w:p>
  <w:p w:rsidR="00CE7555" w:rsidRPr="005D1DE4" w:rsidRDefault="00187A37" w:rsidP="00CE7555">
    <w:pPr>
      <w:pStyle w:val="Cabealho"/>
      <w:jc w:val="right"/>
    </w:pPr>
    <w:r w:rsidRPr="003C0554">
      <w:rPr>
        <w:noProof/>
      </w:rPr>
      <w:pict>
        <v:line id="_x0000_s2049" style="position:absolute;left:0;text-align:left;flip:x;z-index:251657216" from=".9pt,10.15pt" to="497.7pt,10.15pt" o:allowincell="f" strokecolor="#969696"/>
      </w:pict>
    </w:r>
    <w:r w:rsidR="00DB0223" w:rsidRPr="003C0554">
      <w:rPr>
        <w:iCs/>
      </w:rPr>
      <w:t xml:space="preserve"> </w:t>
    </w:r>
    <w:r w:rsidR="00494DD1">
      <w:rPr>
        <w:i/>
        <w:iCs/>
      </w:rPr>
      <w:t xml:space="preserve">Período: </w:t>
    </w:r>
    <w:r w:rsidR="00DC7F71">
      <w:rPr>
        <w:i/>
        <w:iCs/>
      </w:rPr>
      <w:t>2</w:t>
    </w:r>
    <w:r w:rsidR="00F907EB">
      <w:rPr>
        <w:i/>
        <w:iCs/>
      </w:rPr>
      <w:t xml:space="preserve">9 de março a 4 de abril </w:t>
    </w:r>
    <w:r w:rsidR="000E5C57">
      <w:rPr>
        <w:i/>
        <w:iCs/>
      </w:rPr>
      <w:t>d</w:t>
    </w:r>
    <w:r w:rsidR="00971E5F">
      <w:rPr>
        <w:i/>
        <w:iCs/>
      </w:rPr>
      <w:t>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C51600">
      <w:rPr>
        <w:b/>
        <w:sz w:val="40"/>
        <w:szCs w:val="40"/>
      </w:rPr>
      <w:t>1</w:t>
    </w:r>
    <w:r w:rsidR="00F907EB">
      <w:rPr>
        <w:b/>
        <w:sz w:val="40"/>
        <w:szCs w:val="40"/>
      </w:rPr>
      <w:t>31</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DC7F71">
      <w:rPr>
        <w:i/>
        <w:iCs/>
      </w:rPr>
      <w:t>2</w:t>
    </w:r>
    <w:r w:rsidR="00F907EB">
      <w:rPr>
        <w:i/>
        <w:iCs/>
      </w:rPr>
      <w:t>9 de março a 4 de abril</w:t>
    </w:r>
    <w:r w:rsidR="000E5C57">
      <w:rPr>
        <w:i/>
        <w:iCs/>
      </w:rPr>
      <w:t xml:space="preserve"> </w:t>
    </w:r>
    <w:r w:rsidR="004A094C">
      <w:rPr>
        <w:i/>
        <w:iCs/>
      </w:rPr>
      <w:t>de 201</w:t>
    </w:r>
    <w:r w:rsidR="000E5C57">
      <w:rPr>
        <w:i/>
        <w:iCs/>
      </w:rPr>
      <w:t>6</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24CE9"/>
    <w:rsid w:val="00032056"/>
    <w:rsid w:val="000322FB"/>
    <w:rsid w:val="000425FC"/>
    <w:rsid w:val="00050E85"/>
    <w:rsid w:val="0005125E"/>
    <w:rsid w:val="00056752"/>
    <w:rsid w:val="0005765E"/>
    <w:rsid w:val="00057B87"/>
    <w:rsid w:val="0006020E"/>
    <w:rsid w:val="000733B4"/>
    <w:rsid w:val="00073880"/>
    <w:rsid w:val="00075BDB"/>
    <w:rsid w:val="00080F10"/>
    <w:rsid w:val="000858FB"/>
    <w:rsid w:val="0009237D"/>
    <w:rsid w:val="00093AE9"/>
    <w:rsid w:val="00093BA8"/>
    <w:rsid w:val="000A04E6"/>
    <w:rsid w:val="000A4C94"/>
    <w:rsid w:val="000B2973"/>
    <w:rsid w:val="000B4D41"/>
    <w:rsid w:val="000B67DF"/>
    <w:rsid w:val="000B7CDE"/>
    <w:rsid w:val="000C3022"/>
    <w:rsid w:val="000C58F4"/>
    <w:rsid w:val="000C5AC6"/>
    <w:rsid w:val="000C672B"/>
    <w:rsid w:val="000E0A91"/>
    <w:rsid w:val="000E1DC1"/>
    <w:rsid w:val="000E5C57"/>
    <w:rsid w:val="000E7CBE"/>
    <w:rsid w:val="0011575C"/>
    <w:rsid w:val="0011692E"/>
    <w:rsid w:val="00137564"/>
    <w:rsid w:val="00137DC1"/>
    <w:rsid w:val="00141630"/>
    <w:rsid w:val="00142C28"/>
    <w:rsid w:val="0015612D"/>
    <w:rsid w:val="00161CDE"/>
    <w:rsid w:val="00163142"/>
    <w:rsid w:val="00176D15"/>
    <w:rsid w:val="00183803"/>
    <w:rsid w:val="00184590"/>
    <w:rsid w:val="00187A37"/>
    <w:rsid w:val="0019151D"/>
    <w:rsid w:val="00193208"/>
    <w:rsid w:val="00197B15"/>
    <w:rsid w:val="001C04D2"/>
    <w:rsid w:val="001C21FB"/>
    <w:rsid w:val="001C271F"/>
    <w:rsid w:val="001C6C93"/>
    <w:rsid w:val="001D4CF9"/>
    <w:rsid w:val="001D5AB0"/>
    <w:rsid w:val="001D757D"/>
    <w:rsid w:val="001E14A9"/>
    <w:rsid w:val="001E14BB"/>
    <w:rsid w:val="001E4B57"/>
    <w:rsid w:val="001E5BD1"/>
    <w:rsid w:val="001E713B"/>
    <w:rsid w:val="001E79B4"/>
    <w:rsid w:val="001F030F"/>
    <w:rsid w:val="001F45E0"/>
    <w:rsid w:val="00204C97"/>
    <w:rsid w:val="00206810"/>
    <w:rsid w:val="002168DE"/>
    <w:rsid w:val="00224AC2"/>
    <w:rsid w:val="0023559D"/>
    <w:rsid w:val="002402B0"/>
    <w:rsid w:val="002449F9"/>
    <w:rsid w:val="00255732"/>
    <w:rsid w:val="00257B4A"/>
    <w:rsid w:val="002635ED"/>
    <w:rsid w:val="002662BA"/>
    <w:rsid w:val="00266D49"/>
    <w:rsid w:val="00271C5C"/>
    <w:rsid w:val="00271E67"/>
    <w:rsid w:val="002730B5"/>
    <w:rsid w:val="002766D5"/>
    <w:rsid w:val="00276EA0"/>
    <w:rsid w:val="00280594"/>
    <w:rsid w:val="00285064"/>
    <w:rsid w:val="002A219D"/>
    <w:rsid w:val="002A521A"/>
    <w:rsid w:val="002A546D"/>
    <w:rsid w:val="002B4738"/>
    <w:rsid w:val="002B6377"/>
    <w:rsid w:val="002C2904"/>
    <w:rsid w:val="002E78CB"/>
    <w:rsid w:val="002F28E5"/>
    <w:rsid w:val="0033397A"/>
    <w:rsid w:val="00340E8D"/>
    <w:rsid w:val="00342846"/>
    <w:rsid w:val="00352B27"/>
    <w:rsid w:val="0035374D"/>
    <w:rsid w:val="00363255"/>
    <w:rsid w:val="0036325E"/>
    <w:rsid w:val="003671FE"/>
    <w:rsid w:val="003708FD"/>
    <w:rsid w:val="003745DE"/>
    <w:rsid w:val="0037667D"/>
    <w:rsid w:val="00380212"/>
    <w:rsid w:val="00383A89"/>
    <w:rsid w:val="00384075"/>
    <w:rsid w:val="003908C5"/>
    <w:rsid w:val="00396053"/>
    <w:rsid w:val="003A1F0A"/>
    <w:rsid w:val="003A4086"/>
    <w:rsid w:val="003A5E5B"/>
    <w:rsid w:val="003B045C"/>
    <w:rsid w:val="003B0538"/>
    <w:rsid w:val="003B0A59"/>
    <w:rsid w:val="003B3EB5"/>
    <w:rsid w:val="003B4E23"/>
    <w:rsid w:val="003B767E"/>
    <w:rsid w:val="003C0554"/>
    <w:rsid w:val="003C1AB7"/>
    <w:rsid w:val="003C6FE7"/>
    <w:rsid w:val="003D032E"/>
    <w:rsid w:val="003D4205"/>
    <w:rsid w:val="003F2078"/>
    <w:rsid w:val="0042772A"/>
    <w:rsid w:val="004323B0"/>
    <w:rsid w:val="00444E88"/>
    <w:rsid w:val="004477EC"/>
    <w:rsid w:val="00450BAD"/>
    <w:rsid w:val="0045657C"/>
    <w:rsid w:val="004655CC"/>
    <w:rsid w:val="00466DB9"/>
    <w:rsid w:val="00470EF8"/>
    <w:rsid w:val="004731B7"/>
    <w:rsid w:val="00486521"/>
    <w:rsid w:val="00486DFC"/>
    <w:rsid w:val="004922D6"/>
    <w:rsid w:val="00494DD1"/>
    <w:rsid w:val="004A094C"/>
    <w:rsid w:val="004A14FC"/>
    <w:rsid w:val="004A5264"/>
    <w:rsid w:val="004A5908"/>
    <w:rsid w:val="004A7C59"/>
    <w:rsid w:val="004B21AD"/>
    <w:rsid w:val="004C011C"/>
    <w:rsid w:val="004C14EA"/>
    <w:rsid w:val="004C2118"/>
    <w:rsid w:val="004C2612"/>
    <w:rsid w:val="004D6000"/>
    <w:rsid w:val="004D6415"/>
    <w:rsid w:val="004D71E8"/>
    <w:rsid w:val="004E393E"/>
    <w:rsid w:val="004E4507"/>
    <w:rsid w:val="004E4619"/>
    <w:rsid w:val="004F0A7D"/>
    <w:rsid w:val="00513789"/>
    <w:rsid w:val="0051538E"/>
    <w:rsid w:val="00517E01"/>
    <w:rsid w:val="00521EEC"/>
    <w:rsid w:val="00543B94"/>
    <w:rsid w:val="005460BD"/>
    <w:rsid w:val="005521C8"/>
    <w:rsid w:val="00553197"/>
    <w:rsid w:val="0055409E"/>
    <w:rsid w:val="00556367"/>
    <w:rsid w:val="00556B35"/>
    <w:rsid w:val="00573E13"/>
    <w:rsid w:val="005811A4"/>
    <w:rsid w:val="00584F82"/>
    <w:rsid w:val="00591DFA"/>
    <w:rsid w:val="005A30AA"/>
    <w:rsid w:val="005A5695"/>
    <w:rsid w:val="005B0A1C"/>
    <w:rsid w:val="005B22CE"/>
    <w:rsid w:val="005B2F00"/>
    <w:rsid w:val="005B3792"/>
    <w:rsid w:val="005B57DE"/>
    <w:rsid w:val="005C1886"/>
    <w:rsid w:val="005C761E"/>
    <w:rsid w:val="005D0E5F"/>
    <w:rsid w:val="005D1DE4"/>
    <w:rsid w:val="005E35BD"/>
    <w:rsid w:val="005E3D4D"/>
    <w:rsid w:val="005E7FD1"/>
    <w:rsid w:val="005F0545"/>
    <w:rsid w:val="005F2858"/>
    <w:rsid w:val="006002E3"/>
    <w:rsid w:val="006145AC"/>
    <w:rsid w:val="00615F98"/>
    <w:rsid w:val="006207F5"/>
    <w:rsid w:val="00621F9C"/>
    <w:rsid w:val="00631166"/>
    <w:rsid w:val="00631F1C"/>
    <w:rsid w:val="006366A4"/>
    <w:rsid w:val="00643B60"/>
    <w:rsid w:val="006456B1"/>
    <w:rsid w:val="006564EC"/>
    <w:rsid w:val="0066084C"/>
    <w:rsid w:val="00661B23"/>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E1A9C"/>
    <w:rsid w:val="006F6C15"/>
    <w:rsid w:val="00700B1B"/>
    <w:rsid w:val="0070727E"/>
    <w:rsid w:val="00710D3A"/>
    <w:rsid w:val="0071315F"/>
    <w:rsid w:val="00721942"/>
    <w:rsid w:val="00722BE7"/>
    <w:rsid w:val="00732DF2"/>
    <w:rsid w:val="007403B3"/>
    <w:rsid w:val="007614F1"/>
    <w:rsid w:val="007618C5"/>
    <w:rsid w:val="00764066"/>
    <w:rsid w:val="00766B7B"/>
    <w:rsid w:val="0077600F"/>
    <w:rsid w:val="00776118"/>
    <w:rsid w:val="00781C77"/>
    <w:rsid w:val="007B0F83"/>
    <w:rsid w:val="007C0A4F"/>
    <w:rsid w:val="007D29A1"/>
    <w:rsid w:val="007D469A"/>
    <w:rsid w:val="007E0EA7"/>
    <w:rsid w:val="007E3F23"/>
    <w:rsid w:val="007F142E"/>
    <w:rsid w:val="007F66BC"/>
    <w:rsid w:val="007F7B5E"/>
    <w:rsid w:val="00801246"/>
    <w:rsid w:val="00802B1A"/>
    <w:rsid w:val="00805CD2"/>
    <w:rsid w:val="0080615C"/>
    <w:rsid w:val="0081027F"/>
    <w:rsid w:val="0081742D"/>
    <w:rsid w:val="00817AB1"/>
    <w:rsid w:val="00821F4D"/>
    <w:rsid w:val="00823906"/>
    <w:rsid w:val="008409D3"/>
    <w:rsid w:val="00845559"/>
    <w:rsid w:val="00854DB8"/>
    <w:rsid w:val="00854EF2"/>
    <w:rsid w:val="008622CF"/>
    <w:rsid w:val="008627C6"/>
    <w:rsid w:val="00863B86"/>
    <w:rsid w:val="00871F69"/>
    <w:rsid w:val="008842D0"/>
    <w:rsid w:val="00884AC4"/>
    <w:rsid w:val="0088579D"/>
    <w:rsid w:val="008A4AFF"/>
    <w:rsid w:val="008A68E7"/>
    <w:rsid w:val="008A7953"/>
    <w:rsid w:val="008B3081"/>
    <w:rsid w:val="008B32D4"/>
    <w:rsid w:val="008C7AD0"/>
    <w:rsid w:val="008D0020"/>
    <w:rsid w:val="008D3C38"/>
    <w:rsid w:val="008D3C4B"/>
    <w:rsid w:val="008D6A05"/>
    <w:rsid w:val="008E2AE5"/>
    <w:rsid w:val="008E3F89"/>
    <w:rsid w:val="008F26CB"/>
    <w:rsid w:val="008F6509"/>
    <w:rsid w:val="008F79D9"/>
    <w:rsid w:val="009027C8"/>
    <w:rsid w:val="00922D1B"/>
    <w:rsid w:val="0093467A"/>
    <w:rsid w:val="009353F1"/>
    <w:rsid w:val="0094155C"/>
    <w:rsid w:val="00951531"/>
    <w:rsid w:val="00960A3B"/>
    <w:rsid w:val="0096375C"/>
    <w:rsid w:val="00967DE0"/>
    <w:rsid w:val="00971E07"/>
    <w:rsid w:val="00971E5F"/>
    <w:rsid w:val="00980944"/>
    <w:rsid w:val="00986D77"/>
    <w:rsid w:val="00993A6E"/>
    <w:rsid w:val="009943EC"/>
    <w:rsid w:val="009A32D5"/>
    <w:rsid w:val="009B6012"/>
    <w:rsid w:val="009C102D"/>
    <w:rsid w:val="009C2A4F"/>
    <w:rsid w:val="009D4C59"/>
    <w:rsid w:val="009D7F91"/>
    <w:rsid w:val="009E20EF"/>
    <w:rsid w:val="009E26EE"/>
    <w:rsid w:val="009F21A2"/>
    <w:rsid w:val="00A00D70"/>
    <w:rsid w:val="00A00DEE"/>
    <w:rsid w:val="00A32FBF"/>
    <w:rsid w:val="00A407EA"/>
    <w:rsid w:val="00A51749"/>
    <w:rsid w:val="00A521B6"/>
    <w:rsid w:val="00A56962"/>
    <w:rsid w:val="00A6412C"/>
    <w:rsid w:val="00A75419"/>
    <w:rsid w:val="00A76661"/>
    <w:rsid w:val="00A76D2A"/>
    <w:rsid w:val="00A82081"/>
    <w:rsid w:val="00A8557E"/>
    <w:rsid w:val="00A903E4"/>
    <w:rsid w:val="00A91181"/>
    <w:rsid w:val="00A935AC"/>
    <w:rsid w:val="00AA3DE0"/>
    <w:rsid w:val="00AB299E"/>
    <w:rsid w:val="00AB507C"/>
    <w:rsid w:val="00AC096E"/>
    <w:rsid w:val="00AD6E76"/>
    <w:rsid w:val="00AE3EAA"/>
    <w:rsid w:val="00AE5EDF"/>
    <w:rsid w:val="00AE758A"/>
    <w:rsid w:val="00B06261"/>
    <w:rsid w:val="00B12273"/>
    <w:rsid w:val="00B14F7F"/>
    <w:rsid w:val="00B16EB9"/>
    <w:rsid w:val="00B22F24"/>
    <w:rsid w:val="00B22F53"/>
    <w:rsid w:val="00B24DBE"/>
    <w:rsid w:val="00B34EB2"/>
    <w:rsid w:val="00B4728A"/>
    <w:rsid w:val="00B517C3"/>
    <w:rsid w:val="00B518B2"/>
    <w:rsid w:val="00B526EA"/>
    <w:rsid w:val="00B536FE"/>
    <w:rsid w:val="00B60670"/>
    <w:rsid w:val="00B73FFA"/>
    <w:rsid w:val="00B74A6E"/>
    <w:rsid w:val="00B82CC4"/>
    <w:rsid w:val="00B838C3"/>
    <w:rsid w:val="00B874F1"/>
    <w:rsid w:val="00B97777"/>
    <w:rsid w:val="00BC1DE7"/>
    <w:rsid w:val="00BC2C67"/>
    <w:rsid w:val="00BC54BC"/>
    <w:rsid w:val="00BC5AEE"/>
    <w:rsid w:val="00BD2A95"/>
    <w:rsid w:val="00BD2CA9"/>
    <w:rsid w:val="00BD6029"/>
    <w:rsid w:val="00BE0541"/>
    <w:rsid w:val="00BE1ADB"/>
    <w:rsid w:val="00BF0693"/>
    <w:rsid w:val="00C070DE"/>
    <w:rsid w:val="00C26DFB"/>
    <w:rsid w:val="00C273FA"/>
    <w:rsid w:val="00C30D06"/>
    <w:rsid w:val="00C42067"/>
    <w:rsid w:val="00C432D0"/>
    <w:rsid w:val="00C4398E"/>
    <w:rsid w:val="00C51600"/>
    <w:rsid w:val="00C54185"/>
    <w:rsid w:val="00C57E92"/>
    <w:rsid w:val="00C60B4A"/>
    <w:rsid w:val="00C65BDB"/>
    <w:rsid w:val="00C66C95"/>
    <w:rsid w:val="00C71A3B"/>
    <w:rsid w:val="00C76CFA"/>
    <w:rsid w:val="00C819C8"/>
    <w:rsid w:val="00C87D5B"/>
    <w:rsid w:val="00C94FF6"/>
    <w:rsid w:val="00C963F8"/>
    <w:rsid w:val="00C96BB1"/>
    <w:rsid w:val="00CA2F80"/>
    <w:rsid w:val="00CA3ECF"/>
    <w:rsid w:val="00CB0C2A"/>
    <w:rsid w:val="00CB3B98"/>
    <w:rsid w:val="00CC4B2B"/>
    <w:rsid w:val="00CC579C"/>
    <w:rsid w:val="00CC5F5F"/>
    <w:rsid w:val="00CC6BEC"/>
    <w:rsid w:val="00CC743B"/>
    <w:rsid w:val="00CD3460"/>
    <w:rsid w:val="00CD44C9"/>
    <w:rsid w:val="00CD4B61"/>
    <w:rsid w:val="00CD5043"/>
    <w:rsid w:val="00CE066A"/>
    <w:rsid w:val="00CE2928"/>
    <w:rsid w:val="00CE314A"/>
    <w:rsid w:val="00CE5865"/>
    <w:rsid w:val="00CE7555"/>
    <w:rsid w:val="00CF3D9D"/>
    <w:rsid w:val="00D00018"/>
    <w:rsid w:val="00D01C50"/>
    <w:rsid w:val="00D11B24"/>
    <w:rsid w:val="00D11C18"/>
    <w:rsid w:val="00D133C8"/>
    <w:rsid w:val="00D14DB8"/>
    <w:rsid w:val="00D17339"/>
    <w:rsid w:val="00D244D5"/>
    <w:rsid w:val="00D2776A"/>
    <w:rsid w:val="00D4021B"/>
    <w:rsid w:val="00D413DB"/>
    <w:rsid w:val="00D420E2"/>
    <w:rsid w:val="00D4459D"/>
    <w:rsid w:val="00D573F9"/>
    <w:rsid w:val="00D6058B"/>
    <w:rsid w:val="00D608E5"/>
    <w:rsid w:val="00D62D9E"/>
    <w:rsid w:val="00D63EC5"/>
    <w:rsid w:val="00D64BC3"/>
    <w:rsid w:val="00D72C05"/>
    <w:rsid w:val="00D73575"/>
    <w:rsid w:val="00D735BF"/>
    <w:rsid w:val="00D77672"/>
    <w:rsid w:val="00D80222"/>
    <w:rsid w:val="00D847CF"/>
    <w:rsid w:val="00D87489"/>
    <w:rsid w:val="00DA0A99"/>
    <w:rsid w:val="00DA0A9D"/>
    <w:rsid w:val="00DA54D4"/>
    <w:rsid w:val="00DA7603"/>
    <w:rsid w:val="00DA7E39"/>
    <w:rsid w:val="00DA7EDE"/>
    <w:rsid w:val="00DB0223"/>
    <w:rsid w:val="00DB047C"/>
    <w:rsid w:val="00DC0AB5"/>
    <w:rsid w:val="00DC3451"/>
    <w:rsid w:val="00DC50EB"/>
    <w:rsid w:val="00DC7F71"/>
    <w:rsid w:val="00DD19F4"/>
    <w:rsid w:val="00DD3FA0"/>
    <w:rsid w:val="00DE5B2D"/>
    <w:rsid w:val="00DE5CE9"/>
    <w:rsid w:val="00DF45BB"/>
    <w:rsid w:val="00E03064"/>
    <w:rsid w:val="00E04BD5"/>
    <w:rsid w:val="00E070D2"/>
    <w:rsid w:val="00E100F5"/>
    <w:rsid w:val="00E1139A"/>
    <w:rsid w:val="00E1539C"/>
    <w:rsid w:val="00E162B6"/>
    <w:rsid w:val="00E16E01"/>
    <w:rsid w:val="00E24A50"/>
    <w:rsid w:val="00E31469"/>
    <w:rsid w:val="00E35639"/>
    <w:rsid w:val="00E432CC"/>
    <w:rsid w:val="00E50711"/>
    <w:rsid w:val="00E52522"/>
    <w:rsid w:val="00E531C9"/>
    <w:rsid w:val="00E60AD3"/>
    <w:rsid w:val="00E60EDA"/>
    <w:rsid w:val="00E62BBC"/>
    <w:rsid w:val="00E9503C"/>
    <w:rsid w:val="00E956D9"/>
    <w:rsid w:val="00EA1958"/>
    <w:rsid w:val="00EA29F5"/>
    <w:rsid w:val="00EA482D"/>
    <w:rsid w:val="00EB5FE6"/>
    <w:rsid w:val="00EB61A5"/>
    <w:rsid w:val="00EB6C1B"/>
    <w:rsid w:val="00EB7A09"/>
    <w:rsid w:val="00EC0EDC"/>
    <w:rsid w:val="00EC5AF4"/>
    <w:rsid w:val="00EC7E0B"/>
    <w:rsid w:val="00ED661C"/>
    <w:rsid w:val="00EE41B5"/>
    <w:rsid w:val="00EE66C9"/>
    <w:rsid w:val="00EF11A9"/>
    <w:rsid w:val="00EF38E1"/>
    <w:rsid w:val="00EF749A"/>
    <w:rsid w:val="00EF771E"/>
    <w:rsid w:val="00F02565"/>
    <w:rsid w:val="00F05542"/>
    <w:rsid w:val="00F06855"/>
    <w:rsid w:val="00F17A2C"/>
    <w:rsid w:val="00F21A70"/>
    <w:rsid w:val="00F26708"/>
    <w:rsid w:val="00F30FF2"/>
    <w:rsid w:val="00F45608"/>
    <w:rsid w:val="00F511EE"/>
    <w:rsid w:val="00F55574"/>
    <w:rsid w:val="00F558E7"/>
    <w:rsid w:val="00F62016"/>
    <w:rsid w:val="00F63F44"/>
    <w:rsid w:val="00F6746D"/>
    <w:rsid w:val="00F811CD"/>
    <w:rsid w:val="00F82D8F"/>
    <w:rsid w:val="00F83F62"/>
    <w:rsid w:val="00F907EB"/>
    <w:rsid w:val="00F9711D"/>
    <w:rsid w:val="00FA011F"/>
    <w:rsid w:val="00FA7544"/>
    <w:rsid w:val="00FA75E0"/>
    <w:rsid w:val="00FA7771"/>
    <w:rsid w:val="00FB0DC9"/>
    <w:rsid w:val="00FB20B1"/>
    <w:rsid w:val="00FB3AB4"/>
    <w:rsid w:val="00FB6188"/>
    <w:rsid w:val="00FC35EC"/>
    <w:rsid w:val="00FC56A4"/>
    <w:rsid w:val="00FD029A"/>
    <w:rsid w:val="00FD3D06"/>
    <w:rsid w:val="00FD5662"/>
    <w:rsid w:val="00FD72B6"/>
    <w:rsid w:val="00FE00AD"/>
    <w:rsid w:val="00FE206E"/>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plicacao4.tst.jus.br/consultaProcessual/consultaTstNumUnica.do?consulta=Consultar&amp;conscsjt=&amp;numeroTst=13694&amp;digitoTst=06&amp;anoTst=2013&amp;orgaoTst=5&amp;tribunalTst=02&amp;varaTst=0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licacao4.tst.jus.br/consultaProcessual/consultaTstNumUnica.do?consulta=Consultar&amp;conscsjt=&amp;numeroTst=629&amp;digitoTst=39&amp;anoTst=2011&amp;orgaoTst=5&amp;tribunalTst=22&amp;varaTst=01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plicacao4.tst.jus.br/consultaProcessual/consultaTstNumUnica.do?consulta=Consultar&amp;conscsjt=&amp;numeroTst=5500&amp;digitoTst=47&amp;anoTst=2010&amp;orgaoTst=5&amp;tribunalTst=13&amp;varaTst=0022" TargetMode="External"/><Relationship Id="rId4" Type="http://schemas.openxmlformats.org/officeDocument/2006/relationships/settings" Target="settings.xml"/><Relationship Id="rId9" Type="http://schemas.openxmlformats.org/officeDocument/2006/relationships/hyperlink" Target="http://aplicacao4.tst.jus.br/consultaProcessual/consultaTstNumUnica.do?consulta=Consultar&amp;conscsjt=&amp;numeroTst=1260&amp;digitoTst=79&amp;anoTst=2011&amp;orgaoTst=5&amp;tribunalTst=08&amp;varaTst=000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BE3B-B84D-4828-95BA-8DA52BB5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1055</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6742</CharactersWithSpaces>
  <SharedDoc>false</SharedDoc>
  <HLinks>
    <vt:vector size="24" baseType="variant">
      <vt:variant>
        <vt:i4>5701632</vt:i4>
      </vt:variant>
      <vt:variant>
        <vt:i4>9</vt:i4>
      </vt:variant>
      <vt:variant>
        <vt:i4>0</vt:i4>
      </vt:variant>
      <vt:variant>
        <vt:i4>5</vt:i4>
      </vt:variant>
      <vt:variant>
        <vt:lpwstr>http://aplicacao4.tst.jus.br/consultaProcessual/consultaTstNumUnica.do?consulta=Consultar&amp;conscsjt=&amp;numeroTst=629&amp;digitoTst=39&amp;anoTst=2011&amp;orgaoTst=5&amp;tribunalTst=22&amp;varaTst=0102</vt:lpwstr>
      </vt:variant>
      <vt:variant>
        <vt:lpwstr/>
      </vt:variant>
      <vt:variant>
        <vt:i4>2097265</vt:i4>
      </vt:variant>
      <vt:variant>
        <vt:i4>6</vt:i4>
      </vt:variant>
      <vt:variant>
        <vt:i4>0</vt:i4>
      </vt:variant>
      <vt:variant>
        <vt:i4>5</vt:i4>
      </vt:variant>
      <vt:variant>
        <vt:lpwstr>http://aplicacao4.tst.jus.br/consultaProcessual/consultaTstNumUnica.do?consulta=Consultar&amp;conscsjt=&amp;numeroTst=5500&amp;digitoTst=47&amp;anoTst=2010&amp;orgaoTst=5&amp;tribunalTst=13&amp;varaTst=0022</vt:lpwstr>
      </vt:variant>
      <vt:variant>
        <vt:lpwstr/>
      </vt:variant>
      <vt:variant>
        <vt:i4>2424949</vt:i4>
      </vt:variant>
      <vt:variant>
        <vt:i4>3</vt:i4>
      </vt:variant>
      <vt:variant>
        <vt:i4>0</vt:i4>
      </vt:variant>
      <vt:variant>
        <vt:i4>5</vt:i4>
      </vt:variant>
      <vt:variant>
        <vt:lpwstr>http://aplicacao4.tst.jus.br/consultaProcessual/consultaTstNumUnica.do?consulta=Consultar&amp;conscsjt=&amp;numeroTst=1260&amp;digitoTst=79&amp;anoTst=2011&amp;orgaoTst=5&amp;tribunalTst=08&amp;varaTst=0002</vt:lpwstr>
      </vt:variant>
      <vt:variant>
        <vt:lpwstr/>
      </vt:variant>
      <vt:variant>
        <vt:i4>6422588</vt:i4>
      </vt:variant>
      <vt:variant>
        <vt:i4>0</vt:i4>
      </vt:variant>
      <vt:variant>
        <vt:i4>0</vt:i4>
      </vt:variant>
      <vt:variant>
        <vt:i4>5</vt:i4>
      </vt:variant>
      <vt:variant>
        <vt:lpwstr>http://aplicacao4.tst.jus.br/consultaProcessual/consultaTstNumUnica.do?consulta=Consultar&amp;conscsjt=&amp;numeroTst=13694&amp;digitoTst=06&amp;anoTst=2013&amp;orgaoTst=5&amp;tribunalTst=02&amp;varaTst=0000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2016-02-17T19:19:00Z</cp:lastPrinted>
  <dcterms:created xsi:type="dcterms:W3CDTF">2017-05-18T23:09:00Z</dcterms:created>
  <dcterms:modified xsi:type="dcterms:W3CDTF">2017-05-18T23:09:00Z</dcterms:modified>
</cp:coreProperties>
</file>