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AC096E" w:rsidRPr="00CE7555" w:rsidRDefault="00B60670" w:rsidP="00AC096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SEÇÃO ESPECIALIZADA EM DISSÍDIO COLETIVO</w:t>
      </w:r>
    </w:p>
    <w:p w:rsidR="00B60670" w:rsidRPr="00B60670" w:rsidRDefault="00B60670" w:rsidP="00B60670">
      <w:pPr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B60670" w:rsidRPr="005C3F1B" w:rsidRDefault="00B60670" w:rsidP="00B60670">
      <w:pPr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5C3F1B">
        <w:rPr>
          <w:b/>
          <w:bCs/>
          <w:i/>
          <w:iCs/>
          <w:color w:val="000000"/>
          <w:sz w:val="24"/>
          <w:szCs w:val="24"/>
        </w:rPr>
        <w:t xml:space="preserve">Ação anulatória. Atestado Médico. Exigência da inserção da Classificação Internacional de Doenças </w:t>
      </w:r>
      <w:r>
        <w:rPr>
          <w:b/>
          <w:bCs/>
          <w:i/>
          <w:iCs/>
          <w:color w:val="000000"/>
          <w:sz w:val="24"/>
          <w:szCs w:val="24"/>
        </w:rPr>
        <w:t>(</w:t>
      </w:r>
      <w:r w:rsidRPr="005C3F1B">
        <w:rPr>
          <w:b/>
          <w:bCs/>
          <w:i/>
          <w:iCs/>
          <w:color w:val="000000"/>
          <w:sz w:val="24"/>
          <w:szCs w:val="24"/>
        </w:rPr>
        <w:t>CID</w:t>
      </w:r>
      <w:r>
        <w:rPr>
          <w:b/>
          <w:bCs/>
          <w:i/>
          <w:iCs/>
          <w:color w:val="000000"/>
          <w:sz w:val="24"/>
          <w:szCs w:val="24"/>
        </w:rPr>
        <w:t>)</w:t>
      </w:r>
      <w:r w:rsidRPr="005C3F1B">
        <w:rPr>
          <w:b/>
          <w:bCs/>
          <w:i/>
          <w:iCs/>
          <w:color w:val="000000"/>
          <w:sz w:val="24"/>
          <w:szCs w:val="24"/>
        </w:rPr>
        <w:t xml:space="preserve">. Validade da cláusula de convenção coletiva de trabalho. </w:t>
      </w:r>
      <w:r w:rsidRPr="005C3F1B">
        <w:rPr>
          <w:b/>
          <w:i/>
          <w:color w:val="000000"/>
          <w:sz w:val="24"/>
          <w:szCs w:val="24"/>
        </w:rPr>
        <w:t xml:space="preserve">Não violação </w:t>
      </w:r>
      <w:r>
        <w:rPr>
          <w:b/>
          <w:i/>
          <w:color w:val="000000"/>
          <w:sz w:val="24"/>
          <w:szCs w:val="24"/>
        </w:rPr>
        <w:t>do</w:t>
      </w:r>
      <w:r w:rsidRPr="005C3F1B">
        <w:rPr>
          <w:b/>
          <w:i/>
          <w:color w:val="000000"/>
          <w:sz w:val="24"/>
          <w:szCs w:val="24"/>
        </w:rPr>
        <w:t xml:space="preserve"> direito fundamental à intimidade e à privacidade</w:t>
      </w:r>
      <w:r w:rsidRPr="005C3F1B">
        <w:rPr>
          <w:b/>
          <w:bCs/>
          <w:i/>
          <w:iCs/>
          <w:color w:val="000000"/>
          <w:sz w:val="24"/>
          <w:szCs w:val="24"/>
        </w:rPr>
        <w:t>.</w:t>
      </w:r>
    </w:p>
    <w:p w:rsidR="00B60670" w:rsidRDefault="00B60670" w:rsidP="00B60670">
      <w:pPr>
        <w:adjustRightInd w:val="0"/>
        <w:jc w:val="both"/>
        <w:rPr>
          <w:color w:val="000000"/>
          <w:sz w:val="24"/>
          <w:szCs w:val="24"/>
          <w:u w:val="single"/>
        </w:rPr>
      </w:pPr>
      <w:r w:rsidRPr="005C3F1B">
        <w:rPr>
          <w:color w:val="000000"/>
          <w:sz w:val="24"/>
          <w:szCs w:val="24"/>
        </w:rPr>
        <w:t xml:space="preserve">Não viola o direito fundamental à intimidade e à privacidade (art. 5º, X, da CF), cláusula constante de convenção coletiva de trabalho que exija a inserção da Classificação Internacional de Doenças (CID) nos atestados médicos apresentados pelos empregados. </w:t>
      </w:r>
      <w:r>
        <w:rPr>
          <w:color w:val="000000"/>
          <w:sz w:val="24"/>
          <w:szCs w:val="24"/>
        </w:rPr>
        <w:t>E</w:t>
      </w:r>
      <w:r w:rsidRPr="005C3F1B">
        <w:rPr>
          <w:color w:val="000000"/>
          <w:sz w:val="24"/>
          <w:szCs w:val="24"/>
        </w:rPr>
        <w:t>ssa exigência, que obriga o trabalhador a divulgar informações acerca de seu estado de saúde para exercer seu direito de justificar a ausência ao trabalho por motivo de doença, traz b</w:t>
      </w:r>
      <w:r w:rsidRPr="005C3F1B">
        <w:rPr>
          <w:sz w:val="24"/>
          <w:szCs w:val="24"/>
        </w:rPr>
        <w:t xml:space="preserve">enefícios para o meio ambiente de trabalho, pois auxilia o empregador a tomar medidas adequadas </w:t>
      </w:r>
      <w:r>
        <w:rPr>
          <w:sz w:val="24"/>
          <w:szCs w:val="24"/>
        </w:rPr>
        <w:t xml:space="preserve">ao combate de enfermidades recorrentes </w:t>
      </w:r>
      <w:r w:rsidRPr="005C3F1B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 </w:t>
      </w:r>
      <w:r w:rsidRPr="005C3F1B">
        <w:rPr>
          <w:sz w:val="24"/>
          <w:szCs w:val="24"/>
        </w:rPr>
        <w:t>proporcionar melhorias nas condições de trabalho</w:t>
      </w:r>
      <w:r w:rsidRPr="005C3F1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Sob</w:t>
      </w:r>
      <w:r w:rsidRPr="005C3F1B">
        <w:rPr>
          <w:color w:val="000000"/>
          <w:sz w:val="24"/>
          <w:szCs w:val="24"/>
        </w:rPr>
        <w:t xml:space="preserve"> esse entendimento, a </w:t>
      </w:r>
      <w:r w:rsidRPr="005C3F1B">
        <w:rPr>
          <w:color w:val="000000"/>
        </w:rPr>
        <w:t>S</w:t>
      </w:r>
      <w:r>
        <w:rPr>
          <w:color w:val="000000"/>
        </w:rPr>
        <w:t>DC</w:t>
      </w:r>
      <w:r w:rsidRPr="005C3F1B">
        <w:rPr>
          <w:color w:val="000000"/>
        </w:rPr>
        <w:t>,</w:t>
      </w:r>
      <w:r>
        <w:rPr>
          <w:color w:val="000000"/>
        </w:rPr>
        <w:t xml:space="preserve"> por unanimidade, conheceu do recurso ordinário e, no mérito, pelo voto prevalente da Presidência, </w:t>
      </w:r>
      <w:r w:rsidRPr="005C3F1B">
        <w:rPr>
          <w:color w:val="000000"/>
          <w:sz w:val="24"/>
          <w:szCs w:val="24"/>
        </w:rPr>
        <w:t xml:space="preserve">deu-lhe provimento </w:t>
      </w:r>
      <w:r w:rsidRPr="005C3F1B">
        <w:rPr>
          <w:sz w:val="24"/>
          <w:szCs w:val="24"/>
        </w:rPr>
        <w:t xml:space="preserve">para julgar improcedente o pedido de </w:t>
      </w:r>
      <w:r>
        <w:rPr>
          <w:sz w:val="24"/>
          <w:szCs w:val="24"/>
        </w:rPr>
        <w:t>anulação da cláusula em questão. V</w:t>
      </w:r>
      <w:r w:rsidRPr="005C3F1B">
        <w:rPr>
          <w:sz w:val="24"/>
          <w:szCs w:val="24"/>
        </w:rPr>
        <w:t>encidos</w:t>
      </w:r>
      <w:r w:rsidRPr="005C3F1B">
        <w:rPr>
          <w:color w:val="000000"/>
          <w:sz w:val="24"/>
          <w:szCs w:val="24"/>
        </w:rPr>
        <w:t xml:space="preserve"> os Ministros Maur</w:t>
      </w:r>
      <w:r>
        <w:rPr>
          <w:color w:val="000000"/>
          <w:sz w:val="24"/>
          <w:szCs w:val="24"/>
        </w:rPr>
        <w:t>i</w:t>
      </w:r>
      <w:r w:rsidRPr="005C3F1B">
        <w:rPr>
          <w:color w:val="000000"/>
          <w:sz w:val="24"/>
          <w:szCs w:val="24"/>
        </w:rPr>
        <w:t xml:space="preserve">cio Godinho Delgado, relator, Kátia </w:t>
      </w:r>
      <w:r>
        <w:rPr>
          <w:color w:val="000000"/>
          <w:sz w:val="24"/>
          <w:szCs w:val="24"/>
        </w:rPr>
        <w:t xml:space="preserve">Magalhães </w:t>
      </w:r>
      <w:r w:rsidRPr="005C3F1B">
        <w:rPr>
          <w:color w:val="000000"/>
          <w:sz w:val="24"/>
          <w:szCs w:val="24"/>
        </w:rPr>
        <w:t>Arruda e Maria de Assis Calsing</w:t>
      </w:r>
      <w:r w:rsidRPr="005C3F1B">
        <w:rPr>
          <w:color w:val="000000"/>
          <w:sz w:val="24"/>
          <w:szCs w:val="24"/>
          <w:u w:val="single"/>
        </w:rPr>
        <w:t>.</w:t>
      </w:r>
      <w:r w:rsidRPr="005C3F1B">
        <w:rPr>
          <w:color w:val="000000"/>
          <w:sz w:val="24"/>
          <w:szCs w:val="24"/>
        </w:rPr>
        <w:t xml:space="preserve"> </w:t>
      </w:r>
      <w:hyperlink r:id="rId8" w:history="1">
        <w:r w:rsidRPr="00B60670">
          <w:rPr>
            <w:rStyle w:val="Hyperlink"/>
            <w:sz w:val="24"/>
            <w:szCs w:val="24"/>
          </w:rPr>
          <w:t>TST-RO-480-32.2014.5.12.0000</w:t>
        </w:r>
      </w:hyperlink>
      <w:r w:rsidRPr="005C3F1B">
        <w:rPr>
          <w:color w:val="000000"/>
          <w:sz w:val="24"/>
          <w:szCs w:val="24"/>
          <w:u w:val="single"/>
        </w:rPr>
        <w:t>, SDC, rel. Min.</w:t>
      </w:r>
      <w:r>
        <w:rPr>
          <w:color w:val="000000"/>
          <w:sz w:val="24"/>
          <w:szCs w:val="24"/>
          <w:u w:val="single"/>
        </w:rPr>
        <w:t xml:space="preserve"> </w:t>
      </w:r>
      <w:r w:rsidRPr="005C3F1B">
        <w:rPr>
          <w:color w:val="000000"/>
          <w:sz w:val="24"/>
          <w:szCs w:val="24"/>
          <w:u w:val="single"/>
        </w:rPr>
        <w:t>Maur</w:t>
      </w:r>
      <w:r>
        <w:rPr>
          <w:color w:val="000000"/>
          <w:sz w:val="24"/>
          <w:szCs w:val="24"/>
          <w:u w:val="single"/>
        </w:rPr>
        <w:t>i</w:t>
      </w:r>
      <w:r w:rsidRPr="005C3F1B">
        <w:rPr>
          <w:color w:val="000000"/>
          <w:sz w:val="24"/>
          <w:szCs w:val="24"/>
          <w:u w:val="single"/>
        </w:rPr>
        <w:t>cio Godinho Delgado</w:t>
      </w:r>
      <w:r>
        <w:rPr>
          <w:color w:val="000000"/>
          <w:sz w:val="24"/>
          <w:szCs w:val="24"/>
          <w:u w:val="single"/>
        </w:rPr>
        <w:t>,</w:t>
      </w:r>
      <w:r w:rsidRPr="005C3F1B">
        <w:rPr>
          <w:color w:val="000000"/>
          <w:sz w:val="24"/>
          <w:szCs w:val="24"/>
          <w:u w:val="single"/>
        </w:rPr>
        <w:t xml:space="preserve"> red. p/ o acórdão Min. Ives Gandra Martins Filho, 14.12.2015</w:t>
      </w:r>
      <w:r w:rsidRPr="00C462CB">
        <w:rPr>
          <w:color w:val="000000"/>
          <w:sz w:val="24"/>
          <w:szCs w:val="24"/>
        </w:rPr>
        <w:t xml:space="preserve"> </w:t>
      </w:r>
      <w:r w:rsidRPr="00A74DA2">
        <w:rPr>
          <w:color w:val="000000"/>
          <w:szCs w:val="24"/>
        </w:rPr>
        <w:t>(*Cf. Informativo TST nº 114 para decisão em sentido contrário)</w:t>
      </w:r>
    </w:p>
    <w:p w:rsidR="00AC096E" w:rsidRPr="00B60670" w:rsidRDefault="00AC096E" w:rsidP="00AC096E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7403B3" w:rsidRPr="00CE7555" w:rsidRDefault="007403B3" w:rsidP="007403B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B60670" w:rsidRPr="00B60670" w:rsidRDefault="00B60670" w:rsidP="007403B3">
      <w:pPr>
        <w:jc w:val="both"/>
        <w:rPr>
          <w:sz w:val="24"/>
          <w:szCs w:val="24"/>
          <w:u w:val="single"/>
        </w:rPr>
      </w:pPr>
    </w:p>
    <w:p w:rsidR="00B60670" w:rsidRDefault="00B60670" w:rsidP="00B60670">
      <w:pPr>
        <w:jc w:val="both"/>
        <w:rPr>
          <w:b/>
          <w:i/>
          <w:sz w:val="24"/>
          <w:szCs w:val="24"/>
        </w:rPr>
      </w:pPr>
      <w:r w:rsidRPr="00A07ED7">
        <w:rPr>
          <w:b/>
          <w:i/>
          <w:sz w:val="24"/>
          <w:szCs w:val="24"/>
        </w:rPr>
        <w:t>Danos morais e materia</w:t>
      </w:r>
      <w:r>
        <w:rPr>
          <w:b/>
          <w:i/>
          <w:sz w:val="24"/>
          <w:szCs w:val="24"/>
        </w:rPr>
        <w:t>is. Concausa entre as atividades exercidas e a doença desenvolvida</w:t>
      </w:r>
      <w:r w:rsidRPr="00A07ED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Responsabilidade da empregadora. </w:t>
      </w:r>
      <w:r w:rsidRPr="00A07ED7">
        <w:rPr>
          <w:b/>
          <w:i/>
          <w:sz w:val="24"/>
          <w:szCs w:val="24"/>
        </w:rPr>
        <w:t>Indenização</w:t>
      </w:r>
      <w:r>
        <w:rPr>
          <w:b/>
          <w:i/>
          <w:sz w:val="24"/>
          <w:szCs w:val="24"/>
        </w:rPr>
        <w:t xml:space="preserve"> devida</w:t>
      </w:r>
      <w:r w:rsidRPr="00A07ED7">
        <w:rPr>
          <w:b/>
          <w:i/>
          <w:sz w:val="24"/>
          <w:szCs w:val="24"/>
        </w:rPr>
        <w:t>.</w:t>
      </w:r>
    </w:p>
    <w:p w:rsidR="00B60670" w:rsidRPr="0038263B" w:rsidRDefault="00B60670" w:rsidP="00B60670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Nos termos do art. 21, I, da Lei nº 8.213/91, para 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>a caracterização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 acidente do trabalho (ou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 doença profissional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 ele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 equiparada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)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se faz necessário que a conduta da empresa seja causa exclusiva do evento, bastando que para ela concorra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Assim, na hipótese em que o TRT 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reconheceu expressamente que as atividades desenvolvidas pela reclamante atuaram como concausa para o desencadeamento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A07ED7">
        <w:rPr>
          <w:rFonts w:ascii="Times New Roman" w:eastAsia="Calibri" w:hAnsi="Times New Roman" w:cs="Times New Roman"/>
          <w:color w:val="auto"/>
          <w:lang w:val="pt-BR" w:eastAsia="en-US"/>
        </w:rPr>
        <w:t>squizofrenia paranoide e depressão grave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>resulta inafastável o reconhecimento da responsabilidade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da empregadora pela indenização por danos morais e materiais (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>art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 xml:space="preserve"> 927 do C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C)</w:t>
      </w:r>
      <w:r w:rsidRPr="002721AD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Sob esses fundamentos, a SBDI-I, por unanimidade, conheceu dos embargos por divergência jurisprudencial e, no mérito, por maioria, deu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>-lhe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provimento parcial para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: I)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 xml:space="preserve"> restabelecer a sentença no tocante à condenação da reclamada ao ressarcimento das despesas com medicamentos e tratamento da doença, ao fornecimento de plano de saúde e à determinação de constituição de capital visando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garantir o pagamento de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 xml:space="preserve"> pensão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>vitalícia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; II) </w:t>
      </w:r>
      <w:r w:rsidRPr="0038263B">
        <w:rPr>
          <w:rFonts w:ascii="Times New Roman" w:eastAsia="Calibri" w:hAnsi="Times New Roman" w:cs="Times New Roman"/>
          <w:color w:val="auto"/>
          <w:lang w:val="pt-BR" w:eastAsia="en-US"/>
        </w:rPr>
        <w:t xml:space="preserve">condenar a reclamada ao pagamento de compensação por danos morais no valor de R$ 60.000,00 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>e ao pagamento de pensão mensal e vitalícia, correspondente a 40% da última remuneração percebida pela autora, a partir do seu afastamento em 6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>11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>2003, mantendo-se o valor atualizado, de acordo com os reajustes salariais concedidos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992115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V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>encidos, totalmente, os Ministros Aloysio Corrêa da Veiga, João Oreste Dalazen, Brito Pereira, Guilherme Augusto Caputo Bastos e Márcio Eurico Vitral 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maro, e, parcialmente, os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 xml:space="preserve"> Ministros Lelio Bentes Corrêa, relator, José Roberto Freire Pimenta e Alexandre de Souza Agra Belmonte, que fixavam o percentu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al de 80% quanto ao pagamento da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t xml:space="preserve"> pensão </w:t>
      </w:r>
      <w:r w:rsidRPr="0044512F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mensal.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B60670">
          <w:rPr>
            <w:rStyle w:val="Hyperlink"/>
            <w:rFonts w:ascii="Times New Roman" w:eastAsia="Calibri" w:hAnsi="Times New Roman"/>
            <w:lang w:val="pt-BR" w:eastAsia="en-US"/>
          </w:rPr>
          <w:t>TST-E-RR-189600-04.2007.5.20.0005</w:t>
        </w:r>
      </w:hyperlink>
      <w:r w:rsidRPr="00992115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</w:t>
      </w:r>
      <w:r w:rsidRPr="0038263B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 </w:t>
      </w:r>
      <w:r w:rsidRPr="0038263B">
        <w:rPr>
          <w:rFonts w:ascii="Times New Roman" w:hAnsi="Times New Roman"/>
          <w:u w:val="single"/>
          <w:lang w:val="pt-BR"/>
        </w:rPr>
        <w:t xml:space="preserve">SBDI-I, rel. </w:t>
      </w:r>
      <w:r>
        <w:rPr>
          <w:rFonts w:ascii="Times New Roman" w:hAnsi="Times New Roman"/>
          <w:u w:val="single"/>
          <w:lang w:val="pt-BR"/>
        </w:rPr>
        <w:t xml:space="preserve">Min. </w:t>
      </w:r>
      <w:r w:rsidRPr="0038263B">
        <w:rPr>
          <w:rFonts w:ascii="Times New Roman" w:hAnsi="Times New Roman"/>
          <w:u w:val="single"/>
          <w:lang w:val="pt-BR"/>
        </w:rPr>
        <w:t>Lelio Bentes Corrêa,</w:t>
      </w:r>
      <w:r>
        <w:rPr>
          <w:rFonts w:ascii="Times New Roman" w:hAnsi="Times New Roman"/>
          <w:u w:val="single"/>
          <w:lang w:val="pt-BR"/>
        </w:rPr>
        <w:t xml:space="preserve"> red. p/ acórdão Min. Renato de Lacerda Paiva,</w:t>
      </w:r>
      <w:r w:rsidRPr="0038263B">
        <w:rPr>
          <w:rFonts w:ascii="Times New Roman" w:hAnsi="Times New Roman"/>
          <w:u w:val="single"/>
          <w:lang w:val="pt-BR"/>
        </w:rPr>
        <w:t xml:space="preserve"> 10.12.2015</w:t>
      </w:r>
    </w:p>
    <w:p w:rsidR="00B60670" w:rsidRPr="00B60670" w:rsidRDefault="00B60670" w:rsidP="007403B3">
      <w:pPr>
        <w:jc w:val="both"/>
        <w:rPr>
          <w:sz w:val="24"/>
          <w:szCs w:val="24"/>
          <w:u w:val="single"/>
        </w:rPr>
      </w:pPr>
    </w:p>
    <w:p w:rsidR="00B60670" w:rsidRPr="008137A9" w:rsidRDefault="00B60670" w:rsidP="00B6067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Intervalo intrajornada. Supressão parcial. Pedido que se refere ao “pagamento das horas laboradas nos períodos para descanso e alimentação intrajornada”. Pagamento de todo o período correspondente ao intervalo. Súmula nº 437, I, do TST. Julgamento </w:t>
      </w:r>
      <w:r>
        <w:rPr>
          <w:i/>
          <w:sz w:val="24"/>
          <w:szCs w:val="24"/>
        </w:rPr>
        <w:t>ultra petita</w:t>
      </w:r>
      <w:r>
        <w:rPr>
          <w:sz w:val="24"/>
          <w:szCs w:val="24"/>
        </w:rPr>
        <w:t xml:space="preserve">. </w:t>
      </w:r>
      <w:r w:rsidRPr="008137A9">
        <w:rPr>
          <w:b/>
          <w:i/>
          <w:sz w:val="24"/>
          <w:szCs w:val="24"/>
        </w:rPr>
        <w:t>Não configuração.</w:t>
      </w:r>
      <w:r>
        <w:rPr>
          <w:b/>
          <w:i/>
          <w:sz w:val="24"/>
          <w:szCs w:val="24"/>
        </w:rPr>
        <w:t xml:space="preserve"> Invocação do art. 71, § 4º, da CLT.</w:t>
      </w:r>
    </w:p>
    <w:p w:rsidR="00B60670" w:rsidRPr="00895CC6" w:rsidRDefault="00B60670" w:rsidP="00B60670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9474E8">
        <w:rPr>
          <w:rFonts w:ascii="Times New Roman" w:hAnsi="Times New Roman"/>
          <w:lang w:val="pt-BR"/>
        </w:rPr>
        <w:t xml:space="preserve">Na hipótese em que a reclamante alega que gozou apenas </w:t>
      </w:r>
      <w:r>
        <w:rPr>
          <w:rFonts w:ascii="Times New Roman" w:hAnsi="Times New Roman"/>
          <w:lang w:val="pt-BR"/>
        </w:rPr>
        <w:t>trinta</w:t>
      </w:r>
      <w:r w:rsidRPr="009474E8">
        <w:rPr>
          <w:rFonts w:ascii="Times New Roman" w:hAnsi="Times New Roman"/>
          <w:lang w:val="pt-BR"/>
        </w:rPr>
        <w:t xml:space="preserve"> min</w:t>
      </w:r>
      <w:r>
        <w:rPr>
          <w:rFonts w:ascii="Times New Roman" w:hAnsi="Times New Roman"/>
          <w:lang w:val="pt-BR"/>
        </w:rPr>
        <w:t>utos</w:t>
      </w:r>
      <w:r w:rsidRPr="009474E8">
        <w:rPr>
          <w:rFonts w:ascii="Times New Roman" w:hAnsi="Times New Roman"/>
          <w:lang w:val="pt-BR"/>
        </w:rPr>
        <w:t xml:space="preserve"> de intervalo intrajornada e postula</w:t>
      </w:r>
      <w:r>
        <w:rPr>
          <w:rFonts w:ascii="Times New Roman" w:hAnsi="Times New Roman"/>
          <w:lang w:val="pt-BR"/>
        </w:rPr>
        <w:t xml:space="preserve"> na inicial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“pagamento das horas laboradas nos períodos para descanso e alimentação intrajornada (art. 71, § 4º, da CLT) com adicional de 50% e reflexos”, não configura julgamento </w:t>
      </w:r>
      <w:r>
        <w:rPr>
          <w:rFonts w:ascii="Times New Roman" w:hAnsi="Times New Roman"/>
          <w:i/>
          <w:lang w:val="pt-BR"/>
        </w:rPr>
        <w:t>ultra petita</w:t>
      </w:r>
      <w:r>
        <w:rPr>
          <w:rFonts w:ascii="Times New Roman" w:hAnsi="Times New Roman"/>
          <w:lang w:val="pt-BR"/>
        </w:rPr>
        <w:t xml:space="preserve"> o deferimento do pagamento de todo o período correspondente ao intervalo, e não apenas daquele suprimido (Súmula nº 437, I, do TST). No caso, prevaleceu o entendimento de que, embora o pedido mencione o pagamento das horas laboradas, o artigo da CLT invocado refere-se à remuneração devida no caso de descumprimento do intervalo intrajornada. Assim, a SBDI-I, por unanimidade, conheceu dos embargos, por divergência jurisprudencial, e, no mérito, por maioria, negou-lhes provimento. Vencidos os Ministros Márcio Eurico Vitral Amaro, relator, João Oreste Dalazen, Brito Pereira, Aloysio Corrêa da Veiga e Guilherme Augusto Caputo Bastos. </w:t>
      </w:r>
      <w:hyperlink r:id="rId10" w:history="1">
        <w:r w:rsidRPr="00B60670">
          <w:rPr>
            <w:rStyle w:val="Hyperlink"/>
            <w:rFonts w:ascii="Times New Roman" w:hAnsi="Times New Roman" w:cs="Courier New"/>
            <w:lang w:val="pt-BR"/>
          </w:rPr>
          <w:t>TST-E-ED-RR-182400-68.2009.5.12.0046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>Márcio Eurico Vitral Amaro</w:t>
      </w:r>
      <w:r w:rsidRPr="00895CC6"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red. p/ acórdão Min. Hugo Carlos Scheuermann,</w:t>
      </w:r>
      <w:r w:rsidRPr="00895CC6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10.12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</w:t>
      </w:r>
    </w:p>
    <w:p w:rsidR="00B60670" w:rsidRPr="00B60670" w:rsidRDefault="00B60670" w:rsidP="007403B3">
      <w:pPr>
        <w:jc w:val="both"/>
        <w:rPr>
          <w:sz w:val="24"/>
          <w:szCs w:val="24"/>
          <w:u w:val="single"/>
        </w:rPr>
      </w:pPr>
    </w:p>
    <w:p w:rsidR="00B60670" w:rsidRPr="00895CC6" w:rsidRDefault="00B60670" w:rsidP="00B60670">
      <w:pPr>
        <w:jc w:val="both"/>
        <w:rPr>
          <w:b/>
          <w:i/>
          <w:sz w:val="24"/>
          <w:szCs w:val="24"/>
        </w:rPr>
      </w:pPr>
      <w:r w:rsidRPr="00B735AC">
        <w:rPr>
          <w:b/>
          <w:i/>
          <w:sz w:val="24"/>
          <w:szCs w:val="24"/>
        </w:rPr>
        <w:t xml:space="preserve">Profissional de futebol. </w:t>
      </w:r>
      <w:r w:rsidRPr="00F014F1">
        <w:rPr>
          <w:b/>
          <w:i/>
          <w:sz w:val="24"/>
          <w:szCs w:val="24"/>
        </w:rPr>
        <w:t xml:space="preserve">Contrato de trabalho com duração integral na vigência da </w:t>
      </w:r>
      <w:r>
        <w:rPr>
          <w:b/>
          <w:i/>
          <w:sz w:val="24"/>
          <w:szCs w:val="24"/>
        </w:rPr>
        <w:t>L</w:t>
      </w:r>
      <w:r w:rsidRPr="00F014F1">
        <w:rPr>
          <w:b/>
          <w:i/>
          <w:sz w:val="24"/>
          <w:szCs w:val="24"/>
        </w:rPr>
        <w:t>ei nº 9.615/98 (</w:t>
      </w:r>
      <w:r>
        <w:rPr>
          <w:b/>
          <w:i/>
          <w:sz w:val="24"/>
          <w:szCs w:val="24"/>
        </w:rPr>
        <w:t>L</w:t>
      </w:r>
      <w:r w:rsidRPr="00F014F1">
        <w:rPr>
          <w:b/>
          <w:i/>
          <w:sz w:val="24"/>
          <w:szCs w:val="24"/>
        </w:rPr>
        <w:t xml:space="preserve">ei </w:t>
      </w:r>
      <w:r>
        <w:rPr>
          <w:b/>
          <w:i/>
          <w:sz w:val="24"/>
          <w:szCs w:val="24"/>
        </w:rPr>
        <w:t>P</w:t>
      </w:r>
      <w:r w:rsidRPr="00F014F1">
        <w:rPr>
          <w:b/>
          <w:i/>
          <w:sz w:val="24"/>
          <w:szCs w:val="24"/>
        </w:rPr>
        <w:t>elé)</w:t>
      </w:r>
      <w:r>
        <w:rPr>
          <w:b/>
          <w:i/>
          <w:sz w:val="24"/>
          <w:szCs w:val="24"/>
        </w:rPr>
        <w:t>,</w:t>
      </w:r>
      <w:r w:rsidRPr="00F014F1">
        <w:rPr>
          <w:b/>
          <w:i/>
          <w:sz w:val="24"/>
          <w:szCs w:val="24"/>
        </w:rPr>
        <w:t xml:space="preserve"> antes das alterações promovidas pela </w:t>
      </w:r>
      <w:r>
        <w:rPr>
          <w:b/>
          <w:i/>
          <w:sz w:val="24"/>
          <w:szCs w:val="24"/>
        </w:rPr>
        <w:t>L</w:t>
      </w:r>
      <w:r w:rsidRPr="00F014F1">
        <w:rPr>
          <w:b/>
          <w:i/>
          <w:sz w:val="24"/>
          <w:szCs w:val="24"/>
        </w:rPr>
        <w:t xml:space="preserve">ei nº 12.395/2011. </w:t>
      </w:r>
      <w:r w:rsidRPr="00B735AC">
        <w:rPr>
          <w:b/>
          <w:i/>
          <w:sz w:val="24"/>
          <w:szCs w:val="24"/>
        </w:rPr>
        <w:t>Direito de arena. Redução do percentual mínimo legal. Impossibilidade.</w:t>
      </w:r>
      <w:r w:rsidRPr="00895CC6">
        <w:rPr>
          <w:b/>
          <w:i/>
          <w:sz w:val="24"/>
          <w:szCs w:val="24"/>
        </w:rPr>
        <w:t xml:space="preserve"> </w:t>
      </w:r>
    </w:p>
    <w:p w:rsidR="00B60670" w:rsidRDefault="00B60670" w:rsidP="00B60670">
      <w:pPr>
        <w:pStyle w:val="Ementa"/>
        <w:ind w:left="0"/>
        <w:outlineLvl w:val="0"/>
        <w:rPr>
          <w:rFonts w:ascii="Times New Roman" w:hAnsi="Times New Roman"/>
          <w:color w:val="auto"/>
          <w:u w:val="single"/>
          <w:lang w:val="pt-BR"/>
        </w:rPr>
      </w:pPr>
      <w:r>
        <w:rPr>
          <w:rFonts w:ascii="Times New Roman" w:eastAsia="Calibri" w:hAnsi="Times New Roman"/>
          <w:color w:val="auto"/>
          <w:lang w:val="pt-BR" w:eastAsia="en-US"/>
        </w:rPr>
        <w:t>Q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uer se trate de acordo judicial cível, quer se trate de negociação coletiva, o percentual a título de direito de arena não comporta redução 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na hipótese em que o contrato de trabalho perdurou na vigência da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>Lei nº 9.615/98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 (Lei Pelé), ou seja, antes das alterações introduzidas pela Lei nº 12.395/2011. O art.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>5º, XXVIII, “a”,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 da CF, destinado à proteção dos direitos fundamentais, engloba o direito de arena, de modo que a expressão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>“salvo convenção em contrário”</w:t>
      </w:r>
      <w:r>
        <w:rPr>
          <w:rFonts w:ascii="Times New Roman" w:eastAsia="Calibri" w:hAnsi="Times New Roman"/>
          <w:color w:val="auto"/>
          <w:lang w:val="pt-BR" w:eastAsia="en-US"/>
        </w:rPr>
        <w:t>, contida no art. 42, § 1º, da</w:t>
      </w:r>
      <w:r w:rsidRPr="00D55211">
        <w:rPr>
          <w:rFonts w:ascii="Times New Roman" w:eastAsia="Calibri" w:hAnsi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Lei Pelé, em sua redação original, não configura permissão para a redução do percentual mínimo estipulado.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No caso, 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registrou o TRT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a </w:t>
      </w:r>
      <w:r>
        <w:rPr>
          <w:rFonts w:ascii="Times New Roman" w:eastAsia="Calibri" w:hAnsi="Times New Roman"/>
          <w:color w:val="auto"/>
          <w:lang w:val="pt-BR" w:eastAsia="en-US"/>
        </w:rPr>
        <w:t>existência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 de acordo judicial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, perante o juízo cível, autorizando a redução de 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20% para 5% do montante devido aos </w:t>
      </w:r>
      <w:r>
        <w:rPr>
          <w:rFonts w:ascii="Times New Roman" w:eastAsia="Calibri" w:hAnsi="Times New Roman"/>
          <w:color w:val="auto"/>
          <w:lang w:val="pt-BR" w:eastAsia="en-US"/>
        </w:rPr>
        <w:t>profissionais de futebol</w:t>
      </w:r>
      <w:r w:rsidRPr="0040221F">
        <w:rPr>
          <w:rFonts w:ascii="Times New Roman" w:eastAsia="Calibri" w:hAnsi="Times New Roman"/>
          <w:color w:val="auto"/>
          <w:lang w:val="pt-BR" w:eastAsia="en-US"/>
        </w:rPr>
        <w:t xml:space="preserve"> participantes dos eventos desportivos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. Sob esses fundamentos, a </w:t>
      </w:r>
      <w:r w:rsidRPr="00221CB0">
        <w:rPr>
          <w:rFonts w:ascii="Times New Roman" w:hAnsi="Times New Roman"/>
          <w:color w:val="auto"/>
          <w:lang w:val="pt-BR"/>
        </w:rPr>
        <w:t>SBDI-I</w:t>
      </w:r>
      <w:r>
        <w:rPr>
          <w:rFonts w:ascii="Times New Roman" w:hAnsi="Times New Roman"/>
          <w:color w:val="auto"/>
          <w:lang w:val="pt-BR"/>
        </w:rPr>
        <w:t xml:space="preserve">, </w:t>
      </w:r>
      <w:r w:rsidRPr="00221CB0">
        <w:rPr>
          <w:rFonts w:ascii="Times New Roman" w:eastAsia="Calibri" w:hAnsi="Times New Roman"/>
          <w:color w:val="auto"/>
          <w:lang w:val="pt-BR" w:eastAsia="en-US"/>
        </w:rPr>
        <w:t>por unanimidade, conheceu do recurso de embargos, por divergência jurisprudencial, e, no mérito, po</w:t>
      </w:r>
      <w:r>
        <w:rPr>
          <w:rFonts w:ascii="Times New Roman" w:eastAsia="Calibri" w:hAnsi="Times New Roman"/>
          <w:color w:val="auto"/>
          <w:lang w:val="pt-BR" w:eastAsia="en-US"/>
        </w:rPr>
        <w:t>r maioria, negou-lhe provimento. V</w:t>
      </w:r>
      <w:r w:rsidRPr="00221CB0">
        <w:rPr>
          <w:rFonts w:ascii="Times New Roman" w:eastAsia="Calibri" w:hAnsi="Times New Roman"/>
          <w:color w:val="auto"/>
          <w:lang w:val="pt-BR" w:eastAsia="en-US"/>
        </w:rPr>
        <w:t>encidos os Ministros Aloysio Corrêa da Veiga, Ives Gandra Martins Filho, Brito Pereira, Guilherme Augusto Caputo Bastos e Walmir Oliveira da Costa.</w:t>
      </w:r>
      <w:r>
        <w:rPr>
          <w:rFonts w:ascii="Times New Roman" w:eastAsia="Calibri" w:hAnsi="Times New Roman"/>
          <w:color w:val="auto"/>
          <w:lang w:val="pt-BR" w:eastAsia="en-US"/>
        </w:rPr>
        <w:t xml:space="preserve"> </w:t>
      </w:r>
      <w:hyperlink r:id="rId11" w:history="1">
        <w:r w:rsidRPr="00B60670">
          <w:rPr>
            <w:rStyle w:val="Hyperlink"/>
            <w:rFonts w:ascii="Times New Roman" w:hAnsi="Times New Roman" w:cs="Courier New"/>
            <w:lang w:val="pt-BR"/>
          </w:rPr>
          <w:t>TST-E-ED-RR-173200-94.2009.5.03.0108</w:t>
        </w:r>
      </w:hyperlink>
      <w:r w:rsidRPr="0040221F">
        <w:rPr>
          <w:rFonts w:ascii="Times New Roman" w:hAnsi="Times New Roman"/>
          <w:color w:val="auto"/>
          <w:u w:val="single"/>
          <w:lang w:val="pt-BR"/>
        </w:rPr>
        <w:t>, SBDI-I, rel. Min. Márcio Eurico Vitral Amaro, 10.12.2015</w:t>
      </w:r>
    </w:p>
    <w:p w:rsidR="00B60670" w:rsidRPr="00B60670" w:rsidRDefault="00B60670" w:rsidP="00B60670">
      <w:pPr>
        <w:pStyle w:val="Ementa"/>
        <w:ind w:left="0"/>
        <w:outlineLvl w:val="0"/>
        <w:rPr>
          <w:rFonts w:ascii="Times New Roman" w:eastAsia="Calibri" w:hAnsi="Times New Roman"/>
          <w:color w:val="auto"/>
          <w:lang w:val="pt-BR" w:eastAsia="en-US"/>
        </w:rPr>
      </w:pPr>
    </w:p>
    <w:p w:rsidR="00B60670" w:rsidRPr="00895CC6" w:rsidRDefault="00B60670" w:rsidP="00B6067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Terceirização ilícita</w:t>
      </w:r>
      <w:r w:rsidRPr="00895CC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Vínculo empregatício reconhecido com a empresa tomadora de serviços. Isonomia salarial. Indeferimento. Ato discriminatório. Configuração.</w:t>
      </w:r>
    </w:p>
    <w:p w:rsidR="00B60670" w:rsidRPr="00A40F85" w:rsidRDefault="00B60670" w:rsidP="00B60670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>Configura ato discriminatório, vedado pelo inciso XXXII do art. 7º da CF, o indeferimento da pretensão de diferenças salarias entre o valor pago pela prestadora de serviços e o praticado pela empresa tomadora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 xml:space="preserve"> em relação aos empregados contratados diretamente por ela</w:t>
      </w:r>
      <w:r w:rsidRPr="00A40F85">
        <w:rPr>
          <w:rFonts w:ascii="Times New Roman" w:hAnsi="Times New Roman"/>
          <w:color w:val="auto"/>
          <w:lang w:val="pt-BR"/>
        </w:rPr>
        <w:t xml:space="preserve"> para 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 xml:space="preserve">o exercício das mesmas funções, </w:t>
      </w:r>
      <w:r w:rsidRPr="00A40F85">
        <w:rPr>
          <w:rFonts w:ascii="Times New Roman" w:hAnsi="Times New Roman"/>
          <w:color w:val="auto"/>
          <w:lang w:val="pt-BR"/>
        </w:rPr>
        <w:t xml:space="preserve">sobretudo no caso em que houve o reconhecimento de vínculo empregatício com a tomadora, em razão de ilicitude no contrato de terceirização. Se da Orientação Jurisprudencial nº 383 da SBDI-I 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>é possível extrair</w:t>
      </w:r>
      <w:r w:rsidRPr="00A40F85">
        <w:rPr>
          <w:rFonts w:ascii="Times New Roman" w:hAnsi="Times New Roman"/>
          <w:color w:val="auto"/>
          <w:lang w:val="pt-BR"/>
        </w:rPr>
        <w:t xml:space="preserve"> 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 xml:space="preserve">a necessidade de tratamento isonômico entre empregados terceirizados e os integrantes do quadro próprio da tomadora de serviços que tenham as mesmas atribuições, por razão maior devem ser garantidos os mesmos salários e vantagens no caso de reconhecimento de vínculo direto com essa empresa. Sob esses fundamentos, a SBDI-I, por unanimidade, conheceu </w:t>
      </w:r>
      <w:r w:rsidRPr="00A40F85">
        <w:rPr>
          <w:rFonts w:ascii="Times New Roman" w:hAnsi="Times New Roman"/>
          <w:color w:val="auto"/>
          <w:lang w:val="pt-BR"/>
        </w:rPr>
        <w:t>do recurso de embargos, por divergência jurisprudencial, e, no mérito, por maioria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A40F85">
        <w:rPr>
          <w:rFonts w:ascii="Times New Roman" w:hAnsi="Times New Roman"/>
          <w:color w:val="auto"/>
          <w:lang w:val="pt-BR"/>
        </w:rPr>
        <w:t xml:space="preserve">deu-lhe provimento para condenar a 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>toma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dora de serviços ao pagamento das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t xml:space="preserve"> diferenças salariais pleiteadas, com os reflexos previstos em lei, conforme se apurar em liquidação de </w:t>
      </w:r>
      <w:r w:rsidRPr="00A40F85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sentença. Vencido o Ministro </w:t>
      </w:r>
      <w:r>
        <w:rPr>
          <w:rFonts w:ascii="Times New Roman" w:hAnsi="Times New Roman"/>
          <w:color w:val="auto"/>
          <w:lang w:val="pt-BR"/>
        </w:rPr>
        <w:t xml:space="preserve">Aloysio Corrêa da Veiga. </w:t>
      </w:r>
      <w:hyperlink r:id="rId12" w:history="1">
        <w:r w:rsidRPr="00B60670">
          <w:rPr>
            <w:rStyle w:val="Hyperlink"/>
            <w:rFonts w:ascii="Times New Roman" w:hAnsi="Times New Roman" w:cs="Courier New"/>
            <w:lang w:val="pt-BR"/>
          </w:rPr>
          <w:t>TST-E-ED-RR-493800-06.2007.5.12.0004</w:t>
        </w:r>
      </w:hyperlink>
      <w:r w:rsidRPr="00A40F85">
        <w:rPr>
          <w:rFonts w:ascii="Times New Roman" w:hAnsi="Times New Roman"/>
          <w:color w:val="auto"/>
          <w:u w:val="single"/>
          <w:lang w:val="pt-BR"/>
        </w:rPr>
        <w:t>, SBDI-I, rel. Min. Lelio Bentes Corrêa, 10.12.2015</w:t>
      </w:r>
    </w:p>
    <w:p w:rsidR="00B60670" w:rsidRDefault="00B60670" w:rsidP="007403B3">
      <w:pPr>
        <w:jc w:val="both"/>
        <w:rPr>
          <w:sz w:val="24"/>
          <w:szCs w:val="24"/>
        </w:rPr>
      </w:pPr>
    </w:p>
    <w:p w:rsidR="00CB3B98" w:rsidRDefault="00CB3B98" w:rsidP="007403B3">
      <w:pPr>
        <w:jc w:val="both"/>
        <w:rPr>
          <w:sz w:val="24"/>
          <w:szCs w:val="24"/>
        </w:rPr>
      </w:pPr>
    </w:p>
    <w:p w:rsidR="00CB3B98" w:rsidRDefault="00CB3B98" w:rsidP="007403B3">
      <w:pPr>
        <w:jc w:val="both"/>
        <w:rPr>
          <w:sz w:val="24"/>
          <w:szCs w:val="24"/>
        </w:rPr>
      </w:pPr>
    </w:p>
    <w:p w:rsidR="00CB3B98" w:rsidRDefault="00CB3B98" w:rsidP="007403B3">
      <w:pPr>
        <w:jc w:val="both"/>
        <w:rPr>
          <w:sz w:val="24"/>
          <w:szCs w:val="24"/>
        </w:rPr>
      </w:pPr>
    </w:p>
    <w:p w:rsidR="00CB3B98" w:rsidRDefault="00CB3B98" w:rsidP="007403B3">
      <w:pPr>
        <w:jc w:val="both"/>
        <w:rPr>
          <w:sz w:val="24"/>
          <w:szCs w:val="24"/>
        </w:rPr>
      </w:pPr>
    </w:p>
    <w:p w:rsidR="00CB3B98" w:rsidRPr="00A71825" w:rsidRDefault="00CB3B98" w:rsidP="007403B3">
      <w:pPr>
        <w:jc w:val="both"/>
        <w:rPr>
          <w:sz w:val="24"/>
          <w:szCs w:val="24"/>
        </w:rPr>
      </w:pPr>
    </w:p>
    <w:p w:rsidR="00CB3B98" w:rsidRPr="00CB3B98" w:rsidRDefault="00CB3B98" w:rsidP="0096375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/>
        <w:spacing w:line="240" w:lineRule="auto"/>
        <w:ind w:left="1418" w:right="1417"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B3B98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ERRATA</w:t>
      </w:r>
    </w:p>
    <w:p w:rsidR="00CB3B98" w:rsidRPr="00F627C9" w:rsidRDefault="00CB3B98" w:rsidP="00CB3B9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1418" w:right="1417"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CB3B98">
        <w:rPr>
          <w:rFonts w:ascii="Times New Roman" w:eastAsia="Calibri" w:hAnsi="Times New Roman" w:cs="Times New Roman"/>
          <w:color w:val="auto"/>
          <w:lang w:val="pt-BR" w:eastAsia="en-US"/>
        </w:rPr>
        <w:t xml:space="preserve">Comunicamos que a correta conclusão da matéria referente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ao processo TST-E-ED-RR-9891900-16.2005.5.09.0004, divulgada</w:t>
      </w:r>
      <w:r w:rsidRPr="00CB3B98">
        <w:rPr>
          <w:rFonts w:ascii="Times New Roman" w:eastAsia="Calibri" w:hAnsi="Times New Roman" w:cs="Times New Roman"/>
          <w:color w:val="auto"/>
          <w:lang w:val="pt-BR" w:eastAsia="en-US"/>
        </w:rPr>
        <w:t xml:space="preserve"> no Informativo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TST nº 125</w:t>
      </w:r>
      <w:r w:rsidRPr="00CB3B98">
        <w:rPr>
          <w:rFonts w:ascii="Times New Roman" w:eastAsia="Calibri" w:hAnsi="Times New Roman" w:cs="Times New Roman"/>
          <w:color w:val="auto"/>
          <w:lang w:val="pt-BR" w:eastAsia="en-US"/>
        </w:rPr>
        <w:t xml:space="preserve">, é esta: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(...) Assim, a SBDI-I, por maioria, conheceu dos embargos por contrariedade à Orientação Jurisprudencial nº 358 da SBDI-I, vencidos os Ministros Augusto César Leite de Carvalho, Márcio Eurico Vitral Amaro, José Roberto Freire Pimenta, Hugo Carlos Scheuermann e Cláudio Mascarenhas Brandão. No mérito, a Subseção deu provimento ao recurso para excluir da condenação a determinação para que a reclamada garanta </w:t>
      </w:r>
      <w:r w:rsidRPr="00CC06E4">
        <w:rPr>
          <w:rFonts w:ascii="Times New Roman" w:eastAsia="Calibri" w:hAnsi="Times New Roman" w:cs="Times New Roman"/>
          <w:color w:val="auto"/>
          <w:lang w:val="pt-BR" w:eastAsia="en-US"/>
        </w:rPr>
        <w:t>"o pagamento do salário mínimo da categoria profissional, de acordo com a Convenção Coletiva do Trabalho, independentemente do número de horas trabalhadas", julgando-se improcedente a presente ação no particular.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13" w:history="1">
        <w:r w:rsidRPr="007403B3">
          <w:rPr>
            <w:rStyle w:val="Hyperlink"/>
            <w:rFonts w:ascii="Times New Roman" w:eastAsia="Calibri" w:hAnsi="Times New Roman"/>
            <w:lang w:val="pt-BR" w:eastAsia="en-US"/>
          </w:rPr>
          <w:t>TST-E-ED-RR-9891900-16.2005.5.09.0004</w:t>
        </w:r>
      </w:hyperlink>
      <w:r w:rsidRPr="00F627C9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</w:t>
      </w:r>
      <w:r w:rsidRPr="00F627C9">
        <w:rPr>
          <w:rFonts w:ascii="Times New Roman" w:hAnsi="Times New Roman"/>
          <w:u w:val="single"/>
          <w:lang w:val="pt-BR"/>
        </w:rPr>
        <w:t>SBDI-I, rel. Min. Renato de Lacerda Paiva, 26.11.2015</w:t>
      </w:r>
    </w:p>
    <w:p w:rsidR="00CB3B98" w:rsidRDefault="00CB3B98" w:rsidP="00D7357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CB3B98" w:rsidRDefault="00CB3B98" w:rsidP="00D7357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CB3B98" w:rsidRDefault="00CB3B98" w:rsidP="00D7357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CB3B98" w:rsidRDefault="00CB3B98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7403B3" w:rsidRPr="00CE7555" w:rsidRDefault="007403B3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4A5908" w:rsidRPr="00CE7555" w:rsidRDefault="004A5908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5C" w:rsidRDefault="0096375C">
      <w:r>
        <w:separator/>
      </w:r>
    </w:p>
  </w:endnote>
  <w:endnote w:type="continuationSeparator" w:id="0">
    <w:p w:rsidR="0096375C" w:rsidRDefault="0096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4A7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A4A79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5C" w:rsidRDefault="0096375C">
      <w:r>
        <w:separator/>
      </w:r>
    </w:p>
  </w:footnote>
  <w:footnote w:type="continuationSeparator" w:id="0">
    <w:p w:rsidR="0096375C" w:rsidRDefault="0096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12</w:t>
    </w:r>
    <w:r w:rsidR="00B60670">
      <w:rPr>
        <w:shadow/>
        <w:sz w:val="24"/>
        <w:szCs w:val="24"/>
      </w:rPr>
      <w:t>6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B60670">
      <w:rPr>
        <w:i/>
        <w:iCs/>
      </w:rPr>
      <w:t>9 a 14</w:t>
    </w:r>
    <w:r w:rsidR="007403B3">
      <w:rPr>
        <w:i/>
        <w:iCs/>
      </w:rPr>
      <w:t xml:space="preserve"> de dezembro</w:t>
    </w:r>
    <w:r w:rsidR="00CE7555">
      <w:rPr>
        <w:i/>
        <w:iCs/>
      </w:rPr>
      <w:t xml:space="preserve">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12</w:t>
    </w:r>
    <w:r w:rsidR="00B60670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B60670">
      <w:rPr>
        <w:i/>
        <w:iCs/>
      </w:rPr>
      <w:t>9 a 14</w:t>
    </w:r>
    <w:r w:rsidR="007403B3">
      <w:rPr>
        <w:i/>
        <w:iCs/>
      </w:rPr>
      <w:t xml:space="preserve"> de dezembro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4A79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118"/>
    <w:rsid w:val="00781C77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139A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480&amp;digitoTst=32&amp;anoTst=2014&amp;orgaoTst=5&amp;tribunalTst=12&amp;varaTst=0000" TargetMode="External"/><Relationship Id="rId13" Type="http://schemas.openxmlformats.org/officeDocument/2006/relationships/hyperlink" Target="http://aplicacao4.tst.jus.br/consultaProcessual/consultaTstNumUnica.do?consulta=Consultar&amp;conscsjt=&amp;numeroTst=9891900&amp;digitoTst=16&amp;anoTst=2005&amp;orgaoTst=5&amp;tribunalTst=09&amp;varaTst=00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493800&amp;digitoTst=06&amp;anoTst=2007&amp;orgaoTst=5&amp;tribunalTst=12&amp;varaTst=00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73200&amp;digitoTst=94&amp;anoTst=2009&amp;orgaoTst=5&amp;tribunalTst=03&amp;varaTst=01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182400&amp;digitoTst=68&amp;anoTst=2009&amp;orgaoTst=5&amp;tribunalTst=12&amp;varaTst=00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89600&amp;digitoTst=04&amp;anoTst=2007&amp;orgaoTst=5&amp;tribunalTst=20&amp;varaTst=000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6B9C-BA7C-4C0D-B677-E338FC6F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10255</CharactersWithSpaces>
  <SharedDoc>false</SharedDoc>
  <HLinks>
    <vt:vector size="36" baseType="variant"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http://aplicacao4.tst.jus.br/consultaProcessual/consultaTstNumUnica.do?consulta=Consultar&amp;conscsjt=&amp;numeroTst=9891900&amp;digitoTst=16&amp;anoTst=2005&amp;orgaoTst=5&amp;tribunalTst=09&amp;varaTst=0004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http://aplicacao4.tst.jus.br/consultaProcessual/consultaTstNumUnica.do?consulta=Consultar&amp;conscsjt=&amp;numeroTst=493800&amp;digitoTst=06&amp;anoTst=2007&amp;orgaoTst=5&amp;tribunalTst=12&amp;varaTst=0004</vt:lpwstr>
      </vt:variant>
      <vt:variant>
        <vt:lpwstr/>
      </vt:variant>
      <vt:variant>
        <vt:i4>1441870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http://aplicacao4.tst.jus.br/consultaProcessual/consultaTstNumUnica.do?consulta=Consultar&amp;conscsjt=&amp;numeroTst=173200&amp;digitoTst=94&amp;anoTst=2009&amp;orgaoTst=5&amp;tribunalTst=03&amp;varaTst=0108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http://aplicacao4.tst.jus.br/consultaProcessual/consultaTstNumUnica.do?consulta=Consultar&amp;conscsjt=&amp;numeroTst=182400&amp;digitoTst=68&amp;anoTst=2009&amp;orgaoTst=5&amp;tribunalTst=12&amp;varaTst=0046</vt:lpwstr>
      </vt:variant>
      <vt:variant>
        <vt:lpwstr/>
      </vt:variant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http://aplicacao4.tst.jus.br/consultaProcessual/consultaTstNumUnica.do?consulta=Consultar&amp;conscsjt=&amp;numeroTst=189600&amp;digitoTst=04&amp;anoTst=2007&amp;orgaoTst=5&amp;tribunalTst=20&amp;varaTst=0005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http://aplicacao4.tst.jus.br/consultaProcessual/consultaTstNumUnica.do?consulta=Consultar&amp;conscsjt=&amp;numeroTst=480&amp;digitoTst=32&amp;anoTst=2014&amp;orgaoTst=5&amp;tribunalTst=12&amp;varaTst=0000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2015-11-24T18:05:00Z</cp:lastPrinted>
  <dcterms:created xsi:type="dcterms:W3CDTF">2018-06-27T21:49:00Z</dcterms:created>
  <dcterms:modified xsi:type="dcterms:W3CDTF">2018-06-27T21:49:00Z</dcterms:modified>
</cp:coreProperties>
</file>