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CE7555" w:rsidRDefault="00FB20B1">
      <w:pPr>
        <w:rPr>
          <w:sz w:val="25"/>
          <w:szCs w:val="25"/>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Pr="00E531C9" w:rsidRDefault="00E531C9" w:rsidP="00DC50EB">
            <w:pPr>
              <w:pStyle w:val="Cabealho"/>
              <w:tabs>
                <w:tab w:val="clear" w:pos="4419"/>
                <w:tab w:val="clear" w:pos="8838"/>
              </w:tabs>
              <w:jc w:val="both"/>
              <w:rPr>
                <w:sz w:val="10"/>
                <w:szCs w:val="10"/>
              </w:rPr>
            </w:pPr>
          </w:p>
        </w:tc>
      </w:tr>
    </w:tbl>
    <w:p w:rsidR="00AC096E" w:rsidRPr="00CE7555" w:rsidRDefault="00AC096E" w:rsidP="00AC096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SUBSEÇÃO I ESPECIALIZADA EM DISSÍDIOS INDIVIDUAIS</w:t>
      </w:r>
    </w:p>
    <w:p w:rsidR="00E531C9" w:rsidRPr="00AC096E" w:rsidRDefault="00E531C9" w:rsidP="00E531C9">
      <w:pPr>
        <w:pStyle w:val="Corpodetexto2"/>
        <w:jc w:val="center"/>
        <w:rPr>
          <w:b/>
          <w:bCs/>
          <w:emboss/>
          <w:sz w:val="24"/>
          <w:szCs w:val="24"/>
        </w:rPr>
      </w:pPr>
    </w:p>
    <w:p w:rsidR="00AC096E" w:rsidRPr="00AC096E" w:rsidRDefault="00AC096E" w:rsidP="00AC096E">
      <w:pPr>
        <w:widowControl w:val="0"/>
        <w:contextualSpacing/>
        <w:jc w:val="both"/>
        <w:rPr>
          <w:b/>
          <w:i/>
          <w:color w:val="000000"/>
          <w:sz w:val="24"/>
          <w:szCs w:val="24"/>
        </w:rPr>
      </w:pPr>
      <w:r w:rsidRPr="00AC096E">
        <w:rPr>
          <w:b/>
          <w:i/>
          <w:color w:val="000000"/>
          <w:sz w:val="24"/>
          <w:szCs w:val="24"/>
        </w:rPr>
        <w:t xml:space="preserve">Acidente de trabalho. Indenização por danos morais e materiais. Dono da obra. Responsabilidade solidária. Inaplicabilidade da Orientação Jurisprudencial nº 191 da SBDI-I. </w:t>
      </w:r>
    </w:p>
    <w:p w:rsidR="00AC096E" w:rsidRPr="00AC096E" w:rsidRDefault="00AC096E" w:rsidP="00AC096E">
      <w:pPr>
        <w:pStyle w:val="Corpo"/>
        <w:spacing w:line="240" w:lineRule="auto"/>
        <w:ind w:firstLine="0"/>
        <w:rPr>
          <w:rFonts w:ascii="Times New Roman" w:hAnsi="Times New Roman"/>
          <w:u w:val="single"/>
          <w:lang w:val="pt-BR"/>
        </w:rPr>
      </w:pPr>
      <w:r w:rsidRPr="00AC096E">
        <w:rPr>
          <w:rFonts w:ascii="Times New Roman" w:hAnsi="Times New Roman" w:cs="Times New Roman"/>
          <w:lang w:val="pt-BR"/>
        </w:rPr>
        <w:t xml:space="preserve">O dono da obra é responsável solidário pelos danos decorrentes de acidente de trabalho ocorrido em suas dependências, nas hipóteses em que concorreu para o infortúnio ao não impedir a prestação de serviços sem a observância das normas de higiene e segurança do trabalho. A diretriz consagrada na Orientação Jurisprudencial </w:t>
      </w:r>
      <w:r w:rsidRPr="00AC096E">
        <w:rPr>
          <w:rFonts w:ascii="Times New Roman" w:hAnsi="Times New Roman"/>
          <w:lang w:val="pt-BR"/>
        </w:rPr>
        <w:t>nº 191 da SBDI-I não se aplica ao caso, pois dirigida especificamente a obrigações trabalhistas em sentido estrito, não alcançando indenização de natureza civil.</w:t>
      </w:r>
      <w:r w:rsidRPr="00AC096E">
        <w:rPr>
          <w:rFonts w:ascii="Times New Roman" w:hAnsi="Times New Roman" w:cs="Times New Roman"/>
          <w:lang w:val="pt-BR"/>
        </w:rPr>
        <w:t xml:space="preserve"> Na espécie, consignou-se que o </w:t>
      </w:r>
      <w:r w:rsidRPr="00AC096E">
        <w:rPr>
          <w:rFonts w:ascii="Times New Roman" w:hAnsi="Times New Roman" w:cs="Times New Roman"/>
          <w:i/>
          <w:lang w:val="pt-BR"/>
        </w:rPr>
        <w:t>de cujus</w:t>
      </w:r>
      <w:r w:rsidRPr="00AC096E">
        <w:rPr>
          <w:rFonts w:ascii="Times New Roman" w:hAnsi="Times New Roman" w:cs="Times New Roman"/>
          <w:lang w:val="pt-BR"/>
        </w:rPr>
        <w:t>, empregado da subempreiteira, contratada pela empreiteira para efetuar reparos no telhado da dona da obra, não usava cinto de segurança no momento da queda que o vitimou e nunca havia feito curso de segurança do trabalho, a revelar falha do dono da obra na fiscalização quanto à adoção de medidas de prevenção de acidentes.  Sob esse entendimento, com amparo no art. 942 do CC</w:t>
      </w:r>
      <w:r>
        <w:rPr>
          <w:rFonts w:ascii="Times New Roman" w:hAnsi="Times New Roman" w:cs="Times New Roman"/>
          <w:lang w:val="pt-BR"/>
        </w:rPr>
        <w:t>,</w:t>
      </w:r>
      <w:r w:rsidRPr="00AC096E">
        <w:rPr>
          <w:rFonts w:ascii="Times New Roman" w:hAnsi="Times New Roman" w:cs="Times New Roman"/>
          <w:lang w:val="pt-BR"/>
        </w:rPr>
        <w:t xml:space="preserve"> e atendo-se ao limite do postulado pelos embargantes, no sentido de manter a decisão do TRT, a SBDI-I, por unanimidade, conheceu dos embargos dos reclamantes, por divergência jurisprudencial e, no mérito, por maioria, deu-lhes provimento para restabelecer a decisão do Regional quanto à declaração de responsabilidade subsidiária do dono da obra. Vencido o Ministro Antonio José de Barros Levenhagen. </w:t>
      </w:r>
      <w:hyperlink r:id="rId8" w:history="1">
        <w:r w:rsidRPr="00AC096E">
          <w:rPr>
            <w:rStyle w:val="Hyperlink"/>
            <w:rFonts w:ascii="Times New Roman" w:hAnsi="Times New Roman"/>
            <w:lang w:val="pt-BR"/>
          </w:rPr>
          <w:t>TST-E-RR-240-03.2012.5.04.0011</w:t>
        </w:r>
      </w:hyperlink>
      <w:r w:rsidRPr="00AC096E">
        <w:rPr>
          <w:rFonts w:ascii="Times New Roman" w:hAnsi="Times New Roman" w:cs="Times New Roman"/>
          <w:u w:val="single"/>
          <w:lang w:val="pt-BR"/>
        </w:rPr>
        <w:t>,</w:t>
      </w:r>
      <w:r w:rsidRPr="00AC096E">
        <w:rPr>
          <w:rFonts w:ascii="Times New Roman" w:hAnsi="Times New Roman"/>
          <w:u w:val="single"/>
          <w:lang w:val="pt-BR"/>
        </w:rPr>
        <w:t xml:space="preserve"> SBDI-I, rel. Min. João Oreste Dalazen, 19.11.2015</w:t>
      </w:r>
    </w:p>
    <w:p w:rsidR="00AC096E" w:rsidRPr="00AC096E" w:rsidRDefault="00AC096E" w:rsidP="00AC096E">
      <w:pPr>
        <w:pStyle w:val="Corpo"/>
        <w:spacing w:line="240" w:lineRule="auto"/>
        <w:ind w:firstLine="0"/>
        <w:rPr>
          <w:rFonts w:ascii="Times New Roman" w:hAnsi="Times New Roman"/>
          <w:u w:val="single"/>
          <w:lang w:val="pt-BR"/>
        </w:rPr>
      </w:pPr>
    </w:p>
    <w:p w:rsidR="00AC096E" w:rsidRPr="00AC096E" w:rsidRDefault="00AC096E" w:rsidP="00AC096E">
      <w:pPr>
        <w:widowControl w:val="0"/>
        <w:contextualSpacing/>
        <w:jc w:val="both"/>
        <w:rPr>
          <w:b/>
          <w:i/>
          <w:color w:val="000000"/>
          <w:sz w:val="24"/>
          <w:szCs w:val="24"/>
        </w:rPr>
      </w:pPr>
      <w:r w:rsidRPr="00AC096E">
        <w:rPr>
          <w:b/>
          <w:i/>
          <w:color w:val="000000"/>
          <w:sz w:val="24"/>
          <w:szCs w:val="24"/>
        </w:rPr>
        <w:t>Empregado com mais de um ano de serviço. Assistência sindical e homologação da rescisão do contrato de trabalho. Ausência. Nulidade do pedido de demissão. Art. 477, § 1º, da CLT. Presunção de demissão sem justa causa. Irrelevância da confissão de rescisão a pedido pelo empregado.</w:t>
      </w:r>
    </w:p>
    <w:p w:rsidR="00AC096E" w:rsidRPr="00176DE5" w:rsidRDefault="00AC096E" w:rsidP="00AC096E">
      <w:pPr>
        <w:pStyle w:val="Corpo"/>
        <w:spacing w:line="240" w:lineRule="auto"/>
        <w:ind w:firstLine="0"/>
        <w:rPr>
          <w:rFonts w:ascii="Times New Roman" w:hAnsi="Times New Roman" w:cs="Times New Roman"/>
        </w:rPr>
      </w:pPr>
      <w:r w:rsidRPr="00AC096E">
        <w:rPr>
          <w:rFonts w:ascii="Times New Roman" w:hAnsi="Times New Roman" w:cs="Times New Roman"/>
          <w:lang w:val="pt-BR"/>
        </w:rPr>
        <w:t>A rescisão de contrato de trabalho de empregado que prestou serviços por mais de um ano deve ser homologada pelo sindicato respectivo ou por autoridade do Ministério do Trabalho, nos termos do art. 477, § 1º, da CLT. Do contrário, é inválido o pedido de demissão do empregado, ainda que ele confesse em juízo a sua disposição inicial de desligamento contratual, devendo a despedida ser reconhecida como imotivada. Com efeito, a norma é cogente e assegura a prevalência do princípio da indisponibilidade dos direitos trabalhistas, de modo que a declaração de que o pedido de demissão se deu sem vício de vontade não supre o requisito da assistência sindical, imposto pela lei. Sob esse entendimento, a SBDI-I, por maioria, conheceu do recurso de embargos do reclamante, por divergência jurisprudencial, vencidos os Ministros Hugo Carlos Scheuermann, relator, Ives Gandra da Silva Martins Filho, Renato de Lacerda Paiva e Walmir Oliveira da Costa. No mérito, por unanimidade, a Subseção deu provimento aos embargos para, declarada a invalidade do pedido de demissão, determinar o retorno dos autos ao juízo de origem para novo julgamento como entender de direito, agora sob a premissa de que a despedida ocorreu sem justa causa.</w:t>
      </w:r>
      <w:r w:rsidRPr="00AC096E">
        <w:rPr>
          <w:rFonts w:ascii="Times New Roman" w:hAnsi="Times New Roman"/>
          <w:lang w:val="pt-BR"/>
        </w:rPr>
        <w:t xml:space="preserve"> </w:t>
      </w:r>
      <w:hyperlink r:id="rId9" w:history="1">
        <w:r w:rsidRPr="00AC096E">
          <w:rPr>
            <w:rStyle w:val="Hyperlink"/>
            <w:rFonts w:ascii="Times New Roman" w:hAnsi="Times New Roman"/>
          </w:rPr>
          <w:t>TST-E-RR-825-12.2010.5.09.0003</w:t>
        </w:r>
      </w:hyperlink>
      <w:r w:rsidRPr="00244B77">
        <w:rPr>
          <w:rFonts w:ascii="Times New Roman" w:hAnsi="Times New Roman"/>
          <w:u w:val="single"/>
        </w:rPr>
        <w:t>, SBDI-</w:t>
      </w:r>
      <w:r>
        <w:rPr>
          <w:rFonts w:ascii="Times New Roman" w:hAnsi="Times New Roman"/>
          <w:u w:val="single"/>
        </w:rPr>
        <w:t>I</w:t>
      </w:r>
      <w:r w:rsidRPr="00244B77">
        <w:rPr>
          <w:rFonts w:ascii="Times New Roman" w:hAnsi="Times New Roman"/>
          <w:u w:val="single"/>
        </w:rPr>
        <w:t>,</w:t>
      </w:r>
      <w:r>
        <w:rPr>
          <w:rFonts w:ascii="Times New Roman" w:hAnsi="Times New Roman"/>
          <w:u w:val="single"/>
        </w:rPr>
        <w:t xml:space="preserve"> rel. Min. Hugo Carlos Scheuermann,</w:t>
      </w:r>
      <w:r w:rsidRPr="00244B77">
        <w:rPr>
          <w:rFonts w:ascii="Times New Roman" w:hAnsi="Times New Roman"/>
          <w:u w:val="single"/>
        </w:rPr>
        <w:t xml:space="preserve"> 1</w:t>
      </w:r>
      <w:r>
        <w:rPr>
          <w:rFonts w:ascii="Times New Roman" w:hAnsi="Times New Roman"/>
          <w:u w:val="single"/>
        </w:rPr>
        <w:t>9</w:t>
      </w:r>
      <w:r w:rsidRPr="00244B77">
        <w:rPr>
          <w:rFonts w:ascii="Times New Roman" w:hAnsi="Times New Roman"/>
          <w:u w:val="single"/>
        </w:rPr>
        <w:t>.11.2015</w:t>
      </w:r>
    </w:p>
    <w:p w:rsidR="00AC096E" w:rsidRDefault="00AC096E" w:rsidP="00BC54BC">
      <w:pPr>
        <w:pStyle w:val="Corpo"/>
        <w:spacing w:line="240" w:lineRule="auto"/>
        <w:ind w:firstLine="0"/>
        <w:rPr>
          <w:rFonts w:ascii="Times New Roman" w:hAnsi="Times New Roman"/>
          <w:sz w:val="20"/>
          <w:szCs w:val="20"/>
          <w:u w:val="single"/>
          <w:lang w:val="pt-BR"/>
        </w:rPr>
      </w:pPr>
    </w:p>
    <w:p w:rsidR="00AC096E" w:rsidRDefault="00AC096E" w:rsidP="00BC54BC">
      <w:pPr>
        <w:pStyle w:val="Corpo"/>
        <w:spacing w:line="240" w:lineRule="auto"/>
        <w:ind w:firstLine="0"/>
        <w:rPr>
          <w:rFonts w:ascii="Times New Roman" w:hAnsi="Times New Roman"/>
          <w:sz w:val="20"/>
          <w:szCs w:val="20"/>
          <w:u w:val="single"/>
          <w:lang w:val="pt-BR"/>
        </w:rPr>
      </w:pPr>
    </w:p>
    <w:p w:rsidR="00AC096E" w:rsidRPr="00494DD1" w:rsidRDefault="00AC096E" w:rsidP="00BC54BC">
      <w:pPr>
        <w:pStyle w:val="Corpo"/>
        <w:spacing w:line="240" w:lineRule="auto"/>
        <w:ind w:firstLine="0"/>
        <w:rPr>
          <w:rFonts w:ascii="Times New Roman" w:hAnsi="Times New Roman"/>
          <w:sz w:val="20"/>
          <w:szCs w:val="20"/>
          <w:u w:val="single"/>
          <w:lang w:val="pt-BR"/>
        </w:rPr>
      </w:pPr>
    </w:p>
    <w:p w:rsidR="00A00DEE" w:rsidRPr="00CE7555"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lastRenderedPageBreak/>
        <w:t>SUBSEÇÃO I</w:t>
      </w:r>
      <w:r w:rsidR="00AC096E">
        <w:rPr>
          <w:rFonts w:ascii="Times New Roman" w:hAnsi="Times New Roman" w:cs="Times New Roman"/>
          <w:b/>
          <w:bCs/>
          <w:shadow/>
          <w:color w:val="auto"/>
          <w:sz w:val="25"/>
          <w:szCs w:val="25"/>
          <w:lang w:val="pt-BR"/>
        </w:rPr>
        <w:t>I</w:t>
      </w:r>
      <w:r w:rsidRPr="00CE7555">
        <w:rPr>
          <w:rFonts w:ascii="Times New Roman" w:hAnsi="Times New Roman" w:cs="Times New Roman"/>
          <w:b/>
          <w:bCs/>
          <w:shadow/>
          <w:color w:val="auto"/>
          <w:sz w:val="25"/>
          <w:szCs w:val="25"/>
          <w:lang w:val="pt-BR"/>
        </w:rPr>
        <w:t xml:space="preserve"> ESPECIALIZADA EM DISSÍDIOS INDIVIDUAIS</w:t>
      </w:r>
    </w:p>
    <w:p w:rsidR="00342846" w:rsidRPr="00494DD1" w:rsidRDefault="00342846" w:rsidP="007D469A">
      <w:pPr>
        <w:pStyle w:val="Corpo"/>
        <w:spacing w:line="240" w:lineRule="auto"/>
        <w:ind w:firstLine="0"/>
        <w:rPr>
          <w:rFonts w:ascii="Times New Roman" w:hAnsi="Times New Roman"/>
          <w:sz w:val="20"/>
          <w:szCs w:val="20"/>
          <w:u w:val="single"/>
          <w:lang w:val="pt-BR"/>
        </w:rPr>
      </w:pPr>
    </w:p>
    <w:p w:rsidR="00AC096E" w:rsidRDefault="00AC096E" w:rsidP="00AC096E">
      <w:pPr>
        <w:jc w:val="both"/>
      </w:pPr>
      <w:r>
        <w:rPr>
          <w:b/>
          <w:i/>
          <w:sz w:val="24"/>
          <w:szCs w:val="24"/>
        </w:rPr>
        <w:t>M</w:t>
      </w:r>
      <w:r w:rsidRPr="00622C8B">
        <w:rPr>
          <w:b/>
          <w:i/>
          <w:sz w:val="24"/>
          <w:szCs w:val="24"/>
        </w:rPr>
        <w:t>andado de segurança</w:t>
      </w:r>
      <w:r>
        <w:rPr>
          <w:b/>
          <w:i/>
          <w:sz w:val="24"/>
          <w:szCs w:val="24"/>
        </w:rPr>
        <w:t xml:space="preserve">. Ação civil pública ajuizada pelo Ministério Público do Trabalho. Antecipação de tutela. Ato coator que proíbe o sindicato de qualquer intermediação de mão de obra entre avulsos e tomadores de serviço. Ofensa aos arts. 4º e 5º </w:t>
      </w:r>
      <w:r w:rsidRPr="00F43C04">
        <w:rPr>
          <w:b/>
          <w:i/>
          <w:sz w:val="24"/>
          <w:szCs w:val="24"/>
        </w:rPr>
        <w:t>da Lei n° 12.023/2009</w:t>
      </w:r>
      <w:r>
        <w:rPr>
          <w:b/>
          <w:i/>
          <w:sz w:val="24"/>
          <w:szCs w:val="24"/>
        </w:rPr>
        <w:t>. Provimento parcial.</w:t>
      </w:r>
      <w:r w:rsidRPr="006B5B56">
        <w:t xml:space="preserve"> </w:t>
      </w:r>
    </w:p>
    <w:p w:rsidR="00AC096E" w:rsidRPr="002736F7" w:rsidRDefault="00AC096E" w:rsidP="00AC096E">
      <w:pPr>
        <w:jc w:val="both"/>
        <w:rPr>
          <w:sz w:val="24"/>
          <w:szCs w:val="24"/>
        </w:rPr>
      </w:pPr>
      <w:r w:rsidRPr="006B5B56">
        <w:rPr>
          <w:sz w:val="24"/>
          <w:szCs w:val="24"/>
        </w:rPr>
        <w:t>A</w:t>
      </w:r>
      <w:r>
        <w:rPr>
          <w:sz w:val="24"/>
          <w:szCs w:val="24"/>
        </w:rPr>
        <w:t xml:space="preserve"> concessão de tutela antecipada, pleiteada em ação civil pública, </w:t>
      </w:r>
      <w:r w:rsidRPr="006B5B56">
        <w:rPr>
          <w:sz w:val="24"/>
          <w:szCs w:val="24"/>
        </w:rPr>
        <w:t>para que o ente sindical impetrante se abstenha de exercer uma de suas funções previstas em lei</w:t>
      </w:r>
      <w:r>
        <w:rPr>
          <w:sz w:val="24"/>
          <w:szCs w:val="24"/>
        </w:rPr>
        <w:t xml:space="preserve"> (</w:t>
      </w:r>
      <w:r w:rsidRPr="006B5B56">
        <w:rPr>
          <w:sz w:val="24"/>
          <w:szCs w:val="24"/>
        </w:rPr>
        <w:t>intermediação de mão de obra</w:t>
      </w:r>
      <w:r>
        <w:rPr>
          <w:sz w:val="24"/>
          <w:szCs w:val="24"/>
        </w:rPr>
        <w:t xml:space="preserve"> entre avulsos e tomadores de serviço)</w:t>
      </w:r>
      <w:r w:rsidRPr="006B5B56">
        <w:rPr>
          <w:sz w:val="24"/>
          <w:szCs w:val="24"/>
        </w:rPr>
        <w:t>, contraria os arts. 4° e 5° da Lei n° 12.023/2009.</w:t>
      </w:r>
      <w:r>
        <w:rPr>
          <w:sz w:val="24"/>
          <w:szCs w:val="24"/>
        </w:rPr>
        <w:t xml:space="preserve"> No caso, não obstante a pretensão legítima do Ministério Público do Trabalho, no sentido de prevenir irregularidades na intermediação de mão de obra, consignou-se que a administração da escala de trabalho verdadeiramente avulso não poderia ser proibida ao ente sindical, visto que lhe fora exclusivamente atribuída por força de lei. Sob</w:t>
      </w:r>
      <w:r w:rsidRPr="002736F7">
        <w:rPr>
          <w:sz w:val="24"/>
          <w:szCs w:val="24"/>
        </w:rPr>
        <w:t xml:space="preserve"> esse </w:t>
      </w:r>
      <w:r>
        <w:rPr>
          <w:sz w:val="24"/>
          <w:szCs w:val="24"/>
        </w:rPr>
        <w:t>fundamento</w:t>
      </w:r>
      <w:r w:rsidRPr="002736F7">
        <w:rPr>
          <w:sz w:val="24"/>
          <w:szCs w:val="24"/>
        </w:rPr>
        <w:t>, a SBDI-</w:t>
      </w:r>
      <w:r>
        <w:rPr>
          <w:sz w:val="24"/>
          <w:szCs w:val="24"/>
        </w:rPr>
        <w:t>II</w:t>
      </w:r>
      <w:r w:rsidRPr="002736F7">
        <w:rPr>
          <w:sz w:val="24"/>
          <w:szCs w:val="24"/>
        </w:rPr>
        <w:t xml:space="preserve">, por unanimidade, conheceu </w:t>
      </w:r>
      <w:r>
        <w:rPr>
          <w:sz w:val="24"/>
          <w:szCs w:val="24"/>
        </w:rPr>
        <w:t>do recurso ordinário interposto pelo</w:t>
      </w:r>
      <w:r w:rsidRPr="002708A7">
        <w:t xml:space="preserve"> </w:t>
      </w:r>
      <w:r w:rsidRPr="002708A7">
        <w:rPr>
          <w:sz w:val="24"/>
          <w:szCs w:val="24"/>
        </w:rPr>
        <w:t>M</w:t>
      </w:r>
      <w:r>
        <w:rPr>
          <w:sz w:val="24"/>
          <w:szCs w:val="24"/>
        </w:rPr>
        <w:t>PT e</w:t>
      </w:r>
      <w:r w:rsidRPr="00AE2D80">
        <w:rPr>
          <w:sz w:val="24"/>
          <w:szCs w:val="24"/>
        </w:rPr>
        <w:t xml:space="preserve">, no mérito, </w:t>
      </w:r>
      <w:r>
        <w:rPr>
          <w:sz w:val="24"/>
          <w:szCs w:val="24"/>
        </w:rPr>
        <w:t xml:space="preserve">deu-lhe provimento parcial para limitar a tutela antecipada à abstenção do sindicato de fornecer mão de obra em caráter não-eventual, como requerido subsidiariamente pelo </w:t>
      </w:r>
      <w:r>
        <w:rPr>
          <w:i/>
          <w:sz w:val="24"/>
          <w:szCs w:val="24"/>
        </w:rPr>
        <w:t>p</w:t>
      </w:r>
      <w:r w:rsidRPr="00FF476C">
        <w:rPr>
          <w:i/>
          <w:sz w:val="24"/>
          <w:szCs w:val="24"/>
        </w:rPr>
        <w:t>arquet</w:t>
      </w:r>
      <w:r w:rsidRPr="00AE2D80">
        <w:rPr>
          <w:sz w:val="24"/>
          <w:szCs w:val="24"/>
        </w:rPr>
        <w:t>.</w:t>
      </w:r>
      <w:r w:rsidRPr="002736F7">
        <w:rPr>
          <w:sz w:val="24"/>
          <w:szCs w:val="24"/>
        </w:rPr>
        <w:t xml:space="preserve"> </w:t>
      </w:r>
      <w:hyperlink r:id="rId10" w:history="1">
        <w:r w:rsidRPr="00AC096E">
          <w:rPr>
            <w:rStyle w:val="Hyperlink"/>
            <w:sz w:val="24"/>
            <w:szCs w:val="24"/>
          </w:rPr>
          <w:t>TST-RO-6510-36.2013.5.15.0000</w:t>
        </w:r>
      </w:hyperlink>
      <w:r>
        <w:rPr>
          <w:sz w:val="24"/>
          <w:szCs w:val="24"/>
          <w:u w:val="single"/>
        </w:rPr>
        <w:t>, SBDI-II</w:t>
      </w:r>
      <w:r w:rsidRPr="00263320">
        <w:rPr>
          <w:sz w:val="24"/>
          <w:szCs w:val="24"/>
          <w:u w:val="single"/>
        </w:rPr>
        <w:t xml:space="preserve">, rel. Min. </w:t>
      </w:r>
      <w:r>
        <w:rPr>
          <w:sz w:val="24"/>
          <w:szCs w:val="24"/>
          <w:u w:val="single"/>
        </w:rPr>
        <w:t>Alberto Luiz Bresciani d</w:t>
      </w:r>
      <w:r w:rsidRPr="007E6B36">
        <w:rPr>
          <w:sz w:val="24"/>
          <w:szCs w:val="24"/>
          <w:u w:val="single"/>
        </w:rPr>
        <w:t>e Fontan Pereira</w:t>
      </w:r>
      <w:r>
        <w:rPr>
          <w:sz w:val="24"/>
          <w:szCs w:val="24"/>
          <w:u w:val="single"/>
        </w:rPr>
        <w:t>, 17.11.2015</w:t>
      </w:r>
    </w:p>
    <w:p w:rsidR="00AC096E" w:rsidRDefault="00AC096E" w:rsidP="00AC096E">
      <w:pPr>
        <w:jc w:val="both"/>
        <w:rPr>
          <w:b/>
          <w:i/>
          <w:sz w:val="24"/>
          <w:szCs w:val="24"/>
        </w:rPr>
      </w:pPr>
    </w:p>
    <w:p w:rsidR="00D87489" w:rsidRDefault="00D87489" w:rsidP="00D73575">
      <w:pPr>
        <w:pStyle w:val="Corpo"/>
        <w:spacing w:line="240" w:lineRule="auto"/>
        <w:ind w:firstLine="0"/>
        <w:rPr>
          <w:rFonts w:ascii="Times New Roman" w:hAnsi="Times New Roman" w:cs="Times New Roman"/>
          <w:sz w:val="25"/>
          <w:szCs w:val="25"/>
          <w:u w:val="single"/>
          <w:lang w:val="pt-BR"/>
        </w:rPr>
      </w:pPr>
    </w:p>
    <w:p w:rsidR="00D87489" w:rsidRDefault="00D87489" w:rsidP="00D73575">
      <w:pPr>
        <w:pStyle w:val="Corpo"/>
        <w:spacing w:line="240" w:lineRule="auto"/>
        <w:ind w:firstLine="0"/>
        <w:rPr>
          <w:rFonts w:ascii="Times New Roman" w:hAnsi="Times New Roman" w:cs="Times New Roman"/>
          <w:sz w:val="25"/>
          <w:szCs w:val="25"/>
          <w:u w:val="single"/>
          <w:lang w:val="pt-BR"/>
        </w:rPr>
      </w:pPr>
    </w:p>
    <w:p w:rsidR="00D87489" w:rsidRDefault="00D87489" w:rsidP="00D73575">
      <w:pPr>
        <w:pStyle w:val="Corpo"/>
        <w:spacing w:line="240" w:lineRule="auto"/>
        <w:ind w:firstLine="0"/>
        <w:rPr>
          <w:rFonts w:ascii="Times New Roman" w:hAnsi="Times New Roman" w:cs="Times New Roman"/>
          <w:sz w:val="25"/>
          <w:szCs w:val="25"/>
          <w:u w:val="single"/>
          <w:lang w:val="pt-BR"/>
        </w:rPr>
      </w:pPr>
    </w:p>
    <w:p w:rsidR="00CE7555" w:rsidRPr="00CE7555" w:rsidRDefault="00CE7555" w:rsidP="00D73575">
      <w:pPr>
        <w:pStyle w:val="Corpo"/>
        <w:spacing w:line="240" w:lineRule="auto"/>
        <w:ind w:firstLine="0"/>
        <w:rPr>
          <w:rFonts w:ascii="Times New Roman" w:hAnsi="Times New Roman" w:cs="Times New Roman"/>
          <w:sz w:val="25"/>
          <w:szCs w:val="25"/>
          <w:u w:val="single"/>
          <w:lang w:val="pt-BR"/>
        </w:rPr>
      </w:pPr>
    </w:p>
    <w:p w:rsidR="004A5908" w:rsidRPr="00CE7555" w:rsidRDefault="004A5908" w:rsidP="00C54185">
      <w:pPr>
        <w:jc w:val="both"/>
        <w:rPr>
          <w:sz w:val="25"/>
          <w:szCs w:val="25"/>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1"/>
      <w:footerReference w:type="default" r:id="rId12"/>
      <w:headerReference w:type="first" r:id="rId13"/>
      <w:footerReference w:type="first" r:id="rId1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77" w:rsidRDefault="00781C77">
      <w:r>
        <w:separator/>
      </w:r>
    </w:p>
  </w:endnote>
  <w:endnote w:type="continuationSeparator" w:id="0">
    <w:p w:rsidR="00781C77" w:rsidRDefault="0078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71E3">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3E71E3">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77" w:rsidRDefault="00781C77">
      <w:r>
        <w:separator/>
      </w:r>
    </w:p>
  </w:footnote>
  <w:footnote w:type="continuationSeparator" w:id="0">
    <w:p w:rsidR="00781C77" w:rsidRDefault="0078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12</w:t>
    </w:r>
    <w:r w:rsidR="00AC096E">
      <w:rPr>
        <w:shadow/>
        <w:sz w:val="24"/>
        <w:szCs w:val="24"/>
      </w:rPr>
      <w:t>4</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 xml:space="preserve">Período: </w:t>
    </w:r>
    <w:r w:rsidR="00AC096E">
      <w:rPr>
        <w:i/>
        <w:iCs/>
      </w:rPr>
      <w:t>17</w:t>
    </w:r>
    <w:r w:rsidR="00494DD1">
      <w:rPr>
        <w:i/>
        <w:iCs/>
      </w:rPr>
      <w:t xml:space="preserve"> a </w:t>
    </w:r>
    <w:r w:rsidR="00AC096E">
      <w:rPr>
        <w:i/>
        <w:iCs/>
      </w:rPr>
      <w:t>23</w:t>
    </w:r>
    <w:r w:rsidR="00C51600">
      <w:rPr>
        <w:i/>
        <w:iCs/>
      </w:rPr>
      <w:t xml:space="preserve"> de novembro</w:t>
    </w:r>
    <w:r w:rsidR="00CE7555">
      <w:rPr>
        <w:i/>
        <w:iCs/>
      </w:rPr>
      <w:t xml:space="preserve">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12</w:t>
    </w:r>
    <w:r w:rsidR="00AC096E">
      <w:rPr>
        <w:b/>
        <w:sz w:val="40"/>
        <w:szCs w:val="40"/>
      </w:rPr>
      <w:t>4</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AC096E">
      <w:rPr>
        <w:i/>
        <w:iCs/>
      </w:rPr>
      <w:t>17</w:t>
    </w:r>
    <w:r w:rsidR="00C51600">
      <w:rPr>
        <w:i/>
        <w:iCs/>
      </w:rPr>
      <w:t xml:space="preserve"> a </w:t>
    </w:r>
    <w:r w:rsidR="00AC096E">
      <w:rPr>
        <w:i/>
        <w:iCs/>
      </w:rPr>
      <w:t xml:space="preserve">23 </w:t>
    </w:r>
    <w:r w:rsidR="00C51600">
      <w:rPr>
        <w:i/>
        <w:iCs/>
      </w:rPr>
      <w:t>de novembro</w:t>
    </w:r>
    <w:r w:rsidR="00BC54BC">
      <w:rPr>
        <w:i/>
        <w:iCs/>
      </w:rPr>
      <w:t xml:space="preserve">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6752"/>
    <w:rsid w:val="0005765E"/>
    <w:rsid w:val="00057B87"/>
    <w:rsid w:val="0006020E"/>
    <w:rsid w:val="000733B4"/>
    <w:rsid w:val="00073880"/>
    <w:rsid w:val="00075BDB"/>
    <w:rsid w:val="00080F10"/>
    <w:rsid w:val="000858FB"/>
    <w:rsid w:val="0009237D"/>
    <w:rsid w:val="00093AE9"/>
    <w:rsid w:val="00093BA8"/>
    <w:rsid w:val="000A04E6"/>
    <w:rsid w:val="000A4C94"/>
    <w:rsid w:val="000B2973"/>
    <w:rsid w:val="000B4D41"/>
    <w:rsid w:val="000B67DF"/>
    <w:rsid w:val="000B7CDE"/>
    <w:rsid w:val="000C3022"/>
    <w:rsid w:val="000C58F4"/>
    <w:rsid w:val="000C5AC6"/>
    <w:rsid w:val="000C672B"/>
    <w:rsid w:val="000E0A91"/>
    <w:rsid w:val="000E1DC1"/>
    <w:rsid w:val="000E7CBE"/>
    <w:rsid w:val="0011575C"/>
    <w:rsid w:val="0011692E"/>
    <w:rsid w:val="00137564"/>
    <w:rsid w:val="00137DC1"/>
    <w:rsid w:val="00141630"/>
    <w:rsid w:val="00142C28"/>
    <w:rsid w:val="0015612D"/>
    <w:rsid w:val="00161CDE"/>
    <w:rsid w:val="00163142"/>
    <w:rsid w:val="00176D15"/>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204C97"/>
    <w:rsid w:val="00206810"/>
    <w:rsid w:val="002168DE"/>
    <w:rsid w:val="00224AC2"/>
    <w:rsid w:val="0023559D"/>
    <w:rsid w:val="002402B0"/>
    <w:rsid w:val="002449F9"/>
    <w:rsid w:val="00257B4A"/>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3397A"/>
    <w:rsid w:val="00342846"/>
    <w:rsid w:val="00352B27"/>
    <w:rsid w:val="0035374D"/>
    <w:rsid w:val="00363255"/>
    <w:rsid w:val="0036325E"/>
    <w:rsid w:val="003671FE"/>
    <w:rsid w:val="003708FD"/>
    <w:rsid w:val="003745DE"/>
    <w:rsid w:val="0037667D"/>
    <w:rsid w:val="00380212"/>
    <w:rsid w:val="00383A89"/>
    <w:rsid w:val="00384075"/>
    <w:rsid w:val="003908C5"/>
    <w:rsid w:val="00396053"/>
    <w:rsid w:val="003A4086"/>
    <w:rsid w:val="003A5E5B"/>
    <w:rsid w:val="003B045C"/>
    <w:rsid w:val="003B0538"/>
    <w:rsid w:val="003B0A59"/>
    <w:rsid w:val="003B3EB5"/>
    <w:rsid w:val="003B4E23"/>
    <w:rsid w:val="003B767E"/>
    <w:rsid w:val="003C0554"/>
    <w:rsid w:val="003C1AB7"/>
    <w:rsid w:val="003C6FE7"/>
    <w:rsid w:val="003D032E"/>
    <w:rsid w:val="003D4205"/>
    <w:rsid w:val="003E71E3"/>
    <w:rsid w:val="003F2078"/>
    <w:rsid w:val="0042772A"/>
    <w:rsid w:val="004323B0"/>
    <w:rsid w:val="00444E88"/>
    <w:rsid w:val="004477EC"/>
    <w:rsid w:val="00450BAD"/>
    <w:rsid w:val="0045657C"/>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0B1B"/>
    <w:rsid w:val="0070727E"/>
    <w:rsid w:val="00710D3A"/>
    <w:rsid w:val="0071315F"/>
    <w:rsid w:val="00721942"/>
    <w:rsid w:val="00722BE7"/>
    <w:rsid w:val="00732DF2"/>
    <w:rsid w:val="007614F1"/>
    <w:rsid w:val="007618C5"/>
    <w:rsid w:val="00764066"/>
    <w:rsid w:val="00766B7B"/>
    <w:rsid w:val="00776118"/>
    <w:rsid w:val="00781C77"/>
    <w:rsid w:val="007B0F83"/>
    <w:rsid w:val="007C0A4F"/>
    <w:rsid w:val="007D29A1"/>
    <w:rsid w:val="007D469A"/>
    <w:rsid w:val="007E0EA7"/>
    <w:rsid w:val="007E3F23"/>
    <w:rsid w:val="007F142E"/>
    <w:rsid w:val="007F66BC"/>
    <w:rsid w:val="007F7B5E"/>
    <w:rsid w:val="00802B1A"/>
    <w:rsid w:val="00805CD2"/>
    <w:rsid w:val="0080615C"/>
    <w:rsid w:val="0081027F"/>
    <w:rsid w:val="0081742D"/>
    <w:rsid w:val="00817AB1"/>
    <w:rsid w:val="00821F4D"/>
    <w:rsid w:val="00823906"/>
    <w:rsid w:val="008409D3"/>
    <w:rsid w:val="00845559"/>
    <w:rsid w:val="00854DB8"/>
    <w:rsid w:val="00854EF2"/>
    <w:rsid w:val="008627C6"/>
    <w:rsid w:val="00863B86"/>
    <w:rsid w:val="00871F69"/>
    <w:rsid w:val="008842D0"/>
    <w:rsid w:val="00884AC4"/>
    <w:rsid w:val="0088579D"/>
    <w:rsid w:val="008A4AFF"/>
    <w:rsid w:val="008A68E7"/>
    <w:rsid w:val="008A7953"/>
    <w:rsid w:val="008B3081"/>
    <w:rsid w:val="008B32D4"/>
    <w:rsid w:val="008C7AD0"/>
    <w:rsid w:val="008D0020"/>
    <w:rsid w:val="008D3C38"/>
    <w:rsid w:val="008D3C4B"/>
    <w:rsid w:val="008D6A05"/>
    <w:rsid w:val="008E2AE5"/>
    <w:rsid w:val="008E3F89"/>
    <w:rsid w:val="008F26CB"/>
    <w:rsid w:val="008F6509"/>
    <w:rsid w:val="008F79D9"/>
    <w:rsid w:val="009027C8"/>
    <w:rsid w:val="0093467A"/>
    <w:rsid w:val="009353F1"/>
    <w:rsid w:val="0094155C"/>
    <w:rsid w:val="00951531"/>
    <w:rsid w:val="00960A3B"/>
    <w:rsid w:val="00967DE0"/>
    <w:rsid w:val="00971E07"/>
    <w:rsid w:val="00980944"/>
    <w:rsid w:val="00986D77"/>
    <w:rsid w:val="00993A6E"/>
    <w:rsid w:val="009943EC"/>
    <w:rsid w:val="009A32D5"/>
    <w:rsid w:val="009B6012"/>
    <w:rsid w:val="009C102D"/>
    <w:rsid w:val="009C2A4F"/>
    <w:rsid w:val="009D4C59"/>
    <w:rsid w:val="009D7F91"/>
    <w:rsid w:val="009E20EF"/>
    <w:rsid w:val="009E26EE"/>
    <w:rsid w:val="009F21A2"/>
    <w:rsid w:val="00A00D70"/>
    <w:rsid w:val="00A00DEE"/>
    <w:rsid w:val="00A32FBF"/>
    <w:rsid w:val="00A407EA"/>
    <w:rsid w:val="00A51749"/>
    <w:rsid w:val="00A521B6"/>
    <w:rsid w:val="00A56962"/>
    <w:rsid w:val="00A6412C"/>
    <w:rsid w:val="00A75419"/>
    <w:rsid w:val="00A76661"/>
    <w:rsid w:val="00A76D2A"/>
    <w:rsid w:val="00A82081"/>
    <w:rsid w:val="00A8557E"/>
    <w:rsid w:val="00A91181"/>
    <w:rsid w:val="00A935AC"/>
    <w:rsid w:val="00AA3DE0"/>
    <w:rsid w:val="00AB299E"/>
    <w:rsid w:val="00AB507C"/>
    <w:rsid w:val="00AC096E"/>
    <w:rsid w:val="00AD6E76"/>
    <w:rsid w:val="00AE3EAA"/>
    <w:rsid w:val="00AE5EDF"/>
    <w:rsid w:val="00AE758A"/>
    <w:rsid w:val="00B06261"/>
    <w:rsid w:val="00B14F7F"/>
    <w:rsid w:val="00B16EB9"/>
    <w:rsid w:val="00B22F24"/>
    <w:rsid w:val="00B22F53"/>
    <w:rsid w:val="00B24DBE"/>
    <w:rsid w:val="00B34EB2"/>
    <w:rsid w:val="00B4728A"/>
    <w:rsid w:val="00B517C3"/>
    <w:rsid w:val="00B518B2"/>
    <w:rsid w:val="00B526EA"/>
    <w:rsid w:val="00B536FE"/>
    <w:rsid w:val="00B73FFA"/>
    <w:rsid w:val="00B74A6E"/>
    <w:rsid w:val="00B82CC4"/>
    <w:rsid w:val="00B838C3"/>
    <w:rsid w:val="00B874F1"/>
    <w:rsid w:val="00BC1DE7"/>
    <w:rsid w:val="00BC2C67"/>
    <w:rsid w:val="00BC54BC"/>
    <w:rsid w:val="00BC5AEE"/>
    <w:rsid w:val="00BD2A95"/>
    <w:rsid w:val="00BD2CA9"/>
    <w:rsid w:val="00BD6029"/>
    <w:rsid w:val="00BE0541"/>
    <w:rsid w:val="00BE1ADB"/>
    <w:rsid w:val="00BF0693"/>
    <w:rsid w:val="00C070DE"/>
    <w:rsid w:val="00C26DFB"/>
    <w:rsid w:val="00C273FA"/>
    <w:rsid w:val="00C30D06"/>
    <w:rsid w:val="00C42067"/>
    <w:rsid w:val="00C432D0"/>
    <w:rsid w:val="00C4398E"/>
    <w:rsid w:val="00C51600"/>
    <w:rsid w:val="00C54185"/>
    <w:rsid w:val="00C57E92"/>
    <w:rsid w:val="00C60B4A"/>
    <w:rsid w:val="00C65BDB"/>
    <w:rsid w:val="00C66C95"/>
    <w:rsid w:val="00C71A3B"/>
    <w:rsid w:val="00C76CFA"/>
    <w:rsid w:val="00C819C8"/>
    <w:rsid w:val="00C87D5B"/>
    <w:rsid w:val="00C963F8"/>
    <w:rsid w:val="00C96BB1"/>
    <w:rsid w:val="00CA2F80"/>
    <w:rsid w:val="00CB0C2A"/>
    <w:rsid w:val="00CC4B2B"/>
    <w:rsid w:val="00CC579C"/>
    <w:rsid w:val="00CC5F5F"/>
    <w:rsid w:val="00CC6BEC"/>
    <w:rsid w:val="00CC743B"/>
    <w:rsid w:val="00CD3460"/>
    <w:rsid w:val="00CD44C9"/>
    <w:rsid w:val="00CD4B61"/>
    <w:rsid w:val="00CD5043"/>
    <w:rsid w:val="00CE2928"/>
    <w:rsid w:val="00CE314A"/>
    <w:rsid w:val="00CE5865"/>
    <w:rsid w:val="00CE7555"/>
    <w:rsid w:val="00CF3D9D"/>
    <w:rsid w:val="00D01C50"/>
    <w:rsid w:val="00D11B24"/>
    <w:rsid w:val="00D11C18"/>
    <w:rsid w:val="00D133C8"/>
    <w:rsid w:val="00D14DB8"/>
    <w:rsid w:val="00D17339"/>
    <w:rsid w:val="00D244D5"/>
    <w:rsid w:val="00D2776A"/>
    <w:rsid w:val="00D413DB"/>
    <w:rsid w:val="00D420E2"/>
    <w:rsid w:val="00D4459D"/>
    <w:rsid w:val="00D573F9"/>
    <w:rsid w:val="00D6058B"/>
    <w:rsid w:val="00D62D9E"/>
    <w:rsid w:val="00D63EC5"/>
    <w:rsid w:val="00D64BC3"/>
    <w:rsid w:val="00D72C05"/>
    <w:rsid w:val="00D73575"/>
    <w:rsid w:val="00D735BF"/>
    <w:rsid w:val="00D77672"/>
    <w:rsid w:val="00D80222"/>
    <w:rsid w:val="00D847CF"/>
    <w:rsid w:val="00D87489"/>
    <w:rsid w:val="00DA0A99"/>
    <w:rsid w:val="00DA0A9D"/>
    <w:rsid w:val="00DA7603"/>
    <w:rsid w:val="00DA7E39"/>
    <w:rsid w:val="00DA7EDE"/>
    <w:rsid w:val="00DB0223"/>
    <w:rsid w:val="00DB047C"/>
    <w:rsid w:val="00DC0AB5"/>
    <w:rsid w:val="00DC3451"/>
    <w:rsid w:val="00DC50EB"/>
    <w:rsid w:val="00DD19F4"/>
    <w:rsid w:val="00DD3FA0"/>
    <w:rsid w:val="00DE5B2D"/>
    <w:rsid w:val="00DE5CE9"/>
    <w:rsid w:val="00E03064"/>
    <w:rsid w:val="00E04BD5"/>
    <w:rsid w:val="00E070D2"/>
    <w:rsid w:val="00E100F5"/>
    <w:rsid w:val="00E1139A"/>
    <w:rsid w:val="00E1539C"/>
    <w:rsid w:val="00E162B6"/>
    <w:rsid w:val="00E16E01"/>
    <w:rsid w:val="00E24A50"/>
    <w:rsid w:val="00E31469"/>
    <w:rsid w:val="00E35639"/>
    <w:rsid w:val="00E432CC"/>
    <w:rsid w:val="00E50711"/>
    <w:rsid w:val="00E52522"/>
    <w:rsid w:val="00E531C9"/>
    <w:rsid w:val="00E60AD3"/>
    <w:rsid w:val="00E60EDA"/>
    <w:rsid w:val="00E62BBC"/>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1A9"/>
    <w:rsid w:val="00EF38E1"/>
    <w:rsid w:val="00EF749A"/>
    <w:rsid w:val="00EF771E"/>
    <w:rsid w:val="00F02565"/>
    <w:rsid w:val="00F05542"/>
    <w:rsid w:val="00F06855"/>
    <w:rsid w:val="00F17A2C"/>
    <w:rsid w:val="00F21A70"/>
    <w:rsid w:val="00F26708"/>
    <w:rsid w:val="00F45608"/>
    <w:rsid w:val="00F511EE"/>
    <w:rsid w:val="00F55574"/>
    <w:rsid w:val="00F558E7"/>
    <w:rsid w:val="00F62016"/>
    <w:rsid w:val="00F63F44"/>
    <w:rsid w:val="00F6746D"/>
    <w:rsid w:val="00F811CD"/>
    <w:rsid w:val="00F82D8F"/>
    <w:rsid w:val="00F83F62"/>
    <w:rsid w:val="00F9711D"/>
    <w:rsid w:val="00FA011F"/>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240&amp;digitoTst=03&amp;anoTst=2012&amp;orgaoTst=5&amp;tribunalTst=04&amp;varaTst=00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licacao4.tst.jus.br/consultaProcessual/consultaTstNumUnica.do?consulta=Consultar&amp;conscsjt=&amp;numeroTst=6510&amp;digitoTst=36&amp;anoTst=2013&amp;orgaoTst=5&amp;tribunalTst=15&amp;varaTst=0000"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825&amp;digitoTst=12&amp;anoTst=2010&amp;orgaoTst=5&amp;tribunalTst=09&amp;varaTst=000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7635-D47E-4484-86E6-409CDD7F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5634</CharactersWithSpaces>
  <SharedDoc>false</SharedDoc>
  <HLinks>
    <vt:vector size="18" baseType="variant">
      <vt:variant>
        <vt:i4>2424949</vt:i4>
      </vt:variant>
      <vt:variant>
        <vt:i4>6</vt:i4>
      </vt:variant>
      <vt:variant>
        <vt:i4>0</vt:i4>
      </vt:variant>
      <vt:variant>
        <vt:i4>5</vt:i4>
      </vt:variant>
      <vt:variant>
        <vt:lpwstr>http://aplicacao4.tst.jus.br/consultaProcessual/consultaTstNumUnica.do?consulta=Consultar&amp;conscsjt=&amp;numeroTst=6510&amp;digitoTst=36&amp;anoTst=2013&amp;orgaoTst=5&amp;tribunalTst=15&amp;varaTst=0000</vt:lpwstr>
      </vt:variant>
      <vt:variant>
        <vt:lpwstr/>
      </vt:variant>
      <vt:variant>
        <vt:i4>5636099</vt:i4>
      </vt:variant>
      <vt:variant>
        <vt:i4>3</vt:i4>
      </vt:variant>
      <vt:variant>
        <vt:i4>0</vt:i4>
      </vt:variant>
      <vt:variant>
        <vt:i4>5</vt:i4>
      </vt:variant>
      <vt:variant>
        <vt:lpwstr>http://aplicacao4.tst.jus.br/consultaProcessual/consultaTstNumUnica.do?consulta=Consultar&amp;conscsjt=&amp;numeroTst=825&amp;digitoTst=12&amp;anoTst=2010&amp;orgaoTst=5&amp;tribunalTst=09&amp;varaTst=0003</vt:lpwstr>
      </vt:variant>
      <vt:variant>
        <vt:lpwstr/>
      </vt:variant>
      <vt:variant>
        <vt:i4>6225933</vt:i4>
      </vt:variant>
      <vt:variant>
        <vt:i4>0</vt:i4>
      </vt:variant>
      <vt:variant>
        <vt:i4>0</vt:i4>
      </vt:variant>
      <vt:variant>
        <vt:i4>5</vt:i4>
      </vt:variant>
      <vt:variant>
        <vt:lpwstr>http://aplicacao4.tst.jus.br/consultaProcessual/consultaTstNumUnica.do?consulta=Consultar&amp;conscsjt=&amp;numeroTst=240&amp;digitoTst=03&amp;anoTst=2012&amp;orgaoTst=5&amp;tribunalTst=04&amp;varaTst=0011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2015-11-24T18:05:00Z</cp:lastPrinted>
  <dcterms:created xsi:type="dcterms:W3CDTF">2018-06-27T21:49:00Z</dcterms:created>
  <dcterms:modified xsi:type="dcterms:W3CDTF">2018-06-27T21:49:00Z</dcterms:modified>
</cp:coreProperties>
</file>