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CE7555" w:rsidRDefault="00FB20B1">
      <w:pPr>
        <w:rPr>
          <w:sz w:val="25"/>
          <w:szCs w:val="25"/>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E531C9" w:rsidRPr="00E531C9" w:rsidRDefault="00E531C9" w:rsidP="00DC50EB">
            <w:pPr>
              <w:pStyle w:val="Cabealho"/>
              <w:tabs>
                <w:tab w:val="clear" w:pos="4419"/>
                <w:tab w:val="clear" w:pos="8838"/>
              </w:tabs>
              <w:jc w:val="both"/>
              <w:rPr>
                <w:sz w:val="10"/>
                <w:szCs w:val="10"/>
              </w:rPr>
            </w:pPr>
          </w:p>
        </w:tc>
      </w:tr>
    </w:tbl>
    <w:p w:rsidR="00E531C9" w:rsidRPr="00971E07" w:rsidRDefault="00E531C9" w:rsidP="00E531C9">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ÓRGÃO ESPECIAL</w:t>
      </w:r>
    </w:p>
    <w:p w:rsidR="00E531C9" w:rsidRPr="00494DD1" w:rsidRDefault="00E531C9" w:rsidP="00E531C9">
      <w:pPr>
        <w:pStyle w:val="Corpodetexto2"/>
        <w:jc w:val="center"/>
        <w:rPr>
          <w:b/>
          <w:bCs/>
          <w:emboss/>
          <w:sz w:val="20"/>
          <w:szCs w:val="20"/>
        </w:rPr>
      </w:pPr>
    </w:p>
    <w:p w:rsidR="00E531C9" w:rsidRPr="003E099F" w:rsidRDefault="00E531C9" w:rsidP="00E531C9">
      <w:pPr>
        <w:jc w:val="both"/>
        <w:rPr>
          <w:b/>
          <w:i/>
          <w:sz w:val="24"/>
          <w:szCs w:val="24"/>
        </w:rPr>
      </w:pPr>
      <w:r>
        <w:rPr>
          <w:b/>
          <w:i/>
          <w:sz w:val="24"/>
          <w:szCs w:val="24"/>
        </w:rPr>
        <w:t xml:space="preserve">Metrô/DF. Liminar em mandado de segurança mantendo a antecipação de tutela em ação civil pública. Nomeação compulsória de candidatos aprovados em concurso público. Identidade de atribuições entre terceirizados e concursados não comprovada. Limitação orçamentária. </w:t>
      </w:r>
      <w:r w:rsidRPr="003E099F">
        <w:rPr>
          <w:b/>
          <w:i/>
          <w:sz w:val="24"/>
          <w:szCs w:val="24"/>
        </w:rPr>
        <w:t xml:space="preserve"> Suspensão </w:t>
      </w:r>
      <w:r>
        <w:rPr>
          <w:b/>
          <w:i/>
          <w:sz w:val="24"/>
          <w:szCs w:val="24"/>
        </w:rPr>
        <w:t>d</w:t>
      </w:r>
      <w:r w:rsidRPr="003E099F">
        <w:rPr>
          <w:b/>
          <w:i/>
          <w:sz w:val="24"/>
          <w:szCs w:val="24"/>
        </w:rPr>
        <w:t xml:space="preserve">eferida. </w:t>
      </w:r>
    </w:p>
    <w:p w:rsidR="00E531C9" w:rsidRDefault="00E531C9" w:rsidP="00E531C9">
      <w:pPr>
        <w:pStyle w:val="Corpo"/>
        <w:spacing w:line="240" w:lineRule="auto"/>
        <w:ind w:firstLine="0"/>
        <w:rPr>
          <w:rFonts w:ascii="Times New Roman" w:eastAsia="Calibri" w:hAnsi="Times New Roman" w:cs="Times New Roman"/>
          <w:color w:val="auto"/>
          <w:u w:val="single"/>
          <w:lang w:val="pt-BR" w:eastAsia="en-US"/>
        </w:rPr>
      </w:pPr>
      <w:r w:rsidRPr="003E099F">
        <w:rPr>
          <w:rFonts w:ascii="Times New Roman" w:eastAsia="Calibri" w:hAnsi="Times New Roman" w:cs="Times New Roman"/>
          <w:color w:val="auto"/>
          <w:lang w:val="pt-BR" w:eastAsia="en-US"/>
        </w:rPr>
        <w:t>O pedido de suspensão de liminar ou de sentença prolatada contra o Poder Público não tem natureza recursal</w:t>
      </w:r>
      <w:r>
        <w:rPr>
          <w:rFonts w:ascii="Times New Roman" w:eastAsia="Calibri" w:hAnsi="Times New Roman" w:cs="Times New Roman"/>
          <w:color w:val="auto"/>
          <w:lang w:val="pt-BR" w:eastAsia="en-US"/>
        </w:rPr>
        <w:t xml:space="preserve"> e</w:t>
      </w:r>
      <w:r w:rsidRPr="003E099F">
        <w:rPr>
          <w:rFonts w:ascii="Times New Roman" w:eastAsia="Calibri" w:hAnsi="Times New Roman" w:cs="Times New Roman"/>
          <w:color w:val="auto"/>
          <w:lang w:val="pt-BR" w:eastAsia="en-US"/>
        </w:rPr>
        <w:t xml:space="preserve"> há de ser examinado a partir da verificação de que a alegada lesão a bens jurídicos tenha sido grave</w:t>
      </w:r>
      <w:r>
        <w:rPr>
          <w:rFonts w:ascii="Times New Roman" w:eastAsia="Calibri" w:hAnsi="Times New Roman" w:cs="Times New Roman"/>
          <w:color w:val="auto"/>
          <w:lang w:val="pt-BR" w:eastAsia="en-US"/>
        </w:rPr>
        <w:t xml:space="preserve"> (</w:t>
      </w:r>
      <w:r w:rsidRPr="003E099F">
        <w:rPr>
          <w:rFonts w:ascii="Times New Roman" w:eastAsia="Calibri" w:hAnsi="Times New Roman" w:cs="Times New Roman"/>
          <w:color w:val="auto"/>
          <w:lang w:val="pt-BR" w:eastAsia="en-US"/>
        </w:rPr>
        <w:t>art. 4º, da Lei 8.437/92 e art. 15, da Lei nº 12.016/2009</w:t>
      </w:r>
      <w:r>
        <w:rPr>
          <w:rFonts w:ascii="Times New Roman" w:eastAsia="Calibri" w:hAnsi="Times New Roman" w:cs="Times New Roman"/>
          <w:color w:val="auto"/>
          <w:lang w:val="pt-BR" w:eastAsia="en-US"/>
        </w:rPr>
        <w:t>). No caso concreto,</w:t>
      </w:r>
      <w:r w:rsidRPr="003E099F">
        <w:rPr>
          <w:rFonts w:ascii="Times New Roman" w:eastAsia="Calibri" w:hAnsi="Times New Roman" w:cs="Times New Roman"/>
          <w:color w:val="auto"/>
          <w:lang w:val="pt-BR" w:eastAsia="en-US"/>
        </w:rPr>
        <w:t xml:space="preserve"> o M</w:t>
      </w:r>
      <w:r>
        <w:rPr>
          <w:rFonts w:ascii="Times New Roman" w:eastAsia="Calibri" w:hAnsi="Times New Roman" w:cs="Times New Roman"/>
          <w:color w:val="auto"/>
          <w:lang w:val="pt-BR" w:eastAsia="en-US"/>
        </w:rPr>
        <w:t>inistério Público do Trabalho</w:t>
      </w:r>
      <w:r w:rsidRPr="003E099F">
        <w:rPr>
          <w:rFonts w:ascii="Times New Roman" w:eastAsia="Calibri" w:hAnsi="Times New Roman" w:cs="Times New Roman"/>
          <w:color w:val="auto"/>
          <w:lang w:val="pt-BR" w:eastAsia="en-US"/>
        </w:rPr>
        <w:t xml:space="preserve"> ajuiz</w:t>
      </w:r>
      <w:r>
        <w:rPr>
          <w:rFonts w:ascii="Times New Roman" w:eastAsia="Calibri" w:hAnsi="Times New Roman" w:cs="Times New Roman"/>
          <w:color w:val="auto"/>
          <w:lang w:val="pt-BR" w:eastAsia="en-US"/>
        </w:rPr>
        <w:t>ou ação civil pública em face do</w:t>
      </w:r>
      <w:r w:rsidRPr="003E099F">
        <w:rPr>
          <w:rFonts w:ascii="Times New Roman" w:eastAsia="Calibri" w:hAnsi="Times New Roman" w:cs="Times New Roman"/>
          <w:color w:val="auto"/>
          <w:lang w:val="pt-BR" w:eastAsia="en-US"/>
        </w:rPr>
        <w:t xml:space="preserve"> M</w:t>
      </w:r>
      <w:r>
        <w:rPr>
          <w:rFonts w:ascii="Times New Roman" w:eastAsia="Calibri" w:hAnsi="Times New Roman" w:cs="Times New Roman"/>
          <w:color w:val="auto"/>
          <w:lang w:val="pt-BR" w:eastAsia="en-US"/>
        </w:rPr>
        <w:t>etrô</w:t>
      </w:r>
      <w:r w:rsidRPr="003E099F">
        <w:rPr>
          <w:rFonts w:ascii="Times New Roman" w:eastAsia="Calibri" w:hAnsi="Times New Roman" w:cs="Times New Roman"/>
          <w:color w:val="auto"/>
          <w:lang w:val="pt-BR" w:eastAsia="en-US"/>
        </w:rPr>
        <w:t>/DF para que</w:t>
      </w:r>
      <w:r>
        <w:rPr>
          <w:rFonts w:ascii="Times New Roman" w:eastAsia="Calibri" w:hAnsi="Times New Roman" w:cs="Times New Roman"/>
          <w:color w:val="auto"/>
          <w:lang w:val="pt-BR" w:eastAsia="en-US"/>
        </w:rPr>
        <w:t xml:space="preserve"> este</w:t>
      </w:r>
      <w:r w:rsidRPr="003E099F">
        <w:rPr>
          <w:rFonts w:ascii="Times New Roman" w:eastAsia="Calibri" w:hAnsi="Times New Roman" w:cs="Times New Roman"/>
          <w:color w:val="auto"/>
          <w:lang w:val="pt-BR" w:eastAsia="en-US"/>
        </w:rPr>
        <w:t xml:space="preserve"> procedesse à nomeação/contratação de candidatos aprovados</w:t>
      </w:r>
      <w:r>
        <w:rPr>
          <w:rFonts w:ascii="Times New Roman" w:eastAsia="Calibri" w:hAnsi="Times New Roman" w:cs="Times New Roman"/>
          <w:color w:val="auto"/>
          <w:lang w:val="pt-BR" w:eastAsia="en-US"/>
        </w:rPr>
        <w:t xml:space="preserve"> em concurso público. O J</w:t>
      </w:r>
      <w:r w:rsidRPr="003E099F">
        <w:rPr>
          <w:rFonts w:ascii="Times New Roman" w:eastAsia="Calibri" w:hAnsi="Times New Roman" w:cs="Times New Roman"/>
          <w:color w:val="auto"/>
          <w:lang w:val="pt-BR" w:eastAsia="en-US"/>
        </w:rPr>
        <w:t>uízo</w:t>
      </w:r>
      <w:r>
        <w:rPr>
          <w:rFonts w:ascii="Times New Roman" w:eastAsia="Calibri" w:hAnsi="Times New Roman" w:cs="Times New Roman"/>
          <w:color w:val="auto"/>
          <w:lang w:val="pt-BR" w:eastAsia="en-US"/>
        </w:rPr>
        <w:t xml:space="preserve"> de primeiro grau</w:t>
      </w:r>
      <w:r w:rsidRPr="003E099F">
        <w:rPr>
          <w:rFonts w:ascii="Times New Roman" w:eastAsia="Calibri" w:hAnsi="Times New Roman" w:cs="Times New Roman"/>
          <w:color w:val="auto"/>
          <w:lang w:val="pt-BR" w:eastAsia="en-US"/>
        </w:rPr>
        <w:t xml:space="preserve"> deferiu a antecipação da tutela para determinar a contratação no prazo de dez dias. Contra </w:t>
      </w:r>
      <w:r>
        <w:rPr>
          <w:rFonts w:ascii="Times New Roman" w:eastAsia="Calibri" w:hAnsi="Times New Roman" w:cs="Times New Roman"/>
          <w:color w:val="auto"/>
          <w:lang w:val="pt-BR" w:eastAsia="en-US"/>
        </w:rPr>
        <w:t>a tutela antecipada</w:t>
      </w:r>
      <w:r w:rsidRPr="003E099F">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o Metrô</w:t>
      </w:r>
      <w:r w:rsidRPr="003E099F">
        <w:rPr>
          <w:rFonts w:ascii="Times New Roman" w:eastAsia="Calibri" w:hAnsi="Times New Roman" w:cs="Times New Roman"/>
          <w:color w:val="auto"/>
          <w:lang w:val="pt-BR" w:eastAsia="en-US"/>
        </w:rPr>
        <w:t xml:space="preserve">/DF impetrou </w:t>
      </w:r>
      <w:r>
        <w:rPr>
          <w:rFonts w:ascii="Times New Roman" w:eastAsia="Calibri" w:hAnsi="Times New Roman" w:cs="Times New Roman"/>
          <w:color w:val="auto"/>
          <w:lang w:val="pt-BR" w:eastAsia="en-US"/>
        </w:rPr>
        <w:t>m</w:t>
      </w:r>
      <w:r w:rsidRPr="003E099F">
        <w:rPr>
          <w:rFonts w:ascii="Times New Roman" w:eastAsia="Calibri" w:hAnsi="Times New Roman" w:cs="Times New Roman"/>
          <w:color w:val="auto"/>
          <w:lang w:val="pt-BR" w:eastAsia="en-US"/>
        </w:rPr>
        <w:t xml:space="preserve">andado de </w:t>
      </w:r>
      <w:r>
        <w:rPr>
          <w:rFonts w:ascii="Times New Roman" w:eastAsia="Calibri" w:hAnsi="Times New Roman" w:cs="Times New Roman"/>
          <w:color w:val="auto"/>
          <w:lang w:val="pt-BR" w:eastAsia="en-US"/>
        </w:rPr>
        <w:t>s</w:t>
      </w:r>
      <w:r w:rsidRPr="003E099F">
        <w:rPr>
          <w:rFonts w:ascii="Times New Roman" w:eastAsia="Calibri" w:hAnsi="Times New Roman" w:cs="Times New Roman"/>
          <w:color w:val="auto"/>
          <w:lang w:val="pt-BR" w:eastAsia="en-US"/>
        </w:rPr>
        <w:t xml:space="preserve">egurança, </w:t>
      </w:r>
      <w:r>
        <w:rPr>
          <w:rFonts w:ascii="Times New Roman" w:eastAsia="Calibri" w:hAnsi="Times New Roman" w:cs="Times New Roman"/>
          <w:color w:val="auto"/>
          <w:lang w:val="pt-BR" w:eastAsia="en-US"/>
        </w:rPr>
        <w:t xml:space="preserve">mas a ordem fora mantida pelo </w:t>
      </w:r>
      <w:r w:rsidRPr="003E099F">
        <w:rPr>
          <w:rFonts w:ascii="Times New Roman" w:eastAsia="Calibri" w:hAnsi="Times New Roman" w:cs="Times New Roman"/>
          <w:color w:val="auto"/>
          <w:lang w:val="pt-BR" w:eastAsia="en-US"/>
        </w:rPr>
        <w:t>TRT da 10ª Região</w:t>
      </w:r>
      <w:r>
        <w:rPr>
          <w:rFonts w:ascii="Times New Roman" w:eastAsia="Calibri" w:hAnsi="Times New Roman" w:cs="Times New Roman"/>
          <w:color w:val="auto"/>
          <w:lang w:val="pt-BR" w:eastAsia="en-US"/>
        </w:rPr>
        <w:t xml:space="preserve">, que apenas ampliou o prazo para </w:t>
      </w:r>
      <w:r w:rsidRPr="003E099F">
        <w:rPr>
          <w:rFonts w:ascii="Times New Roman" w:eastAsia="Calibri" w:hAnsi="Times New Roman" w:cs="Times New Roman"/>
          <w:color w:val="auto"/>
          <w:lang w:val="pt-BR" w:eastAsia="en-US"/>
        </w:rPr>
        <w:t>sessenta dias.</w:t>
      </w:r>
      <w:r>
        <w:rPr>
          <w:rFonts w:ascii="Times New Roman" w:eastAsia="Calibri" w:hAnsi="Times New Roman" w:cs="Times New Roman"/>
          <w:color w:val="auto"/>
          <w:lang w:val="pt-BR" w:eastAsia="en-US"/>
        </w:rPr>
        <w:t xml:space="preserve"> A empresa, então, </w:t>
      </w:r>
      <w:r w:rsidRPr="003E099F">
        <w:rPr>
          <w:rFonts w:ascii="Times New Roman" w:eastAsia="Calibri" w:hAnsi="Times New Roman" w:cs="Times New Roman"/>
          <w:color w:val="auto"/>
          <w:lang w:val="pt-BR" w:eastAsia="en-US"/>
        </w:rPr>
        <w:t>requere</w:t>
      </w:r>
      <w:r>
        <w:rPr>
          <w:rFonts w:ascii="Times New Roman" w:eastAsia="Calibri" w:hAnsi="Times New Roman" w:cs="Times New Roman"/>
          <w:color w:val="auto"/>
          <w:lang w:val="pt-BR" w:eastAsia="en-US"/>
        </w:rPr>
        <w:t xml:space="preserve">u </w:t>
      </w:r>
      <w:r w:rsidRPr="003E099F">
        <w:rPr>
          <w:rFonts w:ascii="Times New Roman" w:eastAsia="Calibri" w:hAnsi="Times New Roman" w:cs="Times New Roman"/>
          <w:color w:val="auto"/>
          <w:lang w:val="pt-BR" w:eastAsia="en-US"/>
        </w:rPr>
        <w:t>a c</w:t>
      </w:r>
      <w:r>
        <w:rPr>
          <w:rFonts w:ascii="Times New Roman" w:eastAsia="Calibri" w:hAnsi="Times New Roman" w:cs="Times New Roman"/>
          <w:color w:val="auto"/>
          <w:lang w:val="pt-BR" w:eastAsia="en-US"/>
        </w:rPr>
        <w:t>oncessão de efeito suspensivo, o qual foi deferido pela P</w:t>
      </w:r>
      <w:r w:rsidRPr="003E099F">
        <w:rPr>
          <w:rFonts w:ascii="Times New Roman" w:eastAsia="Calibri" w:hAnsi="Times New Roman" w:cs="Times New Roman"/>
          <w:color w:val="auto"/>
          <w:lang w:val="pt-BR" w:eastAsia="en-US"/>
        </w:rPr>
        <w:t>residência do TST</w:t>
      </w:r>
      <w:r>
        <w:rPr>
          <w:rFonts w:ascii="Times New Roman" w:eastAsia="Calibri" w:hAnsi="Times New Roman" w:cs="Times New Roman"/>
          <w:color w:val="auto"/>
          <w:lang w:val="pt-BR" w:eastAsia="en-US"/>
        </w:rPr>
        <w:t xml:space="preserve">, ante a constatação de não ter sido comprovada a identidade de atribuições de terceirizados e concursados, a limitação orçamentária do Distrito Federal, bem como parecer do TCDF pela impossibilidade de novas contratações em observância à Lei de Responsabilidade Fiscal. Assim, subsistindo os motivos que levaram à suspensão da segurança, </w:t>
      </w:r>
      <w:r w:rsidRPr="003E099F">
        <w:rPr>
          <w:rFonts w:ascii="Times New Roman" w:eastAsia="Calibri" w:hAnsi="Times New Roman" w:cs="Times New Roman"/>
          <w:color w:val="auto"/>
          <w:lang w:val="pt-BR" w:eastAsia="en-US"/>
        </w:rPr>
        <w:t>o Órgão Especial, por unanimidade, negou provimento aos agravos regimentais interpostos pelo Ministério Público do Trabalho e S</w:t>
      </w:r>
      <w:r>
        <w:rPr>
          <w:rFonts w:ascii="Times New Roman" w:eastAsia="Calibri" w:hAnsi="Times New Roman" w:cs="Times New Roman"/>
          <w:color w:val="auto"/>
          <w:lang w:val="pt-BR" w:eastAsia="en-US"/>
        </w:rPr>
        <w:t>indmetrô</w:t>
      </w:r>
      <w:r w:rsidRPr="003E099F">
        <w:rPr>
          <w:rFonts w:ascii="Times New Roman" w:eastAsia="Calibri" w:hAnsi="Times New Roman" w:cs="Times New Roman"/>
          <w:color w:val="auto"/>
          <w:lang w:val="pt-BR" w:eastAsia="en-US"/>
        </w:rPr>
        <w:t>-DF</w:t>
      </w:r>
      <w:r>
        <w:rPr>
          <w:rFonts w:ascii="Times New Roman" w:eastAsia="Calibri" w:hAnsi="Times New Roman" w:cs="Times New Roman"/>
          <w:color w:val="auto"/>
          <w:lang w:val="pt-BR" w:eastAsia="en-US"/>
        </w:rPr>
        <w:t xml:space="preserve">, mantendo a decisão monocrática do Presidente do TST que acolhera o pedido de efeito suspensivo, devendo a decisão prevalecer </w:t>
      </w:r>
      <w:r w:rsidRPr="0067577D">
        <w:rPr>
          <w:rFonts w:ascii="Times New Roman" w:eastAsia="Calibri" w:hAnsi="Times New Roman" w:cs="Times New Roman"/>
          <w:color w:val="auto"/>
          <w:lang w:val="pt-BR" w:eastAsia="en-US"/>
        </w:rPr>
        <w:t xml:space="preserve">até a data de publicação do acórdão que apreciar o </w:t>
      </w:r>
      <w:r>
        <w:rPr>
          <w:rFonts w:ascii="Times New Roman" w:eastAsia="Calibri" w:hAnsi="Times New Roman" w:cs="Times New Roman"/>
          <w:color w:val="auto"/>
          <w:lang w:val="pt-BR" w:eastAsia="en-US"/>
        </w:rPr>
        <w:t xml:space="preserve">mérito do </w:t>
      </w:r>
      <w:r>
        <w:rPr>
          <w:rFonts w:ascii="Times New Roman" w:eastAsia="Calibri" w:hAnsi="Times New Roman" w:cs="Times New Roman"/>
          <w:i/>
          <w:color w:val="auto"/>
          <w:lang w:val="pt-BR" w:eastAsia="en-US"/>
        </w:rPr>
        <w:t>mandamus</w:t>
      </w:r>
      <w:r>
        <w:rPr>
          <w:rFonts w:ascii="Times New Roman" w:eastAsia="Calibri" w:hAnsi="Times New Roman" w:cs="Times New Roman"/>
          <w:color w:val="auto"/>
          <w:lang w:val="pt-BR" w:eastAsia="en-US"/>
        </w:rPr>
        <w:t xml:space="preserve">. </w:t>
      </w:r>
      <w:hyperlink r:id="rId8" w:history="1">
        <w:r w:rsidRPr="004731B7">
          <w:rPr>
            <w:rStyle w:val="Hyperlink"/>
            <w:rFonts w:ascii="Times New Roman" w:eastAsia="Calibri" w:hAnsi="Times New Roman"/>
            <w:lang w:val="pt-BR" w:eastAsia="en-US"/>
          </w:rPr>
          <w:t>TST-AgR-SS-18402-85.2015.5.00.0000</w:t>
        </w:r>
      </w:hyperlink>
      <w:r w:rsidRPr="00336264">
        <w:rPr>
          <w:rFonts w:ascii="Times New Roman" w:eastAsia="Calibri" w:hAnsi="Times New Roman" w:cs="Times New Roman"/>
          <w:color w:val="auto"/>
          <w:u w:val="single"/>
          <w:lang w:val="pt-BR" w:eastAsia="en-US"/>
        </w:rPr>
        <w:t xml:space="preserve">, Órgão Especial, </w:t>
      </w:r>
      <w:r>
        <w:rPr>
          <w:rFonts w:ascii="Times New Roman" w:eastAsia="Calibri" w:hAnsi="Times New Roman" w:cs="Times New Roman"/>
          <w:color w:val="auto"/>
          <w:u w:val="single"/>
          <w:lang w:val="pt-BR" w:eastAsia="en-US"/>
        </w:rPr>
        <w:t xml:space="preserve">rel. </w:t>
      </w:r>
      <w:r w:rsidRPr="00336264">
        <w:rPr>
          <w:rFonts w:ascii="Times New Roman" w:eastAsia="Calibri" w:hAnsi="Times New Roman" w:cs="Times New Roman"/>
          <w:color w:val="auto"/>
          <w:u w:val="single"/>
          <w:lang w:val="pt-BR" w:eastAsia="en-US"/>
        </w:rPr>
        <w:t>Min. Antonio José de Barros Levenhagen, 9.11.2015</w:t>
      </w:r>
    </w:p>
    <w:p w:rsidR="00E531C9" w:rsidRPr="00494DD1" w:rsidRDefault="00E531C9" w:rsidP="00BC54BC">
      <w:pPr>
        <w:pStyle w:val="Corpo"/>
        <w:spacing w:line="240" w:lineRule="auto"/>
        <w:ind w:firstLine="0"/>
        <w:rPr>
          <w:rFonts w:ascii="Times New Roman" w:hAnsi="Times New Roman"/>
          <w:sz w:val="20"/>
          <w:szCs w:val="20"/>
          <w:u w:val="single"/>
          <w:lang w:val="pt-BR"/>
        </w:rPr>
      </w:pPr>
    </w:p>
    <w:p w:rsidR="00A00DEE" w:rsidRPr="00CE7555" w:rsidRDefault="00A00DEE" w:rsidP="00A00DE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sidRPr="00CE7555">
        <w:rPr>
          <w:rFonts w:ascii="Times New Roman" w:hAnsi="Times New Roman" w:cs="Times New Roman"/>
          <w:b/>
          <w:bCs/>
          <w:shadow/>
          <w:color w:val="auto"/>
          <w:sz w:val="25"/>
          <w:szCs w:val="25"/>
          <w:lang w:val="pt-BR"/>
        </w:rPr>
        <w:t>SUBSEÇÃO I ESPECIALIZADA EM DISSÍDIOS INDIVIDUAIS</w:t>
      </w:r>
    </w:p>
    <w:p w:rsidR="00342846" w:rsidRPr="00494DD1" w:rsidRDefault="00342846" w:rsidP="007D469A">
      <w:pPr>
        <w:pStyle w:val="Corpo"/>
        <w:spacing w:line="240" w:lineRule="auto"/>
        <w:ind w:firstLine="0"/>
        <w:rPr>
          <w:rFonts w:ascii="Times New Roman" w:hAnsi="Times New Roman"/>
          <w:sz w:val="20"/>
          <w:szCs w:val="20"/>
          <w:u w:val="single"/>
          <w:lang w:val="pt-BR"/>
        </w:rPr>
      </w:pPr>
    </w:p>
    <w:p w:rsidR="00E531C9" w:rsidRPr="00E531C9" w:rsidRDefault="00E531C9" w:rsidP="00E531C9">
      <w:pPr>
        <w:widowControl w:val="0"/>
        <w:contextualSpacing/>
        <w:jc w:val="both"/>
        <w:rPr>
          <w:b/>
          <w:i/>
          <w:color w:val="000000"/>
          <w:sz w:val="24"/>
          <w:szCs w:val="24"/>
        </w:rPr>
      </w:pPr>
      <w:r w:rsidRPr="00E531C9">
        <w:rPr>
          <w:b/>
          <w:i/>
          <w:color w:val="000000"/>
          <w:sz w:val="24"/>
          <w:szCs w:val="24"/>
        </w:rPr>
        <w:t>Acidente de trabalho. Falecimento do empregado. Ação movida por viúva e filhos menores. Pretensão deduzida em nome próprio. Competência territorial. Local do domicílio dos reclamantes. Ausência de disciplina legal específica na CLT. Aplicação analógica do disposto no art. 147, I, do ECA.</w:t>
      </w:r>
    </w:p>
    <w:p w:rsidR="00E531C9" w:rsidRDefault="00E531C9" w:rsidP="00E1139A">
      <w:pPr>
        <w:pStyle w:val="Corpo"/>
        <w:spacing w:line="240" w:lineRule="auto"/>
        <w:ind w:firstLine="0"/>
        <w:rPr>
          <w:rFonts w:ascii="Times New Roman" w:hAnsi="Times New Roman"/>
          <w:u w:val="single"/>
          <w:lang w:val="pt-BR"/>
        </w:rPr>
      </w:pPr>
      <w:r w:rsidRPr="00E531C9">
        <w:rPr>
          <w:rFonts w:ascii="Times New Roman" w:hAnsi="Times New Roman" w:cs="Times New Roman"/>
          <w:lang w:val="pt-BR"/>
        </w:rPr>
        <w:t>Na hipótese de julgamento de dissídio individual movido por viúva e filhos menores de ex-empregado falecido em decorrência de acidente de trabalho</w:t>
      </w:r>
      <w:r w:rsidRPr="00E531C9">
        <w:rPr>
          <w:rFonts w:ascii="Times New Roman" w:hAnsi="Times New Roman" w:cs="Times New Roman"/>
          <w:i/>
          <w:lang w:val="pt-BR"/>
        </w:rPr>
        <w:t xml:space="preserve">, </w:t>
      </w:r>
      <w:r w:rsidRPr="00E531C9">
        <w:rPr>
          <w:rFonts w:ascii="Times New Roman" w:hAnsi="Times New Roman" w:cs="Times New Roman"/>
          <w:lang w:val="pt-BR"/>
        </w:rPr>
        <w:t xml:space="preserve">na defesa de direito próprio, admite-se excepcionalmente a fixação da competência territorial pelo foro do local do domicílio dos reclamantes. Aplicação analógica do disposto no art. 147, I, do Estatuto da Criança e do Adolescente (ECA), diante da ausência de disciplina legal específica na CLT. No caso, ressaltou-se que por se tratar de situação excepcional, a qual refoge à regra do </w:t>
      </w:r>
      <w:r w:rsidRPr="00E531C9">
        <w:rPr>
          <w:rFonts w:ascii="Times New Roman" w:hAnsi="Times New Roman" w:cs="Times New Roman"/>
          <w:i/>
          <w:lang w:val="pt-BR"/>
        </w:rPr>
        <w:t>caput</w:t>
      </w:r>
      <w:r w:rsidRPr="00E531C9">
        <w:rPr>
          <w:rFonts w:ascii="Times New Roman" w:hAnsi="Times New Roman" w:cs="Times New Roman"/>
          <w:lang w:val="pt-BR"/>
        </w:rPr>
        <w:t xml:space="preserve"> do art. 651 e parágrafos, da CLT — em que a competência territorial define-se pelo local da prestação dos serviços do empregado, e, excepcionalmente, pela localidade da contratação —, cumpre ao órgão jurisdicional colmatar a lacuna mediante a aplicação de norma compatível com o princípio da acessibilidade. Sob esse entendimento, a SBDI-I, por unanimidade, conheceu dos embargos, por divergência </w:t>
      </w:r>
      <w:r w:rsidRPr="00E531C9">
        <w:rPr>
          <w:rFonts w:ascii="Times New Roman" w:hAnsi="Times New Roman" w:cs="Times New Roman"/>
          <w:lang w:val="pt-BR"/>
        </w:rPr>
        <w:lastRenderedPageBreak/>
        <w:t>jurisprudencial e, no mérito, por maioria, deu-lhes provimento para reconhecer a competência da Vara do Trabalho de Manaus, local do domicílio dos reclamantes. Vencidos os Ministros Aloysio Corrêa da Veiga, relator, Guilherme Augusto Caputo Bastos e Márcio Eurico Vitral Amaro.</w:t>
      </w:r>
      <w:r w:rsidRPr="00E531C9">
        <w:rPr>
          <w:rFonts w:ascii="Times New Roman" w:hAnsi="Times New Roman"/>
          <w:lang w:val="pt-BR"/>
        </w:rPr>
        <w:t xml:space="preserve"> </w:t>
      </w:r>
      <w:hyperlink r:id="rId9" w:history="1">
        <w:r w:rsidRPr="004731B7">
          <w:rPr>
            <w:rStyle w:val="Hyperlink"/>
            <w:rFonts w:ascii="Times New Roman" w:hAnsi="Times New Roman"/>
            <w:lang w:val="pt-BR"/>
          </w:rPr>
          <w:t>TST-E-RR-86700-15.2009.5.11.0007</w:t>
        </w:r>
      </w:hyperlink>
      <w:r w:rsidRPr="00E531C9">
        <w:rPr>
          <w:rFonts w:ascii="Times New Roman" w:hAnsi="Times New Roman"/>
          <w:u w:val="single"/>
          <w:lang w:val="pt-BR"/>
        </w:rPr>
        <w:t>, SBDI-I, rel. Min. Aloysio Corrêa da Veiga, red. p/ acórdão Min. João Oreste Dalazen, 12.11.2015</w:t>
      </w:r>
    </w:p>
    <w:p w:rsidR="00E531C9" w:rsidRPr="00494DD1" w:rsidRDefault="00E531C9" w:rsidP="00E531C9">
      <w:pPr>
        <w:pStyle w:val="Corpo"/>
        <w:spacing w:line="240" w:lineRule="auto"/>
        <w:ind w:firstLine="0"/>
        <w:rPr>
          <w:rFonts w:ascii="Times New Roman" w:hAnsi="Times New Roman"/>
          <w:sz w:val="20"/>
          <w:szCs w:val="20"/>
          <w:u w:val="single"/>
          <w:lang w:val="pt-BR"/>
        </w:rPr>
      </w:pPr>
    </w:p>
    <w:p w:rsidR="00E531C9" w:rsidRDefault="00E531C9" w:rsidP="00E531C9">
      <w:pPr>
        <w:jc w:val="both"/>
        <w:rPr>
          <w:b/>
          <w:i/>
          <w:sz w:val="24"/>
          <w:szCs w:val="24"/>
        </w:rPr>
      </w:pPr>
      <w:r w:rsidRPr="001E2F3A">
        <w:rPr>
          <w:b/>
          <w:i/>
          <w:sz w:val="24"/>
          <w:szCs w:val="24"/>
        </w:rPr>
        <w:t xml:space="preserve">Adicional de periculosidade. Armazenamento de líquido inflamável </w:t>
      </w:r>
      <w:r>
        <w:rPr>
          <w:b/>
          <w:i/>
          <w:sz w:val="24"/>
          <w:szCs w:val="24"/>
        </w:rPr>
        <w:t>em</w:t>
      </w:r>
      <w:r w:rsidRPr="001E2F3A">
        <w:rPr>
          <w:b/>
          <w:i/>
          <w:sz w:val="24"/>
          <w:szCs w:val="24"/>
        </w:rPr>
        <w:t xml:space="preserve"> estrutura independente </w:t>
      </w:r>
      <w:r>
        <w:rPr>
          <w:b/>
          <w:i/>
          <w:sz w:val="24"/>
          <w:szCs w:val="24"/>
        </w:rPr>
        <w:t xml:space="preserve">do local da prestação de serviços. </w:t>
      </w:r>
      <w:r w:rsidRPr="001E2F3A">
        <w:rPr>
          <w:b/>
          <w:i/>
          <w:sz w:val="24"/>
          <w:szCs w:val="24"/>
        </w:rPr>
        <w:t>Inaplicabilidade da Orienta</w:t>
      </w:r>
      <w:r>
        <w:rPr>
          <w:b/>
          <w:i/>
          <w:sz w:val="24"/>
          <w:szCs w:val="24"/>
        </w:rPr>
        <w:t>ção Jurisprudencial nº 385 da SB</w:t>
      </w:r>
      <w:r w:rsidRPr="001E2F3A">
        <w:rPr>
          <w:b/>
          <w:i/>
          <w:sz w:val="24"/>
          <w:szCs w:val="24"/>
        </w:rPr>
        <w:t>DI-I.</w:t>
      </w:r>
    </w:p>
    <w:p w:rsidR="00E531C9" w:rsidRDefault="00E531C9" w:rsidP="00E531C9">
      <w:pPr>
        <w:jc w:val="both"/>
        <w:rPr>
          <w:color w:val="000000"/>
          <w:sz w:val="24"/>
          <w:szCs w:val="24"/>
        </w:rPr>
      </w:pPr>
      <w:r>
        <w:rPr>
          <w:color w:val="000000"/>
          <w:sz w:val="24"/>
          <w:szCs w:val="24"/>
        </w:rPr>
        <w:t xml:space="preserve">A Orientação Jurisprudencial nº 385 da SBDI-I, ao assegurar o direito ao adicional de periculosidade, refere-se ao armazenamento de líquido inflamável no mesmo prédio em que desenvolvidas as atividades laborais. Assim, na hipótese em que </w:t>
      </w:r>
      <w:r w:rsidRPr="00E45CFF">
        <w:rPr>
          <w:color w:val="000000"/>
          <w:sz w:val="24"/>
          <w:szCs w:val="24"/>
        </w:rPr>
        <w:t xml:space="preserve">o laudo pericial constatou que o armazenamento de </w:t>
      </w:r>
      <w:r>
        <w:rPr>
          <w:color w:val="000000"/>
          <w:sz w:val="24"/>
          <w:szCs w:val="24"/>
        </w:rPr>
        <w:t>óleo diesel</w:t>
      </w:r>
      <w:r w:rsidRPr="00E45CFF">
        <w:rPr>
          <w:color w:val="000000"/>
          <w:sz w:val="24"/>
          <w:szCs w:val="24"/>
        </w:rPr>
        <w:t xml:space="preserve"> ocorria em estrutura completamente independente do local da prestação de serviços, inclusive com área de segurança devidamente protegida, não há </w:t>
      </w:r>
      <w:r>
        <w:rPr>
          <w:color w:val="000000"/>
          <w:sz w:val="24"/>
          <w:szCs w:val="24"/>
        </w:rPr>
        <w:t xml:space="preserve">direito ao </w:t>
      </w:r>
      <w:r w:rsidRPr="00E45CFF">
        <w:rPr>
          <w:color w:val="000000"/>
          <w:sz w:val="24"/>
          <w:szCs w:val="24"/>
        </w:rPr>
        <w:t>pagamento d</w:t>
      </w:r>
      <w:r>
        <w:rPr>
          <w:color w:val="000000"/>
          <w:sz w:val="24"/>
          <w:szCs w:val="24"/>
        </w:rPr>
        <w:t xml:space="preserve">o referido adicional, ante a ausência de labor em área de risco. Sob esse fundamento, a SBDI-I, por maioria, conheceu dos embargos da reclamada por contrariedade à Súmula nº 126 do TST e à Orientação Jurisprudencial nº 385 da SBDI-I, vencidos os Ministros Alexandre Agra Belmonte, Augusto César Leite de Carvalho, José Roberto Freire Pimenta e Cláudio Mascarenhas Brandão. Ressaltou o Ministro relator que diante das premissas fáticas registradas nos autos, não poderia a Turma ter valorado o laudo pericial a fim de, concluindo de forma diversa do TRT, conceder o adicional de periculosidade. No mérito, por unanimidade, a Subseção deu provimento ao recurso para restabelecer o acórdão do Regional, que declarou a improcedência do pedido. </w:t>
      </w:r>
      <w:hyperlink r:id="rId10" w:history="1">
        <w:r w:rsidRPr="004731B7">
          <w:rPr>
            <w:rStyle w:val="Hyperlink"/>
            <w:sz w:val="24"/>
            <w:szCs w:val="24"/>
          </w:rPr>
          <w:t>TST-E-ED-AgR-ARR-644-68.2010.5.04.0029</w:t>
        </w:r>
      </w:hyperlink>
      <w:r w:rsidRPr="00244B77">
        <w:rPr>
          <w:sz w:val="24"/>
          <w:szCs w:val="24"/>
          <w:u w:val="single"/>
        </w:rPr>
        <w:t>, SBDI-I, rel. Min. João Oreste Dalazen, 12.11.2015</w:t>
      </w:r>
    </w:p>
    <w:p w:rsidR="00E531C9" w:rsidRPr="00E531C9" w:rsidRDefault="00E531C9" w:rsidP="00E531C9">
      <w:pPr>
        <w:pStyle w:val="Corpo"/>
        <w:spacing w:line="240" w:lineRule="auto"/>
        <w:ind w:firstLine="0"/>
        <w:rPr>
          <w:rFonts w:ascii="Times New Roman" w:hAnsi="Times New Roman" w:cs="Times New Roman"/>
          <w:lang w:val="pt-BR"/>
        </w:rPr>
      </w:pPr>
    </w:p>
    <w:p w:rsidR="00D87489" w:rsidRDefault="00D87489" w:rsidP="00D73575">
      <w:pPr>
        <w:pStyle w:val="Corpo"/>
        <w:spacing w:line="240" w:lineRule="auto"/>
        <w:ind w:firstLine="0"/>
        <w:rPr>
          <w:rFonts w:ascii="Times New Roman" w:hAnsi="Times New Roman" w:cs="Times New Roman"/>
          <w:sz w:val="25"/>
          <w:szCs w:val="25"/>
          <w:u w:val="single"/>
          <w:lang w:val="pt-BR"/>
        </w:rPr>
      </w:pPr>
    </w:p>
    <w:p w:rsidR="00D87489" w:rsidRDefault="00D87489" w:rsidP="00D73575">
      <w:pPr>
        <w:pStyle w:val="Corpo"/>
        <w:spacing w:line="240" w:lineRule="auto"/>
        <w:ind w:firstLine="0"/>
        <w:rPr>
          <w:rFonts w:ascii="Times New Roman" w:hAnsi="Times New Roman" w:cs="Times New Roman"/>
          <w:sz w:val="25"/>
          <w:szCs w:val="25"/>
          <w:u w:val="single"/>
          <w:lang w:val="pt-BR"/>
        </w:rPr>
      </w:pPr>
    </w:p>
    <w:p w:rsidR="00D87489" w:rsidRDefault="00D87489" w:rsidP="00D73575">
      <w:pPr>
        <w:pStyle w:val="Corpo"/>
        <w:spacing w:line="240" w:lineRule="auto"/>
        <w:ind w:firstLine="0"/>
        <w:rPr>
          <w:rFonts w:ascii="Times New Roman" w:hAnsi="Times New Roman" w:cs="Times New Roman"/>
          <w:sz w:val="25"/>
          <w:szCs w:val="25"/>
          <w:u w:val="single"/>
          <w:lang w:val="pt-BR"/>
        </w:rPr>
      </w:pPr>
    </w:p>
    <w:p w:rsidR="00D87489" w:rsidRDefault="00D87489" w:rsidP="00D73575">
      <w:pPr>
        <w:pStyle w:val="Corpo"/>
        <w:spacing w:line="240" w:lineRule="auto"/>
        <w:ind w:firstLine="0"/>
        <w:rPr>
          <w:rFonts w:ascii="Times New Roman" w:hAnsi="Times New Roman" w:cs="Times New Roman"/>
          <w:sz w:val="25"/>
          <w:szCs w:val="25"/>
          <w:u w:val="single"/>
          <w:lang w:val="pt-BR"/>
        </w:rPr>
      </w:pPr>
    </w:p>
    <w:p w:rsidR="00CE7555" w:rsidRPr="00CE7555" w:rsidRDefault="00CE7555" w:rsidP="00D73575">
      <w:pPr>
        <w:pStyle w:val="Corpo"/>
        <w:spacing w:line="240" w:lineRule="auto"/>
        <w:ind w:firstLine="0"/>
        <w:rPr>
          <w:rFonts w:ascii="Times New Roman" w:hAnsi="Times New Roman" w:cs="Times New Roman"/>
          <w:sz w:val="25"/>
          <w:szCs w:val="25"/>
          <w:u w:val="single"/>
          <w:lang w:val="pt-BR"/>
        </w:rPr>
      </w:pPr>
    </w:p>
    <w:p w:rsidR="004A5908" w:rsidRPr="00CE7555" w:rsidRDefault="004A5908" w:rsidP="00C54185">
      <w:pPr>
        <w:jc w:val="both"/>
        <w:rPr>
          <w:sz w:val="25"/>
          <w:szCs w:val="25"/>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1"/>
      <w:footerReference w:type="default" r:id="rId12"/>
      <w:headerReference w:type="first" r:id="rId13"/>
      <w:footerReference w:type="first" r:id="rId1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97" w:rsidRDefault="00204C97">
      <w:r>
        <w:separator/>
      </w:r>
    </w:p>
  </w:endnote>
  <w:endnote w:type="continuationSeparator" w:id="0">
    <w:p w:rsidR="00204C97" w:rsidRDefault="0020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38D9">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DC38D9">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97" w:rsidRDefault="00204C97">
      <w:r>
        <w:separator/>
      </w:r>
    </w:p>
  </w:footnote>
  <w:footnote w:type="continuationSeparator" w:id="0">
    <w:p w:rsidR="00204C97" w:rsidRDefault="00204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12</w:t>
    </w:r>
    <w:r w:rsidR="00494DD1">
      <w:rPr>
        <w:shadow/>
        <w:sz w:val="24"/>
        <w:szCs w:val="24"/>
      </w:rPr>
      <w:t>3</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Período: 9 a 16</w:t>
    </w:r>
    <w:r w:rsidR="00C51600">
      <w:rPr>
        <w:i/>
        <w:iCs/>
      </w:rPr>
      <w:t xml:space="preserve"> de novembro</w:t>
    </w:r>
    <w:r w:rsidR="00CE7555">
      <w:rPr>
        <w:i/>
        <w:iCs/>
      </w:rPr>
      <w:t xml:space="preserve">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12</w:t>
    </w:r>
    <w:r w:rsidR="00E531C9">
      <w:rPr>
        <w:b/>
        <w:sz w:val="40"/>
        <w:szCs w:val="40"/>
      </w:rPr>
      <w:t>3</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E531C9">
      <w:rPr>
        <w:i/>
        <w:iCs/>
      </w:rPr>
      <w:t>9</w:t>
    </w:r>
    <w:r w:rsidR="00C51600">
      <w:rPr>
        <w:i/>
        <w:iCs/>
      </w:rPr>
      <w:t xml:space="preserve"> a </w:t>
    </w:r>
    <w:r w:rsidR="00E531C9">
      <w:rPr>
        <w:i/>
        <w:iCs/>
      </w:rPr>
      <w:t>16</w:t>
    </w:r>
    <w:r w:rsidR="00C51600">
      <w:rPr>
        <w:i/>
        <w:iCs/>
      </w:rPr>
      <w:t xml:space="preserve"> de novembro</w:t>
    </w:r>
    <w:r w:rsidR="00BC54BC">
      <w:rPr>
        <w:i/>
        <w:iCs/>
      </w:rPr>
      <w:t xml:space="preserve"> </w:t>
    </w:r>
    <w:r w:rsidR="004A094C">
      <w:rPr>
        <w:i/>
        <w:iCs/>
      </w:rPr>
      <w:t>de 201</w:t>
    </w:r>
    <w:r w:rsidR="00C54185">
      <w:rPr>
        <w:i/>
        <w:iCs/>
      </w:rPr>
      <w:t>5</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4CE9"/>
    <w:rsid w:val="00032056"/>
    <w:rsid w:val="000322FB"/>
    <w:rsid w:val="000425FC"/>
    <w:rsid w:val="00050E85"/>
    <w:rsid w:val="00056752"/>
    <w:rsid w:val="0005765E"/>
    <w:rsid w:val="00057B87"/>
    <w:rsid w:val="0006020E"/>
    <w:rsid w:val="000733B4"/>
    <w:rsid w:val="00073880"/>
    <w:rsid w:val="00075BDB"/>
    <w:rsid w:val="00080F10"/>
    <w:rsid w:val="000858FB"/>
    <w:rsid w:val="0009237D"/>
    <w:rsid w:val="00093AE9"/>
    <w:rsid w:val="00093BA8"/>
    <w:rsid w:val="000A04E6"/>
    <w:rsid w:val="000A4C94"/>
    <w:rsid w:val="000B2973"/>
    <w:rsid w:val="000B4D41"/>
    <w:rsid w:val="000B67DF"/>
    <w:rsid w:val="000B7CDE"/>
    <w:rsid w:val="000C3022"/>
    <w:rsid w:val="000C58F4"/>
    <w:rsid w:val="000C5AC6"/>
    <w:rsid w:val="000C672B"/>
    <w:rsid w:val="000E0A91"/>
    <w:rsid w:val="000E1DC1"/>
    <w:rsid w:val="000E7CBE"/>
    <w:rsid w:val="0011575C"/>
    <w:rsid w:val="0011692E"/>
    <w:rsid w:val="00137564"/>
    <w:rsid w:val="00137DC1"/>
    <w:rsid w:val="00141630"/>
    <w:rsid w:val="00142C28"/>
    <w:rsid w:val="0015612D"/>
    <w:rsid w:val="00161CDE"/>
    <w:rsid w:val="00163142"/>
    <w:rsid w:val="00176D15"/>
    <w:rsid w:val="00184590"/>
    <w:rsid w:val="00187A37"/>
    <w:rsid w:val="0019151D"/>
    <w:rsid w:val="00193208"/>
    <w:rsid w:val="00197B15"/>
    <w:rsid w:val="001C04D2"/>
    <w:rsid w:val="001C21FB"/>
    <w:rsid w:val="001C271F"/>
    <w:rsid w:val="001C6C93"/>
    <w:rsid w:val="001D4CF9"/>
    <w:rsid w:val="001D5AB0"/>
    <w:rsid w:val="001D757D"/>
    <w:rsid w:val="001E14A9"/>
    <w:rsid w:val="001E14BB"/>
    <w:rsid w:val="001E4B57"/>
    <w:rsid w:val="001E5BD1"/>
    <w:rsid w:val="001E713B"/>
    <w:rsid w:val="001E79B4"/>
    <w:rsid w:val="001F030F"/>
    <w:rsid w:val="001F45E0"/>
    <w:rsid w:val="00204C97"/>
    <w:rsid w:val="00206810"/>
    <w:rsid w:val="002168DE"/>
    <w:rsid w:val="00224AC2"/>
    <w:rsid w:val="0023559D"/>
    <w:rsid w:val="002402B0"/>
    <w:rsid w:val="002449F9"/>
    <w:rsid w:val="00257B4A"/>
    <w:rsid w:val="002635ED"/>
    <w:rsid w:val="002662BA"/>
    <w:rsid w:val="00266D49"/>
    <w:rsid w:val="00271C5C"/>
    <w:rsid w:val="00271E67"/>
    <w:rsid w:val="002730B5"/>
    <w:rsid w:val="002766D5"/>
    <w:rsid w:val="00276EA0"/>
    <w:rsid w:val="00280594"/>
    <w:rsid w:val="00285064"/>
    <w:rsid w:val="002A219D"/>
    <w:rsid w:val="002A521A"/>
    <w:rsid w:val="002A546D"/>
    <w:rsid w:val="002B4738"/>
    <w:rsid w:val="002B6377"/>
    <w:rsid w:val="002C2904"/>
    <w:rsid w:val="002E78CB"/>
    <w:rsid w:val="002F28E5"/>
    <w:rsid w:val="0033397A"/>
    <w:rsid w:val="00342846"/>
    <w:rsid w:val="00352B27"/>
    <w:rsid w:val="0035374D"/>
    <w:rsid w:val="00363255"/>
    <w:rsid w:val="0036325E"/>
    <w:rsid w:val="003671FE"/>
    <w:rsid w:val="003708FD"/>
    <w:rsid w:val="003745DE"/>
    <w:rsid w:val="0037667D"/>
    <w:rsid w:val="00380212"/>
    <w:rsid w:val="00383A89"/>
    <w:rsid w:val="00384075"/>
    <w:rsid w:val="003908C5"/>
    <w:rsid w:val="00396053"/>
    <w:rsid w:val="003A4086"/>
    <w:rsid w:val="003A5E5B"/>
    <w:rsid w:val="003B045C"/>
    <w:rsid w:val="003B0538"/>
    <w:rsid w:val="003B0A59"/>
    <w:rsid w:val="003B3EB5"/>
    <w:rsid w:val="003B4E23"/>
    <w:rsid w:val="003B767E"/>
    <w:rsid w:val="003C0554"/>
    <w:rsid w:val="003C1AB7"/>
    <w:rsid w:val="003C6FE7"/>
    <w:rsid w:val="003D032E"/>
    <w:rsid w:val="003D4205"/>
    <w:rsid w:val="003F2078"/>
    <w:rsid w:val="0042772A"/>
    <w:rsid w:val="004323B0"/>
    <w:rsid w:val="00444E88"/>
    <w:rsid w:val="004477EC"/>
    <w:rsid w:val="00450BAD"/>
    <w:rsid w:val="0045657C"/>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C011C"/>
    <w:rsid w:val="004C14EA"/>
    <w:rsid w:val="004C2118"/>
    <w:rsid w:val="004C2612"/>
    <w:rsid w:val="004D6000"/>
    <w:rsid w:val="004D6415"/>
    <w:rsid w:val="004D71E8"/>
    <w:rsid w:val="004E393E"/>
    <w:rsid w:val="004E4507"/>
    <w:rsid w:val="004E4619"/>
    <w:rsid w:val="004F0A7D"/>
    <w:rsid w:val="00513789"/>
    <w:rsid w:val="0051538E"/>
    <w:rsid w:val="00517E01"/>
    <w:rsid w:val="00521EEC"/>
    <w:rsid w:val="00543B94"/>
    <w:rsid w:val="005460BD"/>
    <w:rsid w:val="005521C8"/>
    <w:rsid w:val="00553197"/>
    <w:rsid w:val="0055409E"/>
    <w:rsid w:val="00556367"/>
    <w:rsid w:val="00556B35"/>
    <w:rsid w:val="00573E13"/>
    <w:rsid w:val="005811A4"/>
    <w:rsid w:val="00584F82"/>
    <w:rsid w:val="00591DFA"/>
    <w:rsid w:val="005A30AA"/>
    <w:rsid w:val="005A5695"/>
    <w:rsid w:val="005B0A1C"/>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0B1B"/>
    <w:rsid w:val="0070727E"/>
    <w:rsid w:val="00710D3A"/>
    <w:rsid w:val="0071315F"/>
    <w:rsid w:val="00721942"/>
    <w:rsid w:val="00722BE7"/>
    <w:rsid w:val="00732DF2"/>
    <w:rsid w:val="007614F1"/>
    <w:rsid w:val="007618C5"/>
    <w:rsid w:val="00764066"/>
    <w:rsid w:val="00766B7B"/>
    <w:rsid w:val="00776118"/>
    <w:rsid w:val="007B0F83"/>
    <w:rsid w:val="007C0A4F"/>
    <w:rsid w:val="007D29A1"/>
    <w:rsid w:val="007D469A"/>
    <w:rsid w:val="007E0EA7"/>
    <w:rsid w:val="007E3F23"/>
    <w:rsid w:val="007F142E"/>
    <w:rsid w:val="007F66BC"/>
    <w:rsid w:val="007F7B5E"/>
    <w:rsid w:val="00802B1A"/>
    <w:rsid w:val="00805CD2"/>
    <w:rsid w:val="0080615C"/>
    <w:rsid w:val="0081027F"/>
    <w:rsid w:val="0081742D"/>
    <w:rsid w:val="00817AB1"/>
    <w:rsid w:val="00821F4D"/>
    <w:rsid w:val="00823906"/>
    <w:rsid w:val="008409D3"/>
    <w:rsid w:val="00845559"/>
    <w:rsid w:val="00854DB8"/>
    <w:rsid w:val="00854EF2"/>
    <w:rsid w:val="008627C6"/>
    <w:rsid w:val="00863B86"/>
    <w:rsid w:val="00871F69"/>
    <w:rsid w:val="008842D0"/>
    <w:rsid w:val="00884AC4"/>
    <w:rsid w:val="0088579D"/>
    <w:rsid w:val="008A4AFF"/>
    <w:rsid w:val="008A68E7"/>
    <w:rsid w:val="008A7953"/>
    <w:rsid w:val="008B3081"/>
    <w:rsid w:val="008B32D4"/>
    <w:rsid w:val="008C7AD0"/>
    <w:rsid w:val="008D0020"/>
    <w:rsid w:val="008D3C38"/>
    <w:rsid w:val="008D3C4B"/>
    <w:rsid w:val="008D6A05"/>
    <w:rsid w:val="008E2AE5"/>
    <w:rsid w:val="008E3F89"/>
    <w:rsid w:val="008F26CB"/>
    <w:rsid w:val="008F6509"/>
    <w:rsid w:val="008F79D9"/>
    <w:rsid w:val="009027C8"/>
    <w:rsid w:val="0093467A"/>
    <w:rsid w:val="009353F1"/>
    <w:rsid w:val="0094155C"/>
    <w:rsid w:val="00951531"/>
    <w:rsid w:val="00960A3B"/>
    <w:rsid w:val="00967DE0"/>
    <w:rsid w:val="00971E07"/>
    <w:rsid w:val="00980944"/>
    <w:rsid w:val="00986D77"/>
    <w:rsid w:val="00993A6E"/>
    <w:rsid w:val="009943EC"/>
    <w:rsid w:val="009A32D5"/>
    <w:rsid w:val="009B6012"/>
    <w:rsid w:val="009C102D"/>
    <w:rsid w:val="009C2A4F"/>
    <w:rsid w:val="009D4C59"/>
    <w:rsid w:val="009D7F91"/>
    <w:rsid w:val="009E20EF"/>
    <w:rsid w:val="009E26EE"/>
    <w:rsid w:val="009F21A2"/>
    <w:rsid w:val="00A00D70"/>
    <w:rsid w:val="00A00DEE"/>
    <w:rsid w:val="00A32FBF"/>
    <w:rsid w:val="00A407EA"/>
    <w:rsid w:val="00A51749"/>
    <w:rsid w:val="00A521B6"/>
    <w:rsid w:val="00A56962"/>
    <w:rsid w:val="00A6412C"/>
    <w:rsid w:val="00A75419"/>
    <w:rsid w:val="00A76661"/>
    <w:rsid w:val="00A76D2A"/>
    <w:rsid w:val="00A82081"/>
    <w:rsid w:val="00A8557E"/>
    <w:rsid w:val="00A91181"/>
    <w:rsid w:val="00A935AC"/>
    <w:rsid w:val="00AA3DE0"/>
    <w:rsid w:val="00AB299E"/>
    <w:rsid w:val="00AB507C"/>
    <w:rsid w:val="00AD6E76"/>
    <w:rsid w:val="00AE3EAA"/>
    <w:rsid w:val="00AE5EDF"/>
    <w:rsid w:val="00AE758A"/>
    <w:rsid w:val="00B06261"/>
    <w:rsid w:val="00B14F7F"/>
    <w:rsid w:val="00B16EB9"/>
    <w:rsid w:val="00B22F24"/>
    <w:rsid w:val="00B22F53"/>
    <w:rsid w:val="00B24DBE"/>
    <w:rsid w:val="00B34EB2"/>
    <w:rsid w:val="00B4728A"/>
    <w:rsid w:val="00B517C3"/>
    <w:rsid w:val="00B518B2"/>
    <w:rsid w:val="00B526EA"/>
    <w:rsid w:val="00B536FE"/>
    <w:rsid w:val="00B73FFA"/>
    <w:rsid w:val="00B74A6E"/>
    <w:rsid w:val="00B82CC4"/>
    <w:rsid w:val="00B838C3"/>
    <w:rsid w:val="00B874F1"/>
    <w:rsid w:val="00BC1DE7"/>
    <w:rsid w:val="00BC2C67"/>
    <w:rsid w:val="00BC54BC"/>
    <w:rsid w:val="00BC5AEE"/>
    <w:rsid w:val="00BD2A95"/>
    <w:rsid w:val="00BD2CA9"/>
    <w:rsid w:val="00BD6029"/>
    <w:rsid w:val="00BE0541"/>
    <w:rsid w:val="00BE1ADB"/>
    <w:rsid w:val="00BF0693"/>
    <w:rsid w:val="00C070DE"/>
    <w:rsid w:val="00C26DFB"/>
    <w:rsid w:val="00C273FA"/>
    <w:rsid w:val="00C30D06"/>
    <w:rsid w:val="00C42067"/>
    <w:rsid w:val="00C432D0"/>
    <w:rsid w:val="00C4398E"/>
    <w:rsid w:val="00C51600"/>
    <w:rsid w:val="00C54185"/>
    <w:rsid w:val="00C57E92"/>
    <w:rsid w:val="00C60B4A"/>
    <w:rsid w:val="00C65BDB"/>
    <w:rsid w:val="00C66C95"/>
    <w:rsid w:val="00C71A3B"/>
    <w:rsid w:val="00C76CFA"/>
    <w:rsid w:val="00C819C8"/>
    <w:rsid w:val="00C87D5B"/>
    <w:rsid w:val="00C963F8"/>
    <w:rsid w:val="00C96BB1"/>
    <w:rsid w:val="00CA2F80"/>
    <w:rsid w:val="00CB0C2A"/>
    <w:rsid w:val="00CC4B2B"/>
    <w:rsid w:val="00CC579C"/>
    <w:rsid w:val="00CC5F5F"/>
    <w:rsid w:val="00CC6BEC"/>
    <w:rsid w:val="00CC743B"/>
    <w:rsid w:val="00CD3460"/>
    <w:rsid w:val="00CD44C9"/>
    <w:rsid w:val="00CD4B61"/>
    <w:rsid w:val="00CD5043"/>
    <w:rsid w:val="00CE2928"/>
    <w:rsid w:val="00CE314A"/>
    <w:rsid w:val="00CE5865"/>
    <w:rsid w:val="00CE7555"/>
    <w:rsid w:val="00CF3D9D"/>
    <w:rsid w:val="00D01C50"/>
    <w:rsid w:val="00D11B24"/>
    <w:rsid w:val="00D11C18"/>
    <w:rsid w:val="00D133C8"/>
    <w:rsid w:val="00D14DB8"/>
    <w:rsid w:val="00D17339"/>
    <w:rsid w:val="00D244D5"/>
    <w:rsid w:val="00D2776A"/>
    <w:rsid w:val="00D413DB"/>
    <w:rsid w:val="00D420E2"/>
    <w:rsid w:val="00D4459D"/>
    <w:rsid w:val="00D573F9"/>
    <w:rsid w:val="00D6058B"/>
    <w:rsid w:val="00D62D9E"/>
    <w:rsid w:val="00D63EC5"/>
    <w:rsid w:val="00D64BC3"/>
    <w:rsid w:val="00D72C05"/>
    <w:rsid w:val="00D73575"/>
    <w:rsid w:val="00D735BF"/>
    <w:rsid w:val="00D77672"/>
    <w:rsid w:val="00D80222"/>
    <w:rsid w:val="00D847CF"/>
    <w:rsid w:val="00D87489"/>
    <w:rsid w:val="00DA0A99"/>
    <w:rsid w:val="00DA0A9D"/>
    <w:rsid w:val="00DA7603"/>
    <w:rsid w:val="00DA7E39"/>
    <w:rsid w:val="00DA7EDE"/>
    <w:rsid w:val="00DB0223"/>
    <w:rsid w:val="00DB047C"/>
    <w:rsid w:val="00DC0AB5"/>
    <w:rsid w:val="00DC3451"/>
    <w:rsid w:val="00DC38D9"/>
    <w:rsid w:val="00DC50EB"/>
    <w:rsid w:val="00DD19F4"/>
    <w:rsid w:val="00DD3FA0"/>
    <w:rsid w:val="00DE5B2D"/>
    <w:rsid w:val="00DE5CE9"/>
    <w:rsid w:val="00E03064"/>
    <w:rsid w:val="00E04BD5"/>
    <w:rsid w:val="00E070D2"/>
    <w:rsid w:val="00E100F5"/>
    <w:rsid w:val="00E1139A"/>
    <w:rsid w:val="00E1539C"/>
    <w:rsid w:val="00E162B6"/>
    <w:rsid w:val="00E16E01"/>
    <w:rsid w:val="00E24A50"/>
    <w:rsid w:val="00E31469"/>
    <w:rsid w:val="00E35639"/>
    <w:rsid w:val="00E432CC"/>
    <w:rsid w:val="00E50711"/>
    <w:rsid w:val="00E52522"/>
    <w:rsid w:val="00E531C9"/>
    <w:rsid w:val="00E60AD3"/>
    <w:rsid w:val="00E60EDA"/>
    <w:rsid w:val="00E62BBC"/>
    <w:rsid w:val="00E9503C"/>
    <w:rsid w:val="00E956D9"/>
    <w:rsid w:val="00EA1958"/>
    <w:rsid w:val="00EA29F5"/>
    <w:rsid w:val="00EA482D"/>
    <w:rsid w:val="00EB5FE6"/>
    <w:rsid w:val="00EB61A5"/>
    <w:rsid w:val="00EB6C1B"/>
    <w:rsid w:val="00EB7A09"/>
    <w:rsid w:val="00EC0EDC"/>
    <w:rsid w:val="00EC5AF4"/>
    <w:rsid w:val="00EC7E0B"/>
    <w:rsid w:val="00ED661C"/>
    <w:rsid w:val="00EE41B5"/>
    <w:rsid w:val="00EE66C9"/>
    <w:rsid w:val="00EF11A9"/>
    <w:rsid w:val="00EF38E1"/>
    <w:rsid w:val="00EF749A"/>
    <w:rsid w:val="00EF771E"/>
    <w:rsid w:val="00F02565"/>
    <w:rsid w:val="00F05542"/>
    <w:rsid w:val="00F06855"/>
    <w:rsid w:val="00F17A2C"/>
    <w:rsid w:val="00F21A70"/>
    <w:rsid w:val="00F26708"/>
    <w:rsid w:val="00F45608"/>
    <w:rsid w:val="00F511EE"/>
    <w:rsid w:val="00F55574"/>
    <w:rsid w:val="00F558E7"/>
    <w:rsid w:val="00F62016"/>
    <w:rsid w:val="00F63F44"/>
    <w:rsid w:val="00F6746D"/>
    <w:rsid w:val="00F811CD"/>
    <w:rsid w:val="00F82D8F"/>
    <w:rsid w:val="00F83F62"/>
    <w:rsid w:val="00F9711D"/>
    <w:rsid w:val="00FA011F"/>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18402&amp;digitoTst=85&amp;anoTst=2015&amp;orgaoTst=5&amp;tribunalTst=00&amp;varaTst=000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licacao4.tst.jus.br/consultaProcessual/consultaTstNumUnica.do?consulta=Consultar&amp;conscsjt=&amp;numeroTst=644&amp;digitoTst=68&amp;anoTst=2010&amp;orgaoTst=5&amp;tribunalTst=04&amp;varaTst=0029"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86700&amp;digitoTst=15&amp;anoTst=2009&amp;orgaoTst=5&amp;tribunalTst=11&amp;varaTst=000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BB26-AD50-492C-8764-6DFF7F7A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6175</CharactersWithSpaces>
  <SharedDoc>false</SharedDoc>
  <HLinks>
    <vt:vector size="18" baseType="variant">
      <vt:variant>
        <vt:i4>5570571</vt:i4>
      </vt:variant>
      <vt:variant>
        <vt:i4>6</vt:i4>
      </vt:variant>
      <vt:variant>
        <vt:i4>0</vt:i4>
      </vt:variant>
      <vt:variant>
        <vt:i4>5</vt:i4>
      </vt:variant>
      <vt:variant>
        <vt:lpwstr>http://aplicacao4.tst.jus.br/consultaProcessual/consultaTstNumUnica.do?consulta=Consultar&amp;conscsjt=&amp;numeroTst=644&amp;digitoTst=68&amp;anoTst=2010&amp;orgaoTst=5&amp;tribunalTst=04&amp;varaTst=0029</vt:lpwstr>
      </vt:variant>
      <vt:variant>
        <vt:lpwstr/>
      </vt:variant>
      <vt:variant>
        <vt:i4>6553649</vt:i4>
      </vt:variant>
      <vt:variant>
        <vt:i4>3</vt:i4>
      </vt:variant>
      <vt:variant>
        <vt:i4>0</vt:i4>
      </vt:variant>
      <vt:variant>
        <vt:i4>5</vt:i4>
      </vt:variant>
      <vt:variant>
        <vt:lpwstr>http://aplicacao4.tst.jus.br/consultaProcessual/consultaTstNumUnica.do?consulta=Consultar&amp;conscsjt=&amp;numeroTst=86700&amp;digitoTst=15&amp;anoTst=2009&amp;orgaoTst=5&amp;tribunalTst=11&amp;varaTst=0007</vt:lpwstr>
      </vt:variant>
      <vt:variant>
        <vt:lpwstr/>
      </vt:variant>
      <vt:variant>
        <vt:i4>6750256</vt:i4>
      </vt:variant>
      <vt:variant>
        <vt:i4>0</vt:i4>
      </vt:variant>
      <vt:variant>
        <vt:i4>0</vt:i4>
      </vt:variant>
      <vt:variant>
        <vt:i4>5</vt:i4>
      </vt:variant>
      <vt:variant>
        <vt:lpwstr>http://aplicacao4.tst.jus.br/consultaProcessual/consultaTstNumUnica.do?consulta=Consultar&amp;conscsjt=&amp;numeroTst=18402&amp;digitoTst=85&amp;anoTst=2015&amp;orgaoTst=5&amp;tribunalTst=00&amp;varaTst=0000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2015-11-24T18:05:00Z</cp:lastPrinted>
  <dcterms:created xsi:type="dcterms:W3CDTF">2018-06-27T21:49:00Z</dcterms:created>
  <dcterms:modified xsi:type="dcterms:W3CDTF">2018-06-27T21:49:00Z</dcterms:modified>
</cp:coreProperties>
</file>