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187A37" w:rsidRDefault="00C26DFB" w:rsidP="00DC50EB">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EA29F5" w:rsidRPr="005D1DE4" w:rsidRDefault="00EA29F5" w:rsidP="00EA29F5">
      <w:pPr>
        <w:pStyle w:val="Corpodetexto2"/>
        <w:jc w:val="center"/>
        <w:rPr>
          <w:b/>
          <w:bCs/>
          <w:emboss/>
          <w:sz w:val="10"/>
          <w:szCs w:val="10"/>
        </w:rPr>
      </w:pPr>
    </w:p>
    <w:p w:rsidR="000228E6"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left"/>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ab/>
      </w:r>
      <w:r w:rsidR="00732BD0">
        <w:rPr>
          <w:rFonts w:ascii="Times New Roman" w:hAnsi="Times New Roman" w:cs="Times New Roman"/>
          <w:b/>
          <w:bCs/>
          <w:shadow/>
          <w:color w:val="auto"/>
          <w:sz w:val="26"/>
          <w:szCs w:val="26"/>
          <w:lang w:val="pt-BR"/>
        </w:rPr>
        <w:t>TRIBUNAL PLENO</w:t>
      </w:r>
      <w:r>
        <w:rPr>
          <w:rFonts w:ascii="Times New Roman" w:hAnsi="Times New Roman" w:cs="Times New Roman"/>
          <w:b/>
          <w:bCs/>
          <w:shadow/>
          <w:color w:val="auto"/>
          <w:sz w:val="26"/>
          <w:szCs w:val="26"/>
          <w:lang w:val="pt-BR"/>
        </w:rPr>
        <w:tab/>
      </w:r>
    </w:p>
    <w:p w:rsidR="000228E6" w:rsidRPr="005D1DE4" w:rsidRDefault="000228E6" w:rsidP="00EA29F5">
      <w:pPr>
        <w:pStyle w:val="Corpodetexto2"/>
        <w:jc w:val="center"/>
        <w:rPr>
          <w:b/>
          <w:bCs/>
          <w:emboss/>
          <w:sz w:val="10"/>
          <w:szCs w:val="10"/>
        </w:rPr>
      </w:pPr>
    </w:p>
    <w:p w:rsidR="008D53A6" w:rsidRDefault="008D53A6" w:rsidP="005174C9">
      <w:pPr>
        <w:pStyle w:val="Corpodetexto2"/>
        <w:rPr>
          <w:bCs/>
          <w:iCs/>
          <w:color w:val="000000"/>
          <w:sz w:val="24"/>
          <w:szCs w:val="24"/>
        </w:rPr>
      </w:pPr>
    </w:p>
    <w:p w:rsidR="005174C9" w:rsidRPr="005174C9" w:rsidRDefault="005174C9" w:rsidP="005174C9">
      <w:pPr>
        <w:pStyle w:val="Corpodetexto2"/>
        <w:rPr>
          <w:bCs/>
          <w:iCs/>
          <w:color w:val="000000"/>
          <w:sz w:val="24"/>
          <w:szCs w:val="24"/>
        </w:rPr>
      </w:pPr>
      <w:r w:rsidRPr="005174C9">
        <w:rPr>
          <w:bCs/>
          <w:iCs/>
          <w:color w:val="000000"/>
          <w:sz w:val="24"/>
          <w:szCs w:val="24"/>
        </w:rPr>
        <w:t xml:space="preserve">O Tribunal Pleno, na sessão extraordinária do dia </w:t>
      </w:r>
      <w:r w:rsidR="00D67011">
        <w:rPr>
          <w:bCs/>
          <w:iCs/>
          <w:color w:val="000000"/>
          <w:sz w:val="24"/>
          <w:szCs w:val="24"/>
        </w:rPr>
        <w:t>27/10/2015</w:t>
      </w:r>
      <w:r w:rsidRPr="005174C9">
        <w:rPr>
          <w:bCs/>
          <w:iCs/>
          <w:color w:val="000000"/>
          <w:sz w:val="24"/>
          <w:szCs w:val="24"/>
        </w:rPr>
        <w:t>, aprovou as seguintes modificações na jurisprudência da Corte, ainda pendentes de publicação:</w:t>
      </w:r>
    </w:p>
    <w:p w:rsidR="008D53A6" w:rsidRPr="008D53A6" w:rsidRDefault="008D53A6" w:rsidP="005174C9">
      <w:pPr>
        <w:pStyle w:val="Corpodetexto2"/>
        <w:rPr>
          <w:bCs/>
          <w:iCs/>
          <w:color w:val="000000"/>
          <w:sz w:val="24"/>
          <w:szCs w:val="24"/>
        </w:rPr>
      </w:pPr>
    </w:p>
    <w:p w:rsidR="00D67011" w:rsidRPr="00D67011" w:rsidRDefault="00D67011" w:rsidP="00D67011">
      <w:pPr>
        <w:jc w:val="both"/>
        <w:rPr>
          <w:rStyle w:val="nfase"/>
          <w:b/>
          <w:i w:val="0"/>
          <w:sz w:val="24"/>
          <w:szCs w:val="24"/>
        </w:rPr>
      </w:pPr>
      <w:r w:rsidRPr="005174C9">
        <w:rPr>
          <w:b/>
          <w:bCs/>
          <w:iCs/>
          <w:color w:val="000000"/>
          <w:sz w:val="24"/>
          <w:szCs w:val="24"/>
        </w:rPr>
        <w:t xml:space="preserve">SÚMULA </w:t>
      </w:r>
      <w:r w:rsidRPr="00D67011">
        <w:rPr>
          <w:rStyle w:val="nfase"/>
          <w:b/>
          <w:i w:val="0"/>
          <w:sz w:val="24"/>
          <w:szCs w:val="24"/>
        </w:rPr>
        <w:t xml:space="preserve">Nº 392 </w:t>
      </w:r>
    </w:p>
    <w:p w:rsidR="00D67011" w:rsidRPr="00D67011" w:rsidRDefault="00D67011" w:rsidP="00D67011">
      <w:pPr>
        <w:jc w:val="both"/>
        <w:rPr>
          <w:rStyle w:val="nfase"/>
          <w:b/>
          <w:bCs/>
          <w:i w:val="0"/>
          <w:sz w:val="22"/>
          <w:szCs w:val="22"/>
        </w:rPr>
      </w:pPr>
      <w:r w:rsidRPr="00D67011">
        <w:rPr>
          <w:rStyle w:val="nfase"/>
          <w:i w:val="0"/>
          <w:sz w:val="24"/>
          <w:szCs w:val="24"/>
        </w:rPr>
        <w:t>DANO MORAL E MATERIAL. RELAÇÃO DE TRABALHO. COMPETÊNCIA DA JUSTIÇA DO TRABALHO</w:t>
      </w:r>
      <w:r w:rsidRPr="00D67011">
        <w:rPr>
          <w:rStyle w:val="nfase"/>
          <w:i w:val="0"/>
          <w:sz w:val="22"/>
          <w:szCs w:val="22"/>
        </w:rPr>
        <w:t xml:space="preserve"> (</w:t>
      </w:r>
      <w:r w:rsidRPr="00D67011">
        <w:rPr>
          <w:rStyle w:val="nfase"/>
          <w:b/>
          <w:i w:val="0"/>
          <w:sz w:val="22"/>
          <w:szCs w:val="22"/>
        </w:rPr>
        <w:t>nova redação</w:t>
      </w:r>
      <w:r w:rsidRPr="00D67011">
        <w:rPr>
          <w:rStyle w:val="nfase"/>
          <w:i w:val="0"/>
          <w:sz w:val="22"/>
          <w:szCs w:val="22"/>
        </w:rPr>
        <w:t>)</w:t>
      </w:r>
    </w:p>
    <w:p w:rsidR="00D67011" w:rsidRPr="00FA7002" w:rsidRDefault="00D67011" w:rsidP="00D67011">
      <w:pPr>
        <w:jc w:val="both"/>
        <w:rPr>
          <w:rStyle w:val="nfase"/>
          <w:b/>
          <w:bCs/>
          <w:i w:val="0"/>
          <w:sz w:val="24"/>
          <w:szCs w:val="24"/>
        </w:rPr>
      </w:pPr>
      <w:r w:rsidRPr="00FA7002">
        <w:rPr>
          <w:rStyle w:val="nfase"/>
          <w:i w:val="0"/>
          <w:sz w:val="24"/>
          <w:szCs w:val="24"/>
        </w:rPr>
        <w:t>Nos termos do art. 114, inc. VI, da Constituição da República, a Justiça do Trabalho é competente para processar e julgar ações de indenização por dano moral e material, decorrentes da relação de trabalho, inclusive as oriundas de acidente de trabalho e doenças a ele equiparadas, ainda que propostas pelos dependentes ou sucessores do trabalhador falecido.</w:t>
      </w:r>
    </w:p>
    <w:p w:rsidR="005174C9" w:rsidRDefault="005174C9" w:rsidP="005174C9">
      <w:pPr>
        <w:pStyle w:val="Corpodetexto2"/>
        <w:rPr>
          <w:bCs/>
          <w:iCs/>
          <w:color w:val="000000"/>
          <w:sz w:val="24"/>
          <w:szCs w:val="24"/>
        </w:rPr>
      </w:pPr>
    </w:p>
    <w:p w:rsidR="008D53A6" w:rsidRPr="008D53A6" w:rsidRDefault="008D53A6" w:rsidP="005174C9">
      <w:pPr>
        <w:pStyle w:val="Corpodetexto2"/>
        <w:rPr>
          <w:bCs/>
          <w:iCs/>
          <w:color w:val="000000"/>
          <w:sz w:val="24"/>
          <w:szCs w:val="24"/>
        </w:rPr>
      </w:pPr>
    </w:p>
    <w:p w:rsidR="00F7522E" w:rsidRPr="00F7522E" w:rsidRDefault="00FA7002" w:rsidP="00F7522E">
      <w:pPr>
        <w:pStyle w:val="Corpodetexto2"/>
        <w:rPr>
          <w:b/>
          <w:bCs/>
          <w:iCs/>
          <w:color w:val="000000"/>
          <w:sz w:val="24"/>
          <w:szCs w:val="24"/>
        </w:rPr>
      </w:pPr>
      <w:r>
        <w:rPr>
          <w:b/>
          <w:bCs/>
          <w:iCs/>
          <w:color w:val="000000"/>
          <w:sz w:val="24"/>
          <w:szCs w:val="24"/>
        </w:rPr>
        <w:t>OJ Nº 315</w:t>
      </w:r>
      <w:r w:rsidR="00F7522E" w:rsidRPr="00F7522E">
        <w:rPr>
          <w:b/>
          <w:bCs/>
          <w:iCs/>
          <w:color w:val="000000"/>
          <w:sz w:val="24"/>
          <w:szCs w:val="24"/>
        </w:rPr>
        <w:t xml:space="preserve"> DA SBDI-I</w:t>
      </w:r>
    </w:p>
    <w:p w:rsidR="00F7522E" w:rsidRDefault="00FA7002" w:rsidP="00F7522E">
      <w:pPr>
        <w:pStyle w:val="Corpodetexto2"/>
        <w:rPr>
          <w:b/>
          <w:bCs/>
          <w:iCs/>
          <w:color w:val="000000"/>
          <w:sz w:val="24"/>
          <w:szCs w:val="24"/>
        </w:rPr>
      </w:pPr>
      <w:r w:rsidRPr="00FA7002">
        <w:rPr>
          <w:bCs/>
          <w:color w:val="000000"/>
          <w:sz w:val="24"/>
          <w:szCs w:val="24"/>
          <w:shd w:val="clear" w:color="auto" w:fill="FFFFFF"/>
        </w:rPr>
        <w:t>MOTORISTA. EMPRESA. ATIVIDADE PREDOMINANTEMENTE RURAL. ENQUADRAMENTO COMO TRABALHADOR RURAL</w:t>
      </w:r>
      <w:r w:rsidRPr="00F7522E">
        <w:rPr>
          <w:b/>
          <w:bCs/>
          <w:iCs/>
          <w:color w:val="000000"/>
          <w:sz w:val="24"/>
          <w:szCs w:val="24"/>
        </w:rPr>
        <w:t xml:space="preserve"> </w:t>
      </w:r>
      <w:r w:rsidR="00F7522E" w:rsidRPr="00F7522E">
        <w:rPr>
          <w:b/>
          <w:bCs/>
          <w:iCs/>
          <w:color w:val="000000"/>
          <w:sz w:val="24"/>
          <w:szCs w:val="24"/>
        </w:rPr>
        <w:t>(cancelada</w:t>
      </w:r>
      <w:r>
        <w:rPr>
          <w:b/>
          <w:bCs/>
          <w:iCs/>
          <w:color w:val="000000"/>
          <w:sz w:val="24"/>
          <w:szCs w:val="24"/>
        </w:rPr>
        <w:t>)</w:t>
      </w:r>
    </w:p>
    <w:p w:rsidR="004A181A" w:rsidRDefault="00FA7002" w:rsidP="00F7522E">
      <w:pPr>
        <w:pStyle w:val="Corpodetexto2"/>
        <w:rPr>
          <w:color w:val="000000"/>
          <w:sz w:val="24"/>
          <w:szCs w:val="24"/>
          <w:shd w:val="clear" w:color="auto" w:fill="FFFFFF"/>
        </w:rPr>
      </w:pPr>
      <w:r w:rsidRPr="00FA7002">
        <w:rPr>
          <w:color w:val="000000"/>
          <w:sz w:val="24"/>
          <w:szCs w:val="24"/>
          <w:shd w:val="clear" w:color="auto" w:fill="FFFFFF"/>
        </w:rPr>
        <w:t>É considerado trabalhador rural o motorista que trabalha no âmbito de empresa cuja atividade é preponderantemente rural, considerando que, de modo geral, não enfrenta o trânsito das estradas e cidades.</w:t>
      </w:r>
    </w:p>
    <w:p w:rsidR="00FA7002" w:rsidRDefault="00FA7002" w:rsidP="00F7522E">
      <w:pPr>
        <w:pStyle w:val="Corpodetexto2"/>
        <w:rPr>
          <w:bCs/>
          <w:iCs/>
          <w:color w:val="000000"/>
          <w:sz w:val="24"/>
          <w:szCs w:val="24"/>
        </w:rPr>
      </w:pPr>
    </w:p>
    <w:p w:rsidR="008D53A6" w:rsidRPr="00FA7002" w:rsidRDefault="008D53A6" w:rsidP="00F7522E">
      <w:pPr>
        <w:pStyle w:val="Corpodetexto2"/>
        <w:rPr>
          <w:bCs/>
          <w:iCs/>
          <w:color w:val="000000"/>
          <w:sz w:val="24"/>
          <w:szCs w:val="24"/>
        </w:rPr>
      </w:pPr>
    </w:p>
    <w:p w:rsidR="004A181A" w:rsidRPr="004A181A" w:rsidRDefault="00E069CF" w:rsidP="004A181A">
      <w:pPr>
        <w:rPr>
          <w:b/>
          <w:sz w:val="24"/>
          <w:szCs w:val="24"/>
          <w:lang w:val="pt-PT"/>
        </w:rPr>
      </w:pPr>
      <w:r>
        <w:rPr>
          <w:b/>
          <w:sz w:val="24"/>
          <w:szCs w:val="24"/>
          <w:lang w:val="pt-PT"/>
        </w:rPr>
        <w:t>OJ Nº 419</w:t>
      </w:r>
      <w:r w:rsidR="004A181A" w:rsidRPr="004A181A">
        <w:rPr>
          <w:b/>
          <w:sz w:val="24"/>
          <w:szCs w:val="24"/>
          <w:lang w:val="pt-PT"/>
        </w:rPr>
        <w:t xml:space="preserve"> DA SBDI-I</w:t>
      </w:r>
    </w:p>
    <w:p w:rsidR="004A181A" w:rsidRPr="008E2660" w:rsidRDefault="00E069CF" w:rsidP="004A181A">
      <w:pPr>
        <w:pStyle w:val="Pr-formataoHTML"/>
        <w:jc w:val="both"/>
        <w:rPr>
          <w:rFonts w:ascii="Times New Roman" w:hAnsi="Times New Roman" w:cs="Times New Roman"/>
          <w:b/>
          <w:bCs/>
          <w:sz w:val="24"/>
          <w:szCs w:val="22"/>
        </w:rPr>
      </w:pPr>
      <w:r w:rsidRPr="00E069CF">
        <w:rPr>
          <w:rFonts w:ascii="Times New Roman" w:hAnsi="Times New Roman" w:cs="Times New Roman"/>
          <w:bCs/>
          <w:color w:val="000000"/>
          <w:sz w:val="24"/>
          <w:szCs w:val="24"/>
          <w:shd w:val="clear" w:color="auto" w:fill="FFFFFF"/>
        </w:rPr>
        <w:t>ENQUADRAMENTO. EMPREGADO QUE EXERCE ATIVIDADE EM EMPRESA AGROINDUSTRIAL. DEFINIÇÃO PELA ATIVIDADE PREPONDERANTE DA EMPRESA.</w:t>
      </w:r>
      <w:r>
        <w:rPr>
          <w:rFonts w:ascii="Times New Roman" w:hAnsi="Times New Roman" w:cs="Times New Roman"/>
          <w:b/>
          <w:bCs/>
          <w:sz w:val="24"/>
          <w:szCs w:val="22"/>
        </w:rPr>
        <w:t xml:space="preserve"> </w:t>
      </w:r>
      <w:r w:rsidR="004A181A">
        <w:rPr>
          <w:rFonts w:ascii="Times New Roman" w:hAnsi="Times New Roman" w:cs="Times New Roman"/>
          <w:b/>
          <w:bCs/>
          <w:sz w:val="24"/>
          <w:szCs w:val="22"/>
        </w:rPr>
        <w:t>(cancelada)</w:t>
      </w:r>
    </w:p>
    <w:p w:rsidR="004A181A" w:rsidRDefault="002B737A" w:rsidP="00F67B2B">
      <w:pPr>
        <w:jc w:val="both"/>
        <w:rPr>
          <w:color w:val="000000"/>
          <w:sz w:val="24"/>
          <w:szCs w:val="24"/>
          <w:shd w:val="clear" w:color="auto" w:fill="FFFFFF"/>
        </w:rPr>
      </w:pPr>
      <w:r w:rsidRPr="002B737A">
        <w:rPr>
          <w:color w:val="000000"/>
          <w:sz w:val="24"/>
          <w:szCs w:val="24"/>
          <w:shd w:val="clear" w:color="auto" w:fill="FFFFFF"/>
        </w:rPr>
        <w:t>Considera-se rurícola empregado que, a despeito da atividade exercida, presta serviços a empregador agroindustrial (art. 3º, § 1º, da Lei nº 5.889, de 08.06.1973), visto que, neste caso, é a atividade preponderante da empresa que determina o enquadramento.</w:t>
      </w:r>
    </w:p>
    <w:p w:rsidR="00094284" w:rsidRDefault="00094284" w:rsidP="00F67B2B">
      <w:pPr>
        <w:jc w:val="both"/>
        <w:rPr>
          <w:color w:val="000000"/>
          <w:sz w:val="24"/>
          <w:szCs w:val="24"/>
          <w:shd w:val="clear" w:color="auto" w:fill="FFFFFF"/>
        </w:rPr>
      </w:pPr>
    </w:p>
    <w:p w:rsidR="008D53A6" w:rsidRDefault="008D53A6" w:rsidP="00F67B2B">
      <w:pPr>
        <w:jc w:val="both"/>
        <w:rPr>
          <w:color w:val="000000"/>
          <w:sz w:val="24"/>
          <w:szCs w:val="24"/>
          <w:shd w:val="clear" w:color="auto" w:fill="FFFFFF"/>
        </w:rPr>
      </w:pPr>
    </w:p>
    <w:p w:rsidR="00094284" w:rsidRPr="00895CC6" w:rsidRDefault="00094284" w:rsidP="00094284">
      <w:pPr>
        <w:jc w:val="both"/>
        <w:rPr>
          <w:b/>
          <w:i/>
          <w:sz w:val="24"/>
          <w:szCs w:val="24"/>
        </w:rPr>
      </w:pPr>
      <w:r w:rsidRPr="00513BE0">
        <w:rPr>
          <w:b/>
          <w:i/>
          <w:sz w:val="24"/>
          <w:szCs w:val="24"/>
        </w:rPr>
        <w:t>Contribuição previdenciária. Fato gerador</w:t>
      </w:r>
      <w:r>
        <w:rPr>
          <w:b/>
          <w:i/>
          <w:sz w:val="24"/>
          <w:szCs w:val="24"/>
        </w:rPr>
        <w:t>. Créditos trabalhistas reconhecidos em juízo após as alterações no</w:t>
      </w:r>
      <w:r w:rsidRPr="00057114">
        <w:t xml:space="preserve"> </w:t>
      </w:r>
      <w:r w:rsidRPr="00057114">
        <w:rPr>
          <w:b/>
          <w:i/>
          <w:sz w:val="24"/>
          <w:szCs w:val="24"/>
        </w:rPr>
        <w:t>artigo 43 da Lei nº 8.212/91</w:t>
      </w:r>
      <w:r w:rsidRPr="00513BE0">
        <w:rPr>
          <w:b/>
          <w:i/>
          <w:sz w:val="24"/>
          <w:szCs w:val="24"/>
        </w:rPr>
        <w:t xml:space="preserve">. Incidência de </w:t>
      </w:r>
      <w:r>
        <w:rPr>
          <w:b/>
          <w:i/>
          <w:sz w:val="24"/>
          <w:szCs w:val="24"/>
        </w:rPr>
        <w:t xml:space="preserve">correção monetária, </w:t>
      </w:r>
      <w:r w:rsidRPr="00513BE0">
        <w:rPr>
          <w:b/>
          <w:i/>
          <w:sz w:val="24"/>
          <w:szCs w:val="24"/>
        </w:rPr>
        <w:t>juros de mora</w:t>
      </w:r>
      <w:r>
        <w:rPr>
          <w:b/>
          <w:i/>
          <w:sz w:val="24"/>
          <w:szCs w:val="24"/>
        </w:rPr>
        <w:t xml:space="preserve"> e multa</w:t>
      </w:r>
      <w:r w:rsidRPr="00513BE0">
        <w:rPr>
          <w:b/>
          <w:i/>
          <w:sz w:val="24"/>
          <w:szCs w:val="24"/>
        </w:rPr>
        <w:t>.</w:t>
      </w:r>
      <w:r>
        <w:rPr>
          <w:b/>
          <w:i/>
          <w:sz w:val="24"/>
          <w:szCs w:val="24"/>
        </w:rPr>
        <w:t xml:space="preserve"> Marco inicial. Responsabilidades. </w:t>
      </w:r>
    </w:p>
    <w:p w:rsidR="00094284" w:rsidRDefault="00094284" w:rsidP="00094284">
      <w:pPr>
        <w:pStyle w:val="Corpo"/>
        <w:spacing w:line="240" w:lineRule="auto"/>
        <w:ind w:firstLine="0"/>
        <w:rPr>
          <w:rFonts w:ascii="Times New Roman" w:hAnsi="Times New Roman"/>
          <w:u w:val="single"/>
          <w:lang w:val="pt-BR"/>
        </w:rPr>
      </w:pPr>
      <w:r>
        <w:rPr>
          <w:rFonts w:ascii="Times New Roman" w:eastAsia="Calibri" w:hAnsi="Times New Roman" w:cs="Times New Roman"/>
          <w:color w:val="auto"/>
          <w:lang w:val="pt-BR" w:eastAsia="en-US"/>
        </w:rPr>
        <w:t>O</w:t>
      </w:r>
      <w:r w:rsidRPr="00DC6A2F">
        <w:rPr>
          <w:rFonts w:ascii="Times New Roman" w:eastAsia="Calibri" w:hAnsi="Times New Roman" w:cs="Times New Roman"/>
          <w:color w:val="auto"/>
          <w:lang w:val="pt-BR" w:eastAsia="en-US"/>
        </w:rPr>
        <w:t xml:space="preserve"> fato gerador da contribuição previdenciária</w:t>
      </w:r>
      <w:r>
        <w:rPr>
          <w:rFonts w:ascii="Times New Roman" w:eastAsia="Calibri" w:hAnsi="Times New Roman" w:cs="Times New Roman"/>
          <w:color w:val="auto"/>
          <w:lang w:val="pt-BR" w:eastAsia="en-US"/>
        </w:rPr>
        <w:t xml:space="preserve"> decorrente</w:t>
      </w:r>
      <w:r w:rsidRPr="00DC6A2F">
        <w:rPr>
          <w:rFonts w:ascii="Times New Roman" w:eastAsia="Calibri" w:hAnsi="Times New Roman" w:cs="Times New Roman"/>
          <w:color w:val="auto"/>
          <w:lang w:val="pt-BR" w:eastAsia="en-US"/>
        </w:rPr>
        <w:t xml:space="preserve"> de créditos trabalhistas reconhecidos em juízo </w:t>
      </w:r>
      <w:r>
        <w:rPr>
          <w:rFonts w:ascii="Times New Roman" w:eastAsia="Calibri" w:hAnsi="Times New Roman" w:cs="Times New Roman"/>
          <w:color w:val="auto"/>
          <w:lang w:val="pt-BR" w:eastAsia="en-US"/>
        </w:rPr>
        <w:t>é</w:t>
      </w:r>
      <w:r w:rsidRPr="00DC6A2F">
        <w:rPr>
          <w:rFonts w:ascii="Times New Roman" w:eastAsia="Calibri" w:hAnsi="Times New Roman" w:cs="Times New Roman"/>
          <w:color w:val="auto"/>
          <w:lang w:val="pt-BR" w:eastAsia="en-US"/>
        </w:rPr>
        <w:t xml:space="preserve"> a prestação do serviço</w:t>
      </w:r>
      <w:r>
        <w:rPr>
          <w:rFonts w:ascii="Times New Roman" w:eastAsia="Calibri" w:hAnsi="Times New Roman" w:cs="Times New Roman"/>
          <w:color w:val="auto"/>
          <w:lang w:val="pt-BR" w:eastAsia="en-US"/>
        </w:rPr>
        <w:t>, no que tange</w:t>
      </w:r>
      <w:r w:rsidRPr="00FE499C">
        <w:rPr>
          <w:rFonts w:ascii="Times New Roman" w:eastAsia="Calibri" w:hAnsi="Times New Roman" w:cs="Times New Roman"/>
          <w:color w:val="auto"/>
          <w:lang w:val="pt-BR" w:eastAsia="en-US"/>
        </w:rPr>
        <w:t xml:space="preserve"> ao período posterior à alteração do artigo 43</w:t>
      </w:r>
      <w:r>
        <w:rPr>
          <w:rFonts w:ascii="Times New Roman" w:eastAsia="Calibri" w:hAnsi="Times New Roman" w:cs="Times New Roman"/>
          <w:color w:val="auto"/>
          <w:lang w:val="pt-BR" w:eastAsia="en-US"/>
        </w:rPr>
        <w:t xml:space="preserve"> </w:t>
      </w:r>
      <w:r w:rsidRPr="00FE499C">
        <w:rPr>
          <w:rFonts w:ascii="Times New Roman" w:eastAsia="Calibri" w:hAnsi="Times New Roman" w:cs="Times New Roman"/>
          <w:color w:val="auto"/>
          <w:lang w:val="pt-BR" w:eastAsia="en-US"/>
        </w:rPr>
        <w:t>da Lei nº 8.212/91, feita pela Medida Provisória nº 449/2008, c</w:t>
      </w:r>
      <w:r>
        <w:rPr>
          <w:rFonts w:ascii="Times New Roman" w:eastAsia="Calibri" w:hAnsi="Times New Roman" w:cs="Times New Roman"/>
          <w:color w:val="auto"/>
          <w:lang w:val="pt-BR" w:eastAsia="en-US"/>
        </w:rPr>
        <w:t>onvertida na Lei nº 11.941/2009 (04.03.2009). O</w:t>
      </w:r>
      <w:r w:rsidRPr="00745731">
        <w:rPr>
          <w:rFonts w:ascii="Times New Roman" w:eastAsia="Calibri" w:hAnsi="Times New Roman" w:cs="Times New Roman"/>
          <w:color w:val="auto"/>
          <w:lang w:val="pt-BR" w:eastAsia="en-US"/>
        </w:rPr>
        <w:t xml:space="preserve"> fato gerador das contribuições previdenciárias não está </w:t>
      </w:r>
      <w:r>
        <w:rPr>
          <w:rFonts w:ascii="Times New Roman" w:eastAsia="Calibri" w:hAnsi="Times New Roman" w:cs="Times New Roman"/>
          <w:color w:val="auto"/>
          <w:lang w:val="pt-BR" w:eastAsia="en-US"/>
        </w:rPr>
        <w:t>previsto</w:t>
      </w:r>
      <w:r w:rsidRPr="00745731">
        <w:rPr>
          <w:rFonts w:ascii="Times New Roman" w:eastAsia="Calibri" w:hAnsi="Times New Roman" w:cs="Times New Roman"/>
          <w:color w:val="auto"/>
          <w:lang w:val="pt-BR" w:eastAsia="en-US"/>
        </w:rPr>
        <w:t xml:space="preserve"> no artigo 195, </w:t>
      </w:r>
      <w:r>
        <w:rPr>
          <w:rFonts w:ascii="Times New Roman" w:eastAsia="Calibri" w:hAnsi="Times New Roman" w:cs="Times New Roman"/>
          <w:color w:val="auto"/>
          <w:lang w:val="pt-BR" w:eastAsia="en-US"/>
        </w:rPr>
        <w:t>I, “a”, da Constituição Federal. Logo,</w:t>
      </w:r>
      <w:r w:rsidRPr="00745731">
        <w:rPr>
          <w:rFonts w:ascii="Times New Roman" w:eastAsia="Calibri" w:hAnsi="Times New Roman" w:cs="Times New Roman"/>
          <w:color w:val="auto"/>
          <w:lang w:val="pt-BR" w:eastAsia="en-US"/>
        </w:rPr>
        <w:t xml:space="preserve"> a lei</w:t>
      </w:r>
      <w:r>
        <w:rPr>
          <w:rFonts w:ascii="Times New Roman" w:eastAsia="Calibri" w:hAnsi="Times New Roman" w:cs="Times New Roman"/>
          <w:color w:val="auto"/>
          <w:lang w:val="pt-BR" w:eastAsia="en-US"/>
        </w:rPr>
        <w:t xml:space="preserve"> -</w:t>
      </w:r>
      <w:r w:rsidRPr="00745731">
        <w:rPr>
          <w:rFonts w:ascii="Times New Roman" w:eastAsia="Calibri" w:hAnsi="Times New Roman" w:cs="Times New Roman"/>
          <w:color w:val="auto"/>
          <w:lang w:val="pt-BR" w:eastAsia="en-US"/>
        </w:rPr>
        <w:t xml:space="preserve"> no caso</w:t>
      </w:r>
      <w:r>
        <w:rPr>
          <w:rFonts w:ascii="Times New Roman" w:eastAsia="Calibri" w:hAnsi="Times New Roman" w:cs="Times New Roman"/>
          <w:color w:val="auto"/>
          <w:lang w:val="pt-BR" w:eastAsia="en-US"/>
        </w:rPr>
        <w:t>,</w:t>
      </w:r>
      <w:r w:rsidRPr="00745731">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o artigo 43, §2º, da</w:t>
      </w:r>
      <w:r w:rsidRPr="00745731">
        <w:rPr>
          <w:rFonts w:ascii="Times New Roman" w:eastAsia="Calibri" w:hAnsi="Times New Roman" w:cs="Times New Roman"/>
          <w:color w:val="auto"/>
          <w:lang w:val="pt-BR" w:eastAsia="en-US"/>
        </w:rPr>
        <w:t xml:space="preserve"> Lei nº 8.212/91</w:t>
      </w:r>
      <w:r>
        <w:rPr>
          <w:rFonts w:ascii="Times New Roman" w:eastAsia="Calibri" w:hAnsi="Times New Roman" w:cs="Times New Roman"/>
          <w:color w:val="auto"/>
          <w:lang w:val="pt-BR" w:eastAsia="en-US"/>
        </w:rPr>
        <w:t xml:space="preserve"> - </w:t>
      </w:r>
      <w:r w:rsidRPr="00745731">
        <w:rPr>
          <w:rFonts w:ascii="Times New Roman" w:eastAsia="Calibri" w:hAnsi="Times New Roman" w:cs="Times New Roman"/>
          <w:color w:val="auto"/>
          <w:lang w:val="pt-BR" w:eastAsia="en-US"/>
        </w:rPr>
        <w:t>pode perfeitame</w:t>
      </w:r>
      <w:r>
        <w:rPr>
          <w:rFonts w:ascii="Times New Roman" w:eastAsia="Calibri" w:hAnsi="Times New Roman" w:cs="Times New Roman"/>
          <w:color w:val="auto"/>
          <w:lang w:val="pt-BR" w:eastAsia="en-US"/>
        </w:rPr>
        <w:t>nte dispor a respeito</w:t>
      </w:r>
      <w:r w:rsidRPr="00745731">
        <w:rPr>
          <w:rFonts w:ascii="Times New Roman" w:eastAsia="Calibri" w:hAnsi="Times New Roman" w:cs="Times New Roman"/>
          <w:color w:val="auto"/>
          <w:lang w:val="pt-BR" w:eastAsia="en-US"/>
        </w:rPr>
        <w:t>.</w:t>
      </w:r>
      <w:r>
        <w:rPr>
          <w:rFonts w:ascii="Times New Roman" w:eastAsia="Calibri" w:hAnsi="Times New Roman" w:cs="Times New Roman"/>
          <w:color w:val="auto"/>
          <w:lang w:val="pt-BR" w:eastAsia="en-US"/>
        </w:rPr>
        <w:t xml:space="preserve"> </w:t>
      </w:r>
      <w:r w:rsidRPr="00DC6A2F">
        <w:rPr>
          <w:rFonts w:ascii="Times New Roman" w:eastAsia="Calibri" w:hAnsi="Times New Roman" w:cs="Times New Roman"/>
          <w:color w:val="auto"/>
          <w:lang w:val="pt-BR" w:eastAsia="en-US"/>
        </w:rPr>
        <w:t xml:space="preserve">Assim, a partir de </w:t>
      </w:r>
      <w:r>
        <w:rPr>
          <w:rFonts w:ascii="Times New Roman" w:eastAsia="Calibri" w:hAnsi="Times New Roman" w:cs="Times New Roman"/>
          <w:color w:val="auto"/>
          <w:lang w:val="pt-BR" w:eastAsia="en-US"/>
        </w:rPr>
        <w:t>05.03.2009</w:t>
      </w:r>
      <w:r w:rsidRPr="00DC6A2F">
        <w:rPr>
          <w:rFonts w:ascii="Times New Roman" w:eastAsia="Calibri" w:hAnsi="Times New Roman" w:cs="Times New Roman"/>
          <w:color w:val="auto"/>
          <w:lang w:val="pt-BR" w:eastAsia="en-US"/>
        </w:rPr>
        <w:t>,</w:t>
      </w:r>
      <w:r>
        <w:rPr>
          <w:rFonts w:ascii="Times New Roman" w:eastAsia="Calibri" w:hAnsi="Times New Roman" w:cs="Times New Roman"/>
          <w:color w:val="auto"/>
          <w:lang w:val="pt-BR" w:eastAsia="en-US"/>
        </w:rPr>
        <w:t xml:space="preserve"> </w:t>
      </w:r>
      <w:r w:rsidRPr="00DC6A2F">
        <w:rPr>
          <w:rFonts w:ascii="Times New Roman" w:eastAsia="Calibri" w:hAnsi="Times New Roman" w:cs="Times New Roman"/>
          <w:color w:val="auto"/>
          <w:lang w:val="pt-BR" w:eastAsia="en-US"/>
        </w:rPr>
        <w:t>aplica-se o regime de competência</w:t>
      </w:r>
      <w:r>
        <w:rPr>
          <w:rFonts w:ascii="Times New Roman" w:eastAsia="Calibri" w:hAnsi="Times New Roman" w:cs="Times New Roman"/>
          <w:color w:val="auto"/>
          <w:lang w:val="pt-BR" w:eastAsia="en-US"/>
        </w:rPr>
        <w:t xml:space="preserve"> (em substituição ao regime de caixa)</w:t>
      </w:r>
      <w:r w:rsidRPr="00DC6A2F">
        <w:rPr>
          <w:rFonts w:ascii="Times New Roman" w:eastAsia="Calibri" w:hAnsi="Times New Roman" w:cs="Times New Roman"/>
          <w:color w:val="auto"/>
          <w:lang w:val="pt-BR" w:eastAsia="en-US"/>
        </w:rPr>
        <w:t>, incidindo</w:t>
      </w:r>
      <w:r>
        <w:rPr>
          <w:rFonts w:ascii="Times New Roman" w:eastAsia="Calibri" w:hAnsi="Times New Roman" w:cs="Times New Roman"/>
          <w:color w:val="auto"/>
          <w:lang w:val="pt-BR" w:eastAsia="en-US"/>
        </w:rPr>
        <w:t>, pois,</w:t>
      </w:r>
      <w:r w:rsidRPr="00DC6A2F">
        <w:rPr>
          <w:rFonts w:ascii="Times New Roman" w:eastAsia="Calibri" w:hAnsi="Times New Roman" w:cs="Times New Roman"/>
          <w:color w:val="auto"/>
          <w:lang w:val="pt-BR" w:eastAsia="en-US"/>
        </w:rPr>
        <w:t xml:space="preserve"> correção monetária e juros de mora a partir da prestação de serviços</w:t>
      </w:r>
      <w:r>
        <w:rPr>
          <w:rFonts w:ascii="Times New Roman" w:eastAsia="Calibri" w:hAnsi="Times New Roman" w:cs="Times New Roman"/>
          <w:color w:val="auto"/>
          <w:lang w:val="pt-BR" w:eastAsia="en-US"/>
        </w:rPr>
        <w:t xml:space="preserve">. </w:t>
      </w:r>
      <w:r w:rsidRPr="0076133E">
        <w:rPr>
          <w:rFonts w:ascii="Times New Roman" w:eastAsia="Calibri" w:hAnsi="Times New Roman" w:cs="Times New Roman"/>
          <w:color w:val="auto"/>
          <w:lang w:val="pt-BR" w:eastAsia="en-US"/>
        </w:rPr>
        <w:t xml:space="preserve">Quanto à multa, ao contrário da atualização monetária para recomposição do valor da </w:t>
      </w:r>
      <w:r w:rsidRPr="0076133E">
        <w:rPr>
          <w:rFonts w:ascii="Times New Roman" w:eastAsia="Calibri" w:hAnsi="Times New Roman" w:cs="Times New Roman"/>
          <w:color w:val="auto"/>
          <w:lang w:val="pt-BR" w:eastAsia="en-US"/>
        </w:rPr>
        <w:lastRenderedPageBreak/>
        <w:t xml:space="preserve">moeda e dos juros pela utilização do capital alheio, </w:t>
      </w:r>
      <w:r>
        <w:rPr>
          <w:rFonts w:ascii="Times New Roman" w:eastAsia="Calibri" w:hAnsi="Times New Roman" w:cs="Times New Roman"/>
          <w:color w:val="auto"/>
          <w:lang w:val="pt-BR" w:eastAsia="en-US"/>
        </w:rPr>
        <w:t>trata-se de</w:t>
      </w:r>
      <w:r w:rsidRPr="0076133E">
        <w:rPr>
          <w:rFonts w:ascii="Times New Roman" w:eastAsia="Calibri" w:hAnsi="Times New Roman" w:cs="Times New Roman"/>
          <w:color w:val="auto"/>
          <w:lang w:val="pt-BR" w:eastAsia="en-US"/>
        </w:rPr>
        <w:t xml:space="preserve"> uma penalidade destinada a compelir o devedor à satisfação da obrigação a partir do seu reconhecimento</w:t>
      </w:r>
      <w:r>
        <w:rPr>
          <w:rFonts w:ascii="Times New Roman" w:eastAsia="Calibri" w:hAnsi="Times New Roman" w:cs="Times New Roman"/>
          <w:color w:val="auto"/>
          <w:lang w:val="pt-BR" w:eastAsia="en-US"/>
        </w:rPr>
        <w:t xml:space="preserve">. Dessa forma, decidiu-se que </w:t>
      </w:r>
      <w:r w:rsidRPr="0076133E">
        <w:rPr>
          <w:rFonts w:ascii="Times New Roman" w:eastAsia="Calibri" w:hAnsi="Times New Roman" w:cs="Times New Roman"/>
          <w:color w:val="auto"/>
          <w:lang w:val="pt-BR" w:eastAsia="en-US"/>
        </w:rPr>
        <w:t xml:space="preserve">não incide retroativamente à prestação de serviços, e sim a partir </w:t>
      </w:r>
      <w:r w:rsidRPr="00AF4B0F">
        <w:rPr>
          <w:rFonts w:ascii="Times New Roman" w:eastAsia="Calibri" w:hAnsi="Times New Roman" w:cs="Times New Roman"/>
          <w:color w:val="auto"/>
          <w:lang w:val="pt-BR" w:eastAsia="en-US"/>
        </w:rPr>
        <w:t>do exauri</w:t>
      </w:r>
      <w:r>
        <w:rPr>
          <w:rFonts w:ascii="Times New Roman" w:eastAsia="Calibri" w:hAnsi="Times New Roman" w:cs="Times New Roman"/>
          <w:color w:val="auto"/>
          <w:lang w:val="pt-BR" w:eastAsia="en-US"/>
        </w:rPr>
        <w:t>mento do prazo de citação para</w:t>
      </w:r>
      <w:r w:rsidRPr="00AF4B0F">
        <w:rPr>
          <w:rFonts w:ascii="Times New Roman" w:eastAsia="Calibri" w:hAnsi="Times New Roman" w:cs="Times New Roman"/>
          <w:color w:val="auto"/>
          <w:lang w:val="pt-BR" w:eastAsia="en-US"/>
        </w:rPr>
        <w:t xml:space="preserve"> pagamento, uma vez apurados os créditos previdenciários, se descumprida a obrigação, observado o limite legal de 20%</w:t>
      </w:r>
      <w:r w:rsidRPr="00851B18">
        <w:rPr>
          <w:rFonts w:ascii="Times New Roman" w:eastAsia="Calibri" w:hAnsi="Times New Roman" w:cs="Times New Roman"/>
          <w:color w:val="auto"/>
          <w:lang w:val="pt-BR" w:eastAsia="en-US"/>
        </w:rPr>
        <w:t>, nos termos do</w:t>
      </w:r>
      <w:r>
        <w:rPr>
          <w:rFonts w:ascii="Times New Roman" w:eastAsia="Calibri" w:hAnsi="Times New Roman" w:cs="Times New Roman"/>
          <w:color w:val="auto"/>
          <w:lang w:val="pt-BR" w:eastAsia="en-US"/>
        </w:rPr>
        <w:t>s §§1º e 2º, do</w:t>
      </w:r>
      <w:r w:rsidRPr="00851B18">
        <w:rPr>
          <w:rFonts w:ascii="Times New Roman" w:eastAsia="Calibri" w:hAnsi="Times New Roman" w:cs="Times New Roman"/>
          <w:color w:val="auto"/>
          <w:lang w:val="pt-BR" w:eastAsia="en-US"/>
        </w:rPr>
        <w:t xml:space="preserve"> art.</w:t>
      </w:r>
      <w:r>
        <w:rPr>
          <w:rFonts w:ascii="Times New Roman" w:eastAsia="Calibri" w:hAnsi="Times New Roman" w:cs="Times New Roman"/>
          <w:color w:val="auto"/>
          <w:lang w:val="pt-BR" w:eastAsia="en-US"/>
        </w:rPr>
        <w:t xml:space="preserve"> </w:t>
      </w:r>
      <w:r w:rsidRPr="00851B18">
        <w:rPr>
          <w:rFonts w:ascii="Times New Roman" w:eastAsia="Calibri" w:hAnsi="Times New Roman" w:cs="Times New Roman"/>
          <w:color w:val="auto"/>
          <w:lang w:val="pt-BR" w:eastAsia="en-US"/>
        </w:rPr>
        <w:t>61</w:t>
      </w:r>
      <w:r>
        <w:rPr>
          <w:rFonts w:ascii="Times New Roman" w:eastAsia="Calibri" w:hAnsi="Times New Roman" w:cs="Times New Roman"/>
          <w:color w:val="auto"/>
          <w:lang w:val="pt-BR" w:eastAsia="en-US"/>
        </w:rPr>
        <w:t>,</w:t>
      </w:r>
      <w:r w:rsidRPr="00851B18">
        <w:rPr>
          <w:rFonts w:ascii="Times New Roman" w:eastAsia="Calibri" w:hAnsi="Times New Roman" w:cs="Times New Roman"/>
          <w:color w:val="auto"/>
          <w:lang w:val="pt-BR" w:eastAsia="en-US"/>
        </w:rPr>
        <w:t xml:space="preserve"> da Lei nº 9.430/96 c/c art.</w:t>
      </w:r>
      <w:r>
        <w:rPr>
          <w:rFonts w:ascii="Times New Roman" w:eastAsia="Calibri" w:hAnsi="Times New Roman" w:cs="Times New Roman"/>
          <w:color w:val="auto"/>
          <w:lang w:val="pt-BR" w:eastAsia="en-US"/>
        </w:rPr>
        <w:t xml:space="preserve"> </w:t>
      </w:r>
      <w:r w:rsidRPr="00851B18">
        <w:rPr>
          <w:rFonts w:ascii="Times New Roman" w:eastAsia="Calibri" w:hAnsi="Times New Roman" w:cs="Times New Roman"/>
          <w:color w:val="auto"/>
          <w:lang w:val="pt-BR" w:eastAsia="en-US"/>
        </w:rPr>
        <w:t>43, §3º, da Lei nº 8.212/91</w:t>
      </w:r>
      <w:r>
        <w:rPr>
          <w:rFonts w:ascii="Times New Roman" w:eastAsia="Calibri" w:hAnsi="Times New Roman" w:cs="Times New Roman"/>
          <w:color w:val="auto"/>
          <w:lang w:val="pt-BR" w:eastAsia="en-US"/>
        </w:rPr>
        <w:t>. Por fim, no que se refere às responsabilidades, definiu-se que respondem: a) p</w:t>
      </w:r>
      <w:r w:rsidRPr="00E24D3D">
        <w:rPr>
          <w:rFonts w:ascii="Times New Roman" w:eastAsia="Calibri" w:hAnsi="Times New Roman" w:cs="Times New Roman"/>
          <w:color w:val="auto"/>
          <w:lang w:val="pt-BR" w:eastAsia="en-US"/>
        </w:rPr>
        <w:t>ela atualização monetária</w:t>
      </w:r>
      <w:r>
        <w:rPr>
          <w:rFonts w:ascii="Times New Roman" w:eastAsia="Calibri" w:hAnsi="Times New Roman" w:cs="Times New Roman"/>
          <w:color w:val="auto"/>
          <w:lang w:val="pt-BR" w:eastAsia="en-US"/>
        </w:rPr>
        <w:t xml:space="preserve">, o </w:t>
      </w:r>
      <w:r w:rsidRPr="00E24D3D">
        <w:rPr>
          <w:rFonts w:ascii="Times New Roman" w:eastAsia="Calibri" w:hAnsi="Times New Roman" w:cs="Times New Roman"/>
          <w:color w:val="auto"/>
          <w:lang w:val="pt-BR" w:eastAsia="en-US"/>
        </w:rPr>
        <w:t>trabalhador e</w:t>
      </w:r>
      <w:r>
        <w:rPr>
          <w:rFonts w:ascii="Times New Roman" w:eastAsia="Calibri" w:hAnsi="Times New Roman" w:cs="Times New Roman"/>
          <w:color w:val="auto"/>
          <w:lang w:val="pt-BR" w:eastAsia="en-US"/>
        </w:rPr>
        <w:t xml:space="preserve"> a</w:t>
      </w:r>
      <w:r w:rsidRPr="00E24D3D">
        <w:rPr>
          <w:rFonts w:ascii="Times New Roman" w:eastAsia="Calibri" w:hAnsi="Times New Roman" w:cs="Times New Roman"/>
          <w:color w:val="auto"/>
          <w:lang w:val="pt-BR" w:eastAsia="en-US"/>
        </w:rPr>
        <w:t xml:space="preserve"> empresa</w:t>
      </w:r>
      <w:r>
        <w:rPr>
          <w:rFonts w:ascii="Times New Roman" w:eastAsia="Calibri" w:hAnsi="Times New Roman" w:cs="Times New Roman"/>
          <w:color w:val="auto"/>
          <w:lang w:val="pt-BR" w:eastAsia="en-US"/>
        </w:rPr>
        <w:t xml:space="preserve">, por serem ambos contribuintes do sistema; e b) pelos juros de mora e pela multa, </w:t>
      </w:r>
      <w:r w:rsidRPr="00E24D3D">
        <w:rPr>
          <w:rFonts w:ascii="Times New Roman" w:eastAsia="Calibri" w:hAnsi="Times New Roman" w:cs="Times New Roman"/>
          <w:color w:val="auto"/>
          <w:lang w:val="pt-BR" w:eastAsia="en-US"/>
        </w:rPr>
        <w:t>apenas a empresa</w:t>
      </w:r>
      <w:r>
        <w:rPr>
          <w:rFonts w:ascii="Times New Roman" w:eastAsia="Calibri" w:hAnsi="Times New Roman" w:cs="Times New Roman"/>
          <w:color w:val="auto"/>
          <w:lang w:val="pt-BR" w:eastAsia="en-US"/>
        </w:rPr>
        <w:t xml:space="preserve">, </w:t>
      </w:r>
      <w:r w:rsidRPr="00456A8E">
        <w:rPr>
          <w:rFonts w:ascii="Times New Roman" w:eastAsia="Calibri" w:hAnsi="Times New Roman" w:cs="Times New Roman"/>
          <w:color w:val="auto"/>
          <w:lang w:val="pt-BR" w:eastAsia="en-US"/>
        </w:rPr>
        <w:t>não sendo cabível que por eles pague quem</w:t>
      </w:r>
      <w:r>
        <w:rPr>
          <w:rFonts w:ascii="Times New Roman" w:eastAsia="Calibri" w:hAnsi="Times New Roman" w:cs="Times New Roman"/>
          <w:color w:val="auto"/>
          <w:lang w:val="pt-BR" w:eastAsia="en-US"/>
        </w:rPr>
        <w:t>,</w:t>
      </w:r>
      <w:r w:rsidRPr="00456A8E">
        <w:rPr>
          <w:rFonts w:ascii="Times New Roman" w:eastAsia="Calibri" w:hAnsi="Times New Roman" w:cs="Times New Roman"/>
          <w:color w:val="auto"/>
          <w:lang w:val="pt-BR" w:eastAsia="en-US"/>
        </w:rPr>
        <w:t xml:space="preserve"> até </w:t>
      </w:r>
      <w:r>
        <w:rPr>
          <w:rFonts w:ascii="Times New Roman" w:eastAsia="Calibri" w:hAnsi="Times New Roman" w:cs="Times New Roman"/>
          <w:color w:val="auto"/>
          <w:lang w:val="pt-BR" w:eastAsia="en-US"/>
        </w:rPr>
        <w:t>ent</w:t>
      </w:r>
      <w:r w:rsidRPr="00456A8E">
        <w:rPr>
          <w:rFonts w:ascii="Times New Roman" w:eastAsia="Calibri" w:hAnsi="Times New Roman" w:cs="Times New Roman"/>
          <w:color w:val="auto"/>
          <w:lang w:val="pt-BR" w:eastAsia="en-US"/>
        </w:rPr>
        <w:t>ão</w:t>
      </w:r>
      <w:r>
        <w:rPr>
          <w:rFonts w:ascii="Times New Roman" w:eastAsia="Calibri" w:hAnsi="Times New Roman" w:cs="Times New Roman"/>
          <w:color w:val="auto"/>
          <w:lang w:val="pt-BR" w:eastAsia="en-US"/>
        </w:rPr>
        <w:t>,</w:t>
      </w:r>
      <w:r w:rsidRPr="00456A8E">
        <w:rPr>
          <w:rFonts w:ascii="Times New Roman" w:eastAsia="Calibri" w:hAnsi="Times New Roman" w:cs="Times New Roman"/>
          <w:color w:val="auto"/>
          <w:lang w:val="pt-BR" w:eastAsia="en-US"/>
        </w:rPr>
        <w:t xml:space="preserve"> sequer tinha o reconhecimento do crédito sobre o qual incidiriam as contribuições previdenciárias e qu</w:t>
      </w:r>
      <w:r>
        <w:rPr>
          <w:rFonts w:ascii="Times New Roman" w:eastAsia="Calibri" w:hAnsi="Times New Roman" w:cs="Times New Roman"/>
          <w:color w:val="auto"/>
          <w:lang w:val="pt-BR" w:eastAsia="en-US"/>
        </w:rPr>
        <w:t xml:space="preserve">e não se utilizou desse capital. </w:t>
      </w:r>
      <w:r w:rsidRPr="004B42E2">
        <w:rPr>
          <w:rFonts w:ascii="Times New Roman" w:eastAsia="Calibri" w:hAnsi="Times New Roman" w:cs="Times New Roman"/>
          <w:color w:val="auto"/>
          <w:lang w:val="pt-BR" w:eastAsia="en-US"/>
        </w:rPr>
        <w:t xml:space="preserve">Sob esses fundamentos, </w:t>
      </w:r>
      <w:r>
        <w:rPr>
          <w:rFonts w:ascii="Times New Roman" w:eastAsia="Calibri" w:hAnsi="Times New Roman" w:cs="Times New Roman"/>
          <w:color w:val="auto"/>
          <w:lang w:val="pt-BR" w:eastAsia="en-US"/>
        </w:rPr>
        <w:t xml:space="preserve">o Tribunal Pleno </w:t>
      </w:r>
      <w:r w:rsidRPr="004B42E2">
        <w:rPr>
          <w:rFonts w:ascii="Times New Roman" w:eastAsia="Calibri" w:hAnsi="Times New Roman" w:cs="Times New Roman"/>
          <w:color w:val="auto"/>
          <w:lang w:val="pt-BR" w:eastAsia="en-US"/>
        </w:rPr>
        <w:t xml:space="preserve">decidiu, </w:t>
      </w:r>
      <w:r w:rsidRPr="00AF4B0F">
        <w:rPr>
          <w:rFonts w:ascii="Times New Roman" w:eastAsia="Calibri" w:hAnsi="Times New Roman" w:cs="Times New Roman"/>
          <w:color w:val="auto"/>
          <w:lang w:val="pt-BR" w:eastAsia="en-US"/>
        </w:rPr>
        <w:t xml:space="preserve">por unanimidade, conhecer do recurso de embargos, por divergência jurisprudencial, e, no mérito, pelo voto prevalente da Presidência, dar-lhe provimento parcial, para, na forma da lei, </w:t>
      </w:r>
      <w:r>
        <w:rPr>
          <w:rFonts w:ascii="Times New Roman" w:eastAsia="Calibri" w:hAnsi="Times New Roman" w:cs="Times New Roman"/>
          <w:color w:val="auto"/>
          <w:lang w:val="pt-BR" w:eastAsia="en-US"/>
        </w:rPr>
        <w:t xml:space="preserve">relativamente aos contratos de trabalho firmados a partir de 05.03.2009, </w:t>
      </w:r>
      <w:r w:rsidRPr="00AF4B0F">
        <w:rPr>
          <w:rFonts w:ascii="Times New Roman" w:eastAsia="Calibri" w:hAnsi="Times New Roman" w:cs="Times New Roman"/>
          <w:color w:val="auto"/>
          <w:lang w:val="pt-BR" w:eastAsia="en-US"/>
        </w:rPr>
        <w:t>determinar: a) a incidência dos juros de mora, a partir da prestação de serviços, sobre as contribuições previdenciárias; b)</w:t>
      </w:r>
      <w:r>
        <w:rPr>
          <w:rFonts w:ascii="Times New Roman" w:eastAsia="Calibri" w:hAnsi="Times New Roman" w:cs="Times New Roman"/>
          <w:color w:val="auto"/>
          <w:lang w:val="pt-BR" w:eastAsia="en-US"/>
        </w:rPr>
        <w:t xml:space="preserve"> </w:t>
      </w:r>
      <w:r w:rsidRPr="00AF4B0F">
        <w:rPr>
          <w:rFonts w:ascii="Times New Roman" w:eastAsia="Calibri" w:hAnsi="Times New Roman" w:cs="Times New Roman"/>
          <w:color w:val="auto"/>
          <w:lang w:val="pt-BR" w:eastAsia="en-US"/>
        </w:rPr>
        <w:t>aplicação de multa a partir do exaurimento do prazo de citação para o pagamento, uma vez apurados os créditos previdenciários, se descumprida a obrigação, observado o limite legal de 20% (art.</w:t>
      </w:r>
      <w:r>
        <w:rPr>
          <w:rFonts w:ascii="Times New Roman" w:eastAsia="Calibri" w:hAnsi="Times New Roman" w:cs="Times New Roman"/>
          <w:color w:val="auto"/>
          <w:lang w:val="pt-BR" w:eastAsia="en-US"/>
        </w:rPr>
        <w:t xml:space="preserve"> </w:t>
      </w:r>
      <w:r w:rsidRPr="00AF4B0F">
        <w:rPr>
          <w:rFonts w:ascii="Times New Roman" w:eastAsia="Calibri" w:hAnsi="Times New Roman" w:cs="Times New Roman"/>
          <w:color w:val="auto"/>
          <w:lang w:val="pt-BR" w:eastAsia="en-US"/>
        </w:rPr>
        <w:t>61, §2º, da Lei nº 9.430/96)</w:t>
      </w:r>
      <w:r>
        <w:rPr>
          <w:rFonts w:ascii="Times New Roman" w:eastAsia="Calibri" w:hAnsi="Times New Roman" w:cs="Times New Roman"/>
          <w:color w:val="auto"/>
          <w:lang w:val="pt-BR" w:eastAsia="en-US"/>
        </w:rPr>
        <w:t>. V</w:t>
      </w:r>
      <w:r w:rsidRPr="00AF4B0F">
        <w:rPr>
          <w:rFonts w:ascii="Times New Roman" w:eastAsia="Calibri" w:hAnsi="Times New Roman" w:cs="Times New Roman"/>
          <w:color w:val="auto"/>
          <w:lang w:val="pt-BR" w:eastAsia="en-US"/>
        </w:rPr>
        <w:t xml:space="preserve">encidos os Ministros Maria Cristina Irigoyen Peduzzi, Renato de Lacerda Paiva, Emmanoel Pereira, Aloysio Silva Corrêa da Veiga, Alberto Luiz Bresciani de Fontan Pereira, Dora Maria da Costa, Guilherme Augusto Caputo Bastos, Márcio Eurico Vitral Amaro, Walmir Oliveira da Costa, Maurício Godinho Delgado, Kátia Magalhães Arruda e Augusto César Leite de Carvalho. </w:t>
      </w:r>
      <w:hyperlink r:id="rId8" w:history="1">
        <w:r w:rsidRPr="00946ED8">
          <w:rPr>
            <w:rStyle w:val="Hyperlink"/>
            <w:rFonts w:ascii="Times New Roman" w:hAnsi="Times New Roman" w:cs="Courier New"/>
            <w:lang w:val="pt-BR"/>
          </w:rPr>
          <w:t>TST-E-RR-1125-36.201</w:t>
        </w:r>
        <w:r w:rsidRPr="00946ED8">
          <w:rPr>
            <w:rStyle w:val="Hyperlink"/>
            <w:rFonts w:ascii="Times New Roman" w:hAnsi="Times New Roman" w:cs="Courier New"/>
            <w:lang w:val="pt-BR"/>
          </w:rPr>
          <w:t>0</w:t>
        </w:r>
        <w:r w:rsidRPr="00946ED8">
          <w:rPr>
            <w:rStyle w:val="Hyperlink"/>
            <w:rFonts w:ascii="Times New Roman" w:hAnsi="Times New Roman" w:cs="Courier New"/>
            <w:lang w:val="pt-BR"/>
          </w:rPr>
          <w:t>.5.06.0171</w:t>
        </w:r>
      </w:hyperlink>
      <w:r w:rsidRPr="00895CC6">
        <w:rPr>
          <w:rFonts w:ascii="Times New Roman" w:hAnsi="Times New Roman"/>
          <w:u w:val="single"/>
          <w:lang w:val="pt-BR"/>
        </w:rPr>
        <w:t xml:space="preserve">, </w:t>
      </w:r>
      <w:r>
        <w:rPr>
          <w:rFonts w:ascii="Times New Roman" w:hAnsi="Times New Roman"/>
          <w:u w:val="single"/>
          <w:lang w:val="pt-BR"/>
        </w:rPr>
        <w:t>Tribunal Pleno</w:t>
      </w:r>
      <w:r w:rsidRPr="00895CC6">
        <w:rPr>
          <w:rFonts w:ascii="Times New Roman" w:hAnsi="Times New Roman"/>
          <w:u w:val="single"/>
          <w:lang w:val="pt-BR"/>
        </w:rPr>
        <w:t xml:space="preserve">, rel. Min. </w:t>
      </w:r>
      <w:r w:rsidRPr="003A6152">
        <w:rPr>
          <w:rFonts w:ascii="Times New Roman" w:hAnsi="Times New Roman"/>
          <w:u w:val="single"/>
          <w:lang w:val="pt-BR"/>
        </w:rPr>
        <w:t>Alexandre Agra Belmonte</w:t>
      </w:r>
      <w:r w:rsidRPr="00895CC6">
        <w:rPr>
          <w:rFonts w:ascii="Times New Roman" w:hAnsi="Times New Roman"/>
          <w:u w:val="single"/>
          <w:lang w:val="pt-BR"/>
        </w:rPr>
        <w:t xml:space="preserve">, </w:t>
      </w:r>
      <w:r>
        <w:rPr>
          <w:rFonts w:ascii="Times New Roman" w:hAnsi="Times New Roman"/>
          <w:u w:val="single"/>
          <w:lang w:val="pt-BR"/>
        </w:rPr>
        <w:t>20</w:t>
      </w:r>
      <w:r w:rsidRPr="00895CC6">
        <w:rPr>
          <w:rFonts w:ascii="Times New Roman" w:hAnsi="Times New Roman"/>
          <w:u w:val="single"/>
          <w:lang w:val="pt-BR"/>
        </w:rPr>
        <w:t>.</w:t>
      </w:r>
      <w:r>
        <w:rPr>
          <w:rFonts w:ascii="Times New Roman" w:hAnsi="Times New Roman"/>
          <w:u w:val="single"/>
          <w:lang w:val="pt-BR"/>
        </w:rPr>
        <w:t>10</w:t>
      </w:r>
      <w:r w:rsidRPr="00895CC6">
        <w:rPr>
          <w:rFonts w:ascii="Times New Roman" w:hAnsi="Times New Roman"/>
          <w:u w:val="single"/>
          <w:lang w:val="pt-BR"/>
        </w:rPr>
        <w:t>.201</w:t>
      </w:r>
      <w:r>
        <w:rPr>
          <w:rFonts w:ascii="Times New Roman" w:hAnsi="Times New Roman"/>
          <w:u w:val="single"/>
          <w:lang w:val="pt-BR"/>
        </w:rPr>
        <w:t>5.</w:t>
      </w:r>
    </w:p>
    <w:p w:rsidR="00094284" w:rsidRPr="00094284" w:rsidRDefault="00094284" w:rsidP="00F67B2B">
      <w:pPr>
        <w:jc w:val="both"/>
        <w:rPr>
          <w:b/>
          <w:sz w:val="24"/>
          <w:szCs w:val="24"/>
        </w:rPr>
      </w:pPr>
    </w:p>
    <w:p w:rsidR="004A181A" w:rsidRDefault="004A181A" w:rsidP="00F7522E">
      <w:pPr>
        <w:pStyle w:val="Corpodetexto2"/>
        <w:rPr>
          <w:bCs/>
          <w:iCs/>
          <w:color w:val="000000"/>
          <w:sz w:val="24"/>
          <w:szCs w:val="24"/>
        </w:rPr>
      </w:pPr>
    </w:p>
    <w:p w:rsidR="00EE1DB0" w:rsidRPr="00971E07" w:rsidRDefault="00EE1DB0" w:rsidP="00EE1DB0">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ÓRGÃO ESPECIAL</w:t>
      </w:r>
    </w:p>
    <w:p w:rsidR="00EE1DB0" w:rsidRDefault="00EE1DB0" w:rsidP="00F7522E">
      <w:pPr>
        <w:pStyle w:val="Corpodetexto2"/>
        <w:rPr>
          <w:bCs/>
          <w:iCs/>
          <w:color w:val="000000"/>
          <w:sz w:val="24"/>
          <w:szCs w:val="24"/>
        </w:rPr>
      </w:pPr>
    </w:p>
    <w:p w:rsidR="00811396" w:rsidRPr="005721BC" w:rsidRDefault="00811396" w:rsidP="00811396">
      <w:pPr>
        <w:jc w:val="both"/>
        <w:rPr>
          <w:b/>
          <w:i/>
          <w:sz w:val="24"/>
          <w:szCs w:val="24"/>
        </w:rPr>
      </w:pPr>
      <w:r w:rsidRPr="005721BC">
        <w:rPr>
          <w:b/>
          <w:i/>
          <w:sz w:val="24"/>
          <w:szCs w:val="24"/>
        </w:rPr>
        <w:t>Processo administrativo disciplinar. Magistrado. Pena de censura. Prescrição. Ausência de previsão na LOMAN. Aplicação subsidiária da Lei nº 8.112/1990. Início da interrupção pelo prazo de 140 dias. Data de julgamento do último recurso protelatório.</w:t>
      </w:r>
    </w:p>
    <w:p w:rsidR="00811396" w:rsidRPr="005721BC" w:rsidRDefault="00811396" w:rsidP="00811396">
      <w:pPr>
        <w:jc w:val="both"/>
        <w:rPr>
          <w:sz w:val="24"/>
          <w:szCs w:val="24"/>
        </w:rPr>
      </w:pPr>
      <w:r w:rsidRPr="005721BC">
        <w:rPr>
          <w:sz w:val="24"/>
          <w:szCs w:val="24"/>
        </w:rPr>
        <w:t xml:space="preserve">Diante da ausência de previsão na Lei Orgânica da Magistratura Nacional acerca do prazo prescricional para apuração de infração disciplinar imputada a magistrado, aplica-se, subsidiariamente, o art. 142, II, da Lei nº 8.112/1990, equiparando-se a pena de suspensão, nela disciplinada e com prazo de prescrição fixado em 2 anos, à pena de censura da LOMAN. O curso da prescrição inicia-se a partir do conhecimento do fato pelo órgão responsável pela punição e é interrompido com a instauração do respectivo processo administrativo disciplinar (PAD), voltando a correr por inteiro após 140 dias (art. 152 c/c art. 167 da Lei nº 8.112/1990). Constatada, no entanto, a utilização de meios procrastinatórios pelo magistrado-acusado, com o intuito de provocar a prescrição da pretensão punitiva, deve-se adotar como efetiva data de instauração do processo disciplinar o dia em que o Tribunal Regional do Trabalho julgou a última medida protelatória, porque, só a partir desse momento, a decisão de instauração do PAD tornou-se passível de pleno cumprimento. No caso, deixou-se de considerar o dia exato em que o Tribunal </w:t>
      </w:r>
      <w:r w:rsidRPr="005721BC">
        <w:rPr>
          <w:i/>
          <w:sz w:val="24"/>
          <w:szCs w:val="24"/>
        </w:rPr>
        <w:t>a quo</w:t>
      </w:r>
      <w:r w:rsidRPr="005721BC">
        <w:rPr>
          <w:sz w:val="24"/>
          <w:szCs w:val="24"/>
        </w:rPr>
        <w:t xml:space="preserve"> instaurou o PAD (9.3.2009) para admitir, como marco inicial da interrupção por 140 dias do biênio prescricional, a data de 8.10.2012, ocasião em que foram julgados os últimos recursos protelatórios do acusado. Nesse contexto, o Órgão Especial, à unanimidade, conheceu do recurso administrativo e, no mérito, por maioria, negou-lhe provimento, vencidos os Ministros Hugo Carlos Scheuermann, relator, Maurício Godinho Delgado, Kátia Magalhães Arruda, Augusto César Leite de Carvalho e Antonio José de Barros Levenhagen, que lhe davam provimento para pronunciar a prescrição da pretensão de aplicar a pena de censura ao recorrente. </w:t>
      </w:r>
      <w:hyperlink r:id="rId9" w:history="1">
        <w:r w:rsidRPr="00946ED8">
          <w:rPr>
            <w:rStyle w:val="Hyperlink"/>
            <w:sz w:val="24"/>
            <w:szCs w:val="24"/>
          </w:rPr>
          <w:t>TST-RecAdm-1</w:t>
        </w:r>
        <w:r w:rsidRPr="00946ED8">
          <w:rPr>
            <w:rStyle w:val="Hyperlink"/>
            <w:sz w:val="24"/>
            <w:szCs w:val="24"/>
          </w:rPr>
          <w:t>6</w:t>
        </w:r>
        <w:r w:rsidRPr="00946ED8">
          <w:rPr>
            <w:rStyle w:val="Hyperlink"/>
            <w:sz w:val="24"/>
            <w:szCs w:val="24"/>
          </w:rPr>
          <w:t>100-60.2009.5.12.0000</w:t>
        </w:r>
      </w:hyperlink>
      <w:r w:rsidRPr="005721BC">
        <w:rPr>
          <w:sz w:val="24"/>
          <w:szCs w:val="24"/>
          <w:u w:val="single"/>
        </w:rPr>
        <w:t>, Órgão Especial, rel. Min. Hugo Carlos Scheuermann, red. p/acórdão Min. João Oreste Dalazen 5.10.2015.</w:t>
      </w:r>
    </w:p>
    <w:p w:rsidR="00811396" w:rsidRDefault="00811396" w:rsidP="00F7522E">
      <w:pPr>
        <w:pStyle w:val="Corpodetexto2"/>
        <w:rPr>
          <w:bCs/>
          <w:iCs/>
          <w:color w:val="000000"/>
          <w:sz w:val="24"/>
          <w:szCs w:val="24"/>
        </w:rPr>
      </w:pPr>
    </w:p>
    <w:p w:rsidR="00811396" w:rsidRPr="00F7522E" w:rsidRDefault="00811396" w:rsidP="00F7522E">
      <w:pPr>
        <w:pStyle w:val="Corpodetexto2"/>
        <w:rPr>
          <w:bCs/>
          <w:iCs/>
          <w:color w:val="000000"/>
          <w:sz w:val="24"/>
          <w:szCs w:val="24"/>
        </w:rPr>
      </w:pPr>
    </w:p>
    <w:p w:rsidR="0093486A" w:rsidRPr="00971E07" w:rsidRDefault="0093486A" w:rsidP="0093486A">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C71A3B" w:rsidRPr="00946ED8" w:rsidRDefault="00C71A3B" w:rsidP="00F82D8F">
      <w:pPr>
        <w:pStyle w:val="Corpo"/>
        <w:spacing w:line="240" w:lineRule="auto"/>
        <w:ind w:firstLine="0"/>
        <w:rPr>
          <w:rFonts w:ascii="Times New Roman" w:hAnsi="Times New Roman" w:cs="Times New Roman"/>
          <w:b/>
          <w:bCs/>
          <w:i/>
          <w:iCs/>
          <w:lang w:val="pt-BR"/>
        </w:rPr>
      </w:pPr>
    </w:p>
    <w:p w:rsidR="00877F29" w:rsidRPr="00895CC6" w:rsidRDefault="00877F29" w:rsidP="00877F29">
      <w:pPr>
        <w:jc w:val="both"/>
        <w:rPr>
          <w:b/>
          <w:i/>
          <w:sz w:val="24"/>
          <w:szCs w:val="24"/>
        </w:rPr>
      </w:pPr>
      <w:r w:rsidRPr="00212F94">
        <w:rPr>
          <w:b/>
          <w:i/>
          <w:sz w:val="24"/>
          <w:szCs w:val="24"/>
        </w:rPr>
        <w:t>Equiparação salarial</w:t>
      </w:r>
      <w:r>
        <w:rPr>
          <w:b/>
          <w:i/>
          <w:sz w:val="24"/>
          <w:szCs w:val="24"/>
        </w:rPr>
        <w:t xml:space="preserve">. </w:t>
      </w:r>
      <w:r w:rsidRPr="00212F94">
        <w:rPr>
          <w:b/>
          <w:i/>
          <w:sz w:val="24"/>
          <w:szCs w:val="24"/>
        </w:rPr>
        <w:t xml:space="preserve"> Quadro de carreira</w:t>
      </w:r>
      <w:r>
        <w:rPr>
          <w:b/>
          <w:i/>
          <w:sz w:val="24"/>
          <w:szCs w:val="24"/>
        </w:rPr>
        <w:t xml:space="preserve">. </w:t>
      </w:r>
      <w:r w:rsidRPr="00212F94">
        <w:rPr>
          <w:b/>
          <w:i/>
          <w:sz w:val="24"/>
          <w:szCs w:val="24"/>
        </w:rPr>
        <w:t xml:space="preserve"> Empresa privada</w:t>
      </w:r>
      <w:r>
        <w:rPr>
          <w:b/>
          <w:i/>
          <w:sz w:val="24"/>
          <w:szCs w:val="24"/>
        </w:rPr>
        <w:t xml:space="preserve">. </w:t>
      </w:r>
      <w:r w:rsidRPr="00212F94">
        <w:rPr>
          <w:b/>
          <w:i/>
          <w:sz w:val="24"/>
          <w:szCs w:val="24"/>
        </w:rPr>
        <w:t xml:space="preserve">Ausência de homologação pelo </w:t>
      </w:r>
      <w:r>
        <w:rPr>
          <w:b/>
          <w:i/>
          <w:sz w:val="24"/>
          <w:szCs w:val="24"/>
        </w:rPr>
        <w:t>M</w:t>
      </w:r>
      <w:r w:rsidRPr="00212F94">
        <w:rPr>
          <w:b/>
          <w:i/>
          <w:sz w:val="24"/>
          <w:szCs w:val="24"/>
        </w:rPr>
        <w:t xml:space="preserve">inistério do </w:t>
      </w:r>
      <w:r>
        <w:rPr>
          <w:b/>
          <w:i/>
          <w:sz w:val="24"/>
          <w:szCs w:val="24"/>
        </w:rPr>
        <w:t>T</w:t>
      </w:r>
      <w:r w:rsidRPr="00212F94">
        <w:rPr>
          <w:b/>
          <w:i/>
          <w:sz w:val="24"/>
          <w:szCs w:val="24"/>
        </w:rPr>
        <w:t>rabalho</w:t>
      </w:r>
      <w:r>
        <w:rPr>
          <w:b/>
          <w:i/>
          <w:sz w:val="24"/>
          <w:szCs w:val="24"/>
        </w:rPr>
        <w:t xml:space="preserve">. </w:t>
      </w:r>
      <w:r w:rsidRPr="00212F94">
        <w:rPr>
          <w:b/>
          <w:i/>
          <w:sz w:val="24"/>
          <w:szCs w:val="24"/>
        </w:rPr>
        <w:t>Convalidação por instrumento coletivo</w:t>
      </w:r>
      <w:r>
        <w:rPr>
          <w:b/>
          <w:i/>
          <w:sz w:val="24"/>
          <w:szCs w:val="24"/>
        </w:rPr>
        <w:t>. V</w:t>
      </w:r>
      <w:r w:rsidRPr="00212F94">
        <w:rPr>
          <w:b/>
          <w:i/>
          <w:sz w:val="24"/>
          <w:szCs w:val="24"/>
        </w:rPr>
        <w:t>a</w:t>
      </w:r>
      <w:r>
        <w:rPr>
          <w:b/>
          <w:i/>
          <w:sz w:val="24"/>
          <w:szCs w:val="24"/>
        </w:rPr>
        <w:t>lidade</w:t>
      </w:r>
      <w:r w:rsidRPr="00212F94">
        <w:rPr>
          <w:b/>
          <w:i/>
          <w:sz w:val="24"/>
          <w:szCs w:val="24"/>
        </w:rPr>
        <w:t>.</w:t>
      </w:r>
      <w:r>
        <w:rPr>
          <w:b/>
          <w:i/>
          <w:sz w:val="24"/>
          <w:szCs w:val="24"/>
        </w:rPr>
        <w:t xml:space="preserve"> O</w:t>
      </w:r>
      <w:r w:rsidRPr="00170EB3">
        <w:rPr>
          <w:b/>
          <w:i/>
          <w:sz w:val="24"/>
          <w:szCs w:val="24"/>
        </w:rPr>
        <w:t>b</w:t>
      </w:r>
      <w:r>
        <w:rPr>
          <w:b/>
          <w:i/>
          <w:sz w:val="24"/>
          <w:szCs w:val="24"/>
        </w:rPr>
        <w:t>servância d</w:t>
      </w:r>
      <w:r w:rsidRPr="00170EB3">
        <w:rPr>
          <w:b/>
          <w:i/>
          <w:sz w:val="24"/>
          <w:szCs w:val="24"/>
        </w:rPr>
        <w:t>o requisito da alternância entre os critérios de promoção por antiguidade e por merecimento</w:t>
      </w:r>
      <w:r>
        <w:rPr>
          <w:b/>
          <w:i/>
          <w:sz w:val="24"/>
          <w:szCs w:val="24"/>
        </w:rPr>
        <w:t>.</w:t>
      </w:r>
      <w:r w:rsidRPr="00170EB3">
        <w:rPr>
          <w:b/>
          <w:i/>
          <w:sz w:val="24"/>
          <w:szCs w:val="24"/>
        </w:rPr>
        <w:t xml:space="preserve"> </w:t>
      </w:r>
      <w:r w:rsidRPr="00212F94">
        <w:rPr>
          <w:b/>
          <w:i/>
          <w:sz w:val="24"/>
          <w:szCs w:val="24"/>
        </w:rPr>
        <w:t>Súmula</w:t>
      </w:r>
      <w:r>
        <w:rPr>
          <w:b/>
          <w:i/>
          <w:sz w:val="24"/>
          <w:szCs w:val="24"/>
        </w:rPr>
        <w:t xml:space="preserve"> </w:t>
      </w:r>
      <w:r w:rsidRPr="00212F94">
        <w:rPr>
          <w:b/>
          <w:i/>
          <w:sz w:val="24"/>
          <w:szCs w:val="24"/>
        </w:rPr>
        <w:t>nº 6, item I,</w:t>
      </w:r>
      <w:r>
        <w:rPr>
          <w:b/>
          <w:i/>
          <w:sz w:val="24"/>
          <w:szCs w:val="24"/>
        </w:rPr>
        <w:t xml:space="preserve"> do Tribunal Superior do Trabalho. Inaplicável.</w:t>
      </w:r>
    </w:p>
    <w:p w:rsidR="00877F29" w:rsidRDefault="00877F29" w:rsidP="00877F29">
      <w:pPr>
        <w:pStyle w:val="Corpo"/>
        <w:spacing w:line="240" w:lineRule="auto"/>
        <w:ind w:firstLine="0"/>
        <w:rPr>
          <w:rFonts w:ascii="Times New Roman" w:hAnsi="Times New Roman"/>
          <w:u w:val="single"/>
          <w:lang w:val="pt-BR"/>
        </w:rPr>
      </w:pPr>
      <w:r>
        <w:rPr>
          <w:rFonts w:ascii="Times New Roman" w:eastAsia="Calibri" w:hAnsi="Times New Roman" w:cs="Times New Roman"/>
          <w:color w:val="auto"/>
          <w:lang w:val="pt-BR" w:eastAsia="en-US"/>
        </w:rPr>
        <w:t xml:space="preserve">É válido o plano de carreira empresarial </w:t>
      </w:r>
      <w:r w:rsidRPr="00672620">
        <w:rPr>
          <w:rFonts w:ascii="Times New Roman" w:eastAsia="Calibri" w:hAnsi="Times New Roman" w:cs="Times New Roman"/>
          <w:color w:val="auto"/>
          <w:lang w:val="pt-BR" w:eastAsia="en-US"/>
        </w:rPr>
        <w:t xml:space="preserve">nos casos em que </w:t>
      </w:r>
      <w:r>
        <w:rPr>
          <w:rFonts w:ascii="Times New Roman" w:eastAsia="Calibri" w:hAnsi="Times New Roman" w:cs="Times New Roman"/>
          <w:color w:val="auto"/>
          <w:lang w:val="pt-BR" w:eastAsia="en-US"/>
        </w:rPr>
        <w:t>existe</w:t>
      </w:r>
      <w:r w:rsidRPr="00672620">
        <w:rPr>
          <w:rFonts w:ascii="Times New Roman" w:eastAsia="Calibri" w:hAnsi="Times New Roman" w:cs="Times New Roman"/>
          <w:color w:val="auto"/>
          <w:lang w:val="pt-BR" w:eastAsia="en-US"/>
        </w:rPr>
        <w:t xml:space="preserve"> norma coletiva chancelando</w:t>
      </w:r>
      <w:r>
        <w:rPr>
          <w:rFonts w:ascii="Times New Roman" w:eastAsia="Calibri" w:hAnsi="Times New Roman" w:cs="Times New Roman"/>
          <w:color w:val="auto"/>
          <w:lang w:val="pt-BR" w:eastAsia="en-US"/>
        </w:rPr>
        <w:t>-o</w:t>
      </w:r>
      <w:r w:rsidRPr="00672620">
        <w:rPr>
          <w:rFonts w:ascii="Times New Roman" w:eastAsia="Calibri" w:hAnsi="Times New Roman" w:cs="Times New Roman"/>
          <w:color w:val="auto"/>
          <w:lang w:val="pt-BR" w:eastAsia="en-US"/>
        </w:rPr>
        <w:t>, desde que</w:t>
      </w:r>
      <w:r>
        <w:rPr>
          <w:rFonts w:ascii="Times New Roman" w:eastAsia="Calibri" w:hAnsi="Times New Roman" w:cs="Times New Roman"/>
          <w:color w:val="auto"/>
          <w:lang w:val="pt-BR" w:eastAsia="en-US"/>
        </w:rPr>
        <w:t xml:space="preserve"> seja</w:t>
      </w:r>
      <w:r w:rsidRPr="00672620">
        <w:rPr>
          <w:rFonts w:ascii="Times New Roman" w:eastAsia="Calibri" w:hAnsi="Times New Roman" w:cs="Times New Roman"/>
          <w:color w:val="auto"/>
          <w:lang w:val="pt-BR" w:eastAsia="en-US"/>
        </w:rPr>
        <w:t xml:space="preserve"> obedecido o requisito da alternância entre os critérios de promoção por antiguidade e por merecimento</w:t>
      </w:r>
      <w:r>
        <w:rPr>
          <w:rFonts w:ascii="Times New Roman" w:eastAsia="Calibri" w:hAnsi="Times New Roman" w:cs="Times New Roman"/>
          <w:color w:val="auto"/>
          <w:lang w:val="pt-BR" w:eastAsia="en-US"/>
        </w:rPr>
        <w:t xml:space="preserve">. Há, portanto, óbice </w:t>
      </w:r>
      <w:r w:rsidRPr="00672620">
        <w:rPr>
          <w:rFonts w:ascii="Times New Roman" w:eastAsia="Calibri" w:hAnsi="Times New Roman" w:cs="Times New Roman"/>
          <w:color w:val="auto"/>
          <w:lang w:val="pt-BR" w:eastAsia="en-US"/>
        </w:rPr>
        <w:t>ao pedido de equiparação salarial</w:t>
      </w:r>
      <w:r>
        <w:rPr>
          <w:rFonts w:ascii="Times New Roman" w:eastAsia="Calibri" w:hAnsi="Times New Roman" w:cs="Times New Roman"/>
          <w:color w:val="auto"/>
          <w:lang w:val="pt-BR" w:eastAsia="en-US"/>
        </w:rPr>
        <w:t>. Com efeito, a</w:t>
      </w:r>
      <w:r w:rsidRPr="007C124F">
        <w:rPr>
          <w:rFonts w:ascii="Times New Roman" w:eastAsia="Calibri" w:hAnsi="Times New Roman" w:cs="Times New Roman"/>
          <w:color w:val="auto"/>
          <w:lang w:val="pt-BR" w:eastAsia="en-US"/>
        </w:rPr>
        <w:t xml:space="preserve"> intenção desta Corte</w:t>
      </w:r>
      <w:r>
        <w:rPr>
          <w:rFonts w:ascii="Times New Roman" w:eastAsia="Calibri" w:hAnsi="Times New Roman" w:cs="Times New Roman"/>
          <w:color w:val="auto"/>
          <w:lang w:val="pt-BR" w:eastAsia="en-US"/>
        </w:rPr>
        <w:t xml:space="preserve"> Superior, quando da edição da </w:t>
      </w:r>
      <w:r w:rsidRPr="007C124F">
        <w:rPr>
          <w:rFonts w:ascii="Times New Roman" w:eastAsia="Calibri" w:hAnsi="Times New Roman" w:cs="Times New Roman"/>
          <w:color w:val="auto"/>
          <w:lang w:val="pt-BR" w:eastAsia="en-US"/>
        </w:rPr>
        <w:t>Súmula nº 6, item I, fo</w:t>
      </w:r>
      <w:r>
        <w:rPr>
          <w:rFonts w:ascii="Times New Roman" w:eastAsia="Calibri" w:hAnsi="Times New Roman" w:cs="Times New Roman"/>
          <w:color w:val="auto"/>
          <w:lang w:val="pt-BR" w:eastAsia="en-US"/>
        </w:rPr>
        <w:t>ra</w:t>
      </w:r>
      <w:r w:rsidRPr="007C124F">
        <w:rPr>
          <w:rFonts w:ascii="Times New Roman" w:eastAsia="Calibri" w:hAnsi="Times New Roman" w:cs="Times New Roman"/>
          <w:color w:val="auto"/>
          <w:lang w:val="pt-BR" w:eastAsia="en-US"/>
        </w:rPr>
        <w:t xml:space="preserve"> apenas de excepcionar da exigência de homologação do quadro de carreira no Ministério do Trabalho as entidades de direito público, tendo em vista a presunção de legalidade de seus atos.</w:t>
      </w:r>
      <w:r>
        <w:rPr>
          <w:rFonts w:ascii="Times New Roman" w:eastAsia="Calibri" w:hAnsi="Times New Roman" w:cs="Times New Roman"/>
          <w:color w:val="auto"/>
          <w:lang w:val="pt-BR" w:eastAsia="en-US"/>
        </w:rPr>
        <w:t xml:space="preserve"> Assim, é</w:t>
      </w:r>
      <w:r w:rsidRPr="007C124F">
        <w:rPr>
          <w:rFonts w:ascii="Times New Roman" w:eastAsia="Calibri" w:hAnsi="Times New Roman" w:cs="Times New Roman"/>
          <w:color w:val="auto"/>
          <w:lang w:val="pt-BR" w:eastAsia="en-US"/>
        </w:rPr>
        <w:t xml:space="preserve"> inviável a aplicação do entendimento contido no</w:t>
      </w:r>
      <w:r>
        <w:rPr>
          <w:rFonts w:ascii="Times New Roman" w:eastAsia="Calibri" w:hAnsi="Times New Roman" w:cs="Times New Roman"/>
          <w:color w:val="auto"/>
          <w:lang w:val="pt-BR" w:eastAsia="en-US"/>
        </w:rPr>
        <w:t xml:space="preserve"> aludido verbete</w:t>
      </w:r>
      <w:r w:rsidRPr="007C124F">
        <w:rPr>
          <w:rFonts w:ascii="Times New Roman" w:eastAsia="Calibri" w:hAnsi="Times New Roman" w:cs="Times New Roman"/>
          <w:color w:val="auto"/>
          <w:lang w:val="pt-BR" w:eastAsia="en-US"/>
        </w:rPr>
        <w:t xml:space="preserve"> para afastar a validade do quadro de carreira de empresa privada que, conquanto não tenha sido homologado no Ministério do Trabalho, haja sido convalidado por meio de instrumento coletivo</w:t>
      </w:r>
      <w:r>
        <w:rPr>
          <w:rFonts w:ascii="Times New Roman" w:eastAsia="Calibri" w:hAnsi="Times New Roman" w:cs="Times New Roman"/>
          <w:color w:val="auto"/>
          <w:lang w:val="pt-BR" w:eastAsia="en-US"/>
        </w:rPr>
        <w:t xml:space="preserve"> e observado o critério da alternância entre a promoção por antiguidade e por merecimento. Sob esses fundamentos, a SBDI-I decidiu, </w:t>
      </w:r>
      <w:r w:rsidRPr="00170EB3">
        <w:rPr>
          <w:rFonts w:ascii="Times New Roman" w:eastAsia="Calibri" w:hAnsi="Times New Roman" w:cs="Times New Roman"/>
          <w:color w:val="auto"/>
          <w:lang w:val="pt-BR" w:eastAsia="en-US"/>
        </w:rPr>
        <w:t>por unanimidade, conhecer do recurso de embargos por divergência jurisprudencial e, no mérito, por maioria, dar-lh</w:t>
      </w:r>
      <w:r>
        <w:rPr>
          <w:rFonts w:ascii="Times New Roman" w:eastAsia="Calibri" w:hAnsi="Times New Roman" w:cs="Times New Roman"/>
          <w:color w:val="auto"/>
          <w:lang w:val="pt-BR" w:eastAsia="en-US"/>
        </w:rPr>
        <w:t xml:space="preserve">e provimento para restabelecer </w:t>
      </w:r>
      <w:r w:rsidRPr="00170EB3">
        <w:rPr>
          <w:rFonts w:ascii="Times New Roman" w:eastAsia="Calibri" w:hAnsi="Times New Roman" w:cs="Times New Roman"/>
          <w:color w:val="auto"/>
          <w:lang w:val="pt-BR" w:eastAsia="en-US"/>
        </w:rPr>
        <w:t>a sentença que julgou improcedente o pedido de equiparação salarial e reflexos</w:t>
      </w:r>
      <w:r>
        <w:rPr>
          <w:rFonts w:ascii="Times New Roman" w:eastAsia="Calibri" w:hAnsi="Times New Roman" w:cs="Times New Roman"/>
          <w:color w:val="auto"/>
          <w:lang w:val="pt-BR" w:eastAsia="en-US"/>
        </w:rPr>
        <w:t>.</w:t>
      </w:r>
      <w:r w:rsidRPr="00170EB3">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V</w:t>
      </w:r>
      <w:r w:rsidRPr="00170EB3">
        <w:rPr>
          <w:rFonts w:ascii="Times New Roman" w:eastAsia="Calibri" w:hAnsi="Times New Roman" w:cs="Times New Roman"/>
          <w:color w:val="auto"/>
          <w:lang w:val="pt-BR" w:eastAsia="en-US"/>
        </w:rPr>
        <w:t>encidos os Ministros Augusto César Leite de Carvalho, Aloysio Corrêa da Veiga, José Roberto Freire Pimenta e Hugo Carlos Scheuermann.</w:t>
      </w:r>
      <w:r>
        <w:rPr>
          <w:rFonts w:ascii="Times New Roman" w:eastAsia="Calibri" w:hAnsi="Times New Roman" w:cs="Times New Roman"/>
          <w:color w:val="auto"/>
          <w:lang w:val="pt-BR" w:eastAsia="en-US"/>
        </w:rPr>
        <w:t xml:space="preserve"> </w:t>
      </w:r>
      <w:hyperlink r:id="rId10" w:history="1">
        <w:r w:rsidRPr="00AB1706">
          <w:rPr>
            <w:rStyle w:val="Hyperlink"/>
            <w:rFonts w:ascii="Times New Roman" w:hAnsi="Times New Roman" w:cs="Courier New"/>
            <w:lang w:val="pt-BR"/>
          </w:rPr>
          <w:t>TST-E-ED</w:t>
        </w:r>
        <w:r w:rsidRPr="00AB1706">
          <w:rPr>
            <w:rStyle w:val="Hyperlink"/>
            <w:rFonts w:ascii="Times New Roman" w:hAnsi="Times New Roman" w:cs="Courier New"/>
            <w:lang w:val="pt-BR"/>
          </w:rPr>
          <w:t>-</w:t>
        </w:r>
        <w:r w:rsidRPr="00AB1706">
          <w:rPr>
            <w:rStyle w:val="Hyperlink"/>
            <w:rFonts w:ascii="Times New Roman" w:hAnsi="Times New Roman" w:cs="Courier New"/>
            <w:lang w:val="pt-BR"/>
          </w:rPr>
          <w:t>RR - 35941-05.2007.5.02.0254</w:t>
        </w:r>
      </w:hyperlink>
      <w:r w:rsidRPr="00895CC6">
        <w:rPr>
          <w:rFonts w:ascii="Times New Roman" w:hAnsi="Times New Roman"/>
          <w:u w:val="single"/>
          <w:lang w:val="pt-BR"/>
        </w:rPr>
        <w:t xml:space="preserve">, SBDI-I, rel. Min. </w:t>
      </w:r>
      <w:r w:rsidRPr="00120E12">
        <w:rPr>
          <w:rFonts w:ascii="Times New Roman" w:hAnsi="Times New Roman"/>
          <w:u w:val="single"/>
          <w:lang w:val="pt-BR"/>
        </w:rPr>
        <w:t xml:space="preserve">Renato </w:t>
      </w:r>
      <w:r>
        <w:rPr>
          <w:rFonts w:ascii="Times New Roman" w:hAnsi="Times New Roman"/>
          <w:u w:val="single"/>
          <w:lang w:val="pt-BR"/>
        </w:rPr>
        <w:t>d</w:t>
      </w:r>
      <w:r w:rsidRPr="00120E12">
        <w:rPr>
          <w:rFonts w:ascii="Times New Roman" w:hAnsi="Times New Roman"/>
          <w:u w:val="single"/>
          <w:lang w:val="pt-BR"/>
        </w:rPr>
        <w:t>e Lacerda Paiva</w:t>
      </w:r>
      <w:r w:rsidRPr="00895CC6">
        <w:rPr>
          <w:rFonts w:ascii="Times New Roman" w:hAnsi="Times New Roman"/>
          <w:u w:val="single"/>
          <w:lang w:val="pt-BR"/>
        </w:rPr>
        <w:t xml:space="preserve">, </w:t>
      </w:r>
      <w:r>
        <w:rPr>
          <w:rFonts w:ascii="Times New Roman" w:hAnsi="Times New Roman"/>
          <w:u w:val="single"/>
          <w:lang w:val="pt-BR"/>
        </w:rPr>
        <w:t>08</w:t>
      </w:r>
      <w:r w:rsidRPr="00895CC6">
        <w:rPr>
          <w:rFonts w:ascii="Times New Roman" w:hAnsi="Times New Roman"/>
          <w:u w:val="single"/>
          <w:lang w:val="pt-BR"/>
        </w:rPr>
        <w:t>.</w:t>
      </w:r>
      <w:r>
        <w:rPr>
          <w:rFonts w:ascii="Times New Roman" w:hAnsi="Times New Roman"/>
          <w:u w:val="single"/>
          <w:lang w:val="pt-BR"/>
        </w:rPr>
        <w:t>10</w:t>
      </w:r>
      <w:r w:rsidRPr="00895CC6">
        <w:rPr>
          <w:rFonts w:ascii="Times New Roman" w:hAnsi="Times New Roman"/>
          <w:u w:val="single"/>
          <w:lang w:val="pt-BR"/>
        </w:rPr>
        <w:t>.201</w:t>
      </w:r>
      <w:r>
        <w:rPr>
          <w:rFonts w:ascii="Times New Roman" w:hAnsi="Times New Roman"/>
          <w:u w:val="single"/>
          <w:lang w:val="pt-BR"/>
        </w:rPr>
        <w:t>5.</w:t>
      </w:r>
    </w:p>
    <w:p w:rsidR="00CE1650" w:rsidRDefault="00CE1650" w:rsidP="00877F29">
      <w:pPr>
        <w:pStyle w:val="Corpo"/>
        <w:spacing w:line="240" w:lineRule="auto"/>
        <w:ind w:firstLine="0"/>
        <w:rPr>
          <w:rFonts w:ascii="Times New Roman" w:hAnsi="Times New Roman"/>
          <w:u w:val="single"/>
          <w:lang w:val="pt-BR"/>
        </w:rPr>
      </w:pPr>
    </w:p>
    <w:p w:rsidR="00CE1650" w:rsidRPr="00CE1650" w:rsidRDefault="00CE1650" w:rsidP="00CE1650">
      <w:pPr>
        <w:pStyle w:val="Ementa"/>
        <w:ind w:left="0"/>
        <w:rPr>
          <w:rFonts w:ascii="Times New Roman" w:hAnsi="Times New Roman" w:cs="Times New Roman"/>
          <w:b/>
          <w:i/>
          <w:color w:val="auto"/>
          <w:lang w:val="pt-BR"/>
        </w:rPr>
      </w:pPr>
      <w:r w:rsidRPr="00CE1650">
        <w:rPr>
          <w:rFonts w:ascii="Times New Roman" w:hAnsi="Times New Roman" w:cs="Times New Roman"/>
          <w:b/>
          <w:i/>
          <w:color w:val="auto"/>
          <w:lang w:val="pt-BR"/>
        </w:rPr>
        <w:t>Dano moral. Princípio da dignidade humana. Limitação ao uso do banheiro. Empregada que labora na “linha de produção” de empresa de processamento de carnes e derivados. Ininterruptividade de atividade laboral. NR-36 da Portaria MTE nº 555/2013.</w:t>
      </w:r>
    </w:p>
    <w:p w:rsidR="00CE1650" w:rsidRDefault="00CE1650" w:rsidP="00CE1650">
      <w:pPr>
        <w:pStyle w:val="Ementa"/>
        <w:ind w:left="0"/>
        <w:rPr>
          <w:rFonts w:ascii="Times New Roman" w:hAnsi="Times New Roman" w:cs="Times New Roman"/>
          <w:color w:val="auto"/>
          <w:u w:val="single"/>
        </w:rPr>
      </w:pPr>
      <w:r w:rsidRPr="00CE1650">
        <w:rPr>
          <w:rFonts w:ascii="Times New Roman" w:hAnsi="Times New Roman" w:cs="Times New Roman"/>
          <w:color w:val="auto"/>
          <w:lang w:val="pt-BR"/>
        </w:rPr>
        <w:t xml:space="preserve">A limitação ao uso do banheiro por determinação do empregador, ainda que a atividade laboral se dê nas denominadas “linhas de produção”, acarreta constrangimento e exposição a risco de lesão à saúde do empregado, ao comprometer-lhe o atendimento de necessidades fisiológicas impostergáveis. A simples sujeição do empregado à obtenção de autorização expressa da chefia, para uso do banheiro, em certas circunstâncias, em si mesma já constitui intolerável constrangimento e menoscabo à dignidade humana. Tal conduta do empregador viola o princípio da dignidade humana e assegura o direito à indenização por dano moral, com fundamento no artigo 5º, X, da Constituição Federal e no artigo 186 do código Civil. No caso, entendeu-se, em sintonia com a NR-36 da Portaria MTE nº 555/2013, que a ininterruptividade do labor da empregada em “linha de produção” de empresa de processamento de carnes e derivados, não autoriza a restrição do acesso ao toalete a apenas duas vezes ao longo da jornada de labor, dependendo as demais do controle e autorização expressa da chefia. Sob esse entendimento, a SBDI-1, por unanimidade, conheceu dos embargos, por divergência jurisprudencial, e, no mérito, por maioria, vencido o Ministro Renato de Lacerda Paiva, deu-lhes provimento para condenar a reclamada ao pagamento de indenização por dano moral, que ora se fixa em R$ 30.000,00. </w:t>
      </w:r>
      <w:hyperlink r:id="rId11" w:history="1">
        <w:r w:rsidRPr="00AB1706">
          <w:rPr>
            <w:rStyle w:val="Hyperlink"/>
            <w:rFonts w:ascii="Times New Roman" w:hAnsi="Times New Roman"/>
          </w:rPr>
          <w:t>TST-</w:t>
        </w:r>
        <w:r w:rsidRPr="00AB1706">
          <w:rPr>
            <w:rStyle w:val="Hyperlink"/>
            <w:rFonts w:ascii="Times New Roman" w:hAnsi="Times New Roman"/>
          </w:rPr>
          <w:t>E</w:t>
        </w:r>
        <w:r w:rsidRPr="00AB1706">
          <w:rPr>
            <w:rStyle w:val="Hyperlink"/>
            <w:rFonts w:ascii="Times New Roman" w:hAnsi="Times New Roman"/>
          </w:rPr>
          <w:t>-RR-3524-55.2011.5.12.0003</w:t>
        </w:r>
      </w:hyperlink>
      <w:r w:rsidRPr="00CE1650">
        <w:rPr>
          <w:rFonts w:ascii="Times New Roman" w:hAnsi="Times New Roman" w:cs="Times New Roman"/>
          <w:color w:val="auto"/>
          <w:u w:val="single"/>
        </w:rPr>
        <w:t>, SBDI-1, rel. Min. João Oreste Dalazen, 8.10.2015.</w:t>
      </w:r>
    </w:p>
    <w:p w:rsidR="00CA5F0D" w:rsidRDefault="00CA5F0D" w:rsidP="00CE1650">
      <w:pPr>
        <w:pStyle w:val="Ementa"/>
        <w:ind w:left="0"/>
        <w:rPr>
          <w:rFonts w:ascii="Times New Roman" w:hAnsi="Times New Roman" w:cs="Times New Roman"/>
          <w:color w:val="auto"/>
          <w:u w:val="single"/>
        </w:rPr>
      </w:pPr>
    </w:p>
    <w:p w:rsidR="00CA5F0D" w:rsidRPr="00895CC6" w:rsidRDefault="00CA5F0D" w:rsidP="00CA5F0D">
      <w:pPr>
        <w:jc w:val="both"/>
        <w:rPr>
          <w:b/>
          <w:i/>
          <w:sz w:val="24"/>
          <w:szCs w:val="24"/>
        </w:rPr>
      </w:pPr>
      <w:r w:rsidRPr="00062E14">
        <w:rPr>
          <w:b/>
          <w:i/>
          <w:sz w:val="24"/>
          <w:szCs w:val="24"/>
        </w:rPr>
        <w:t>Responsabilidade solidária. Comp</w:t>
      </w:r>
      <w:r>
        <w:rPr>
          <w:b/>
          <w:i/>
          <w:sz w:val="24"/>
          <w:szCs w:val="24"/>
        </w:rPr>
        <w:t>lementação de aposentadoria. CESP – Companhia Energética de São Paulo</w:t>
      </w:r>
      <w:r w:rsidRPr="00062E14">
        <w:rPr>
          <w:b/>
          <w:i/>
          <w:sz w:val="24"/>
          <w:szCs w:val="24"/>
        </w:rPr>
        <w:t xml:space="preserve">. Cisão parcial. </w:t>
      </w:r>
      <w:r>
        <w:rPr>
          <w:b/>
          <w:i/>
          <w:sz w:val="24"/>
          <w:szCs w:val="24"/>
        </w:rPr>
        <w:t>CTEEP – Companhia de Transmissão de Energia Elétrica Paulista</w:t>
      </w:r>
      <w:r w:rsidRPr="00062E14">
        <w:rPr>
          <w:b/>
          <w:i/>
          <w:sz w:val="24"/>
          <w:szCs w:val="24"/>
        </w:rPr>
        <w:t>. Efeitos</w:t>
      </w:r>
      <w:r w:rsidRPr="00895CC6">
        <w:rPr>
          <w:b/>
          <w:i/>
          <w:sz w:val="24"/>
          <w:szCs w:val="24"/>
        </w:rPr>
        <w:t xml:space="preserve">. </w:t>
      </w:r>
    </w:p>
    <w:p w:rsidR="00CA5F0D" w:rsidRPr="00AB1706" w:rsidRDefault="00CA5F0D" w:rsidP="00CA5F0D">
      <w:pPr>
        <w:pStyle w:val="Voto"/>
        <w:spacing w:line="240" w:lineRule="auto"/>
        <w:ind w:firstLine="0"/>
        <w:rPr>
          <w:rFonts w:ascii="Times New Roman" w:eastAsia="Calibri" w:hAnsi="Times New Roman" w:cs="Times New Roman"/>
          <w:color w:val="auto"/>
          <w:u w:val="single"/>
          <w:lang w:val="pt-BR" w:eastAsia="en-US"/>
        </w:rPr>
      </w:pPr>
      <w:r w:rsidRPr="00CA5F0D">
        <w:rPr>
          <w:rFonts w:ascii="Times New Roman" w:eastAsia="Calibri" w:hAnsi="Times New Roman" w:cs="Times New Roman"/>
          <w:color w:val="auto"/>
          <w:lang w:val="pt-BR" w:eastAsia="en-US"/>
        </w:rPr>
        <w:t>Nos termos dos arts. 229, § 1º, e 233 da Lei nº 6.404/76, havendo cisão, a prerrogativa de estabelecer as condições que nortearão a operação de transferência de patrimônio — total ou parcial —, mediante a elaboração de um protocolo, é das empresas</w:t>
      </w:r>
      <w:r w:rsidRPr="00CA5F0D">
        <w:rPr>
          <w:lang w:val="pt-BR"/>
        </w:rPr>
        <w:t xml:space="preserve">. </w:t>
      </w:r>
      <w:r w:rsidRPr="00CA5F0D">
        <w:rPr>
          <w:rFonts w:ascii="Times New Roman" w:eastAsia="Calibri" w:hAnsi="Times New Roman" w:cs="Times New Roman"/>
          <w:color w:val="auto"/>
          <w:lang w:val="pt-BR" w:eastAsia="en-US"/>
        </w:rPr>
        <w:t>Quanto aos efeitos da cisão, a referida lei elege, como regra geral, a solidariedade entre a empresa cindida e aquela (s) que absorver (em) parte do seu patrimônio. Contudo, o próprio ato de cisão pode afastar tal responsabilidade solidária ao atribuir unicamente às empresas que absorverem parte do patrimônio da empresa cindida a responsabilidade pelo adimplemento das obrigações transferidas.</w:t>
      </w:r>
      <w:r w:rsidRPr="00CA5F0D">
        <w:rPr>
          <w:lang w:val="pt-BR"/>
        </w:rPr>
        <w:t xml:space="preserve"> </w:t>
      </w:r>
      <w:r w:rsidRPr="00CA5F0D">
        <w:rPr>
          <w:rFonts w:ascii="Times New Roman" w:eastAsia="Calibri" w:hAnsi="Times New Roman" w:cs="Times New Roman"/>
          <w:color w:val="auto"/>
          <w:lang w:val="pt-BR" w:eastAsia="en-US"/>
        </w:rPr>
        <w:t xml:space="preserve">No caso, o v. acórdão regional decidiu excluir a CESP, companhia cindida, do polo passivo da relação processual, entendendo que, operada a sucessão, mediante cisão parcial, é de total responsabilidade da sucessora, no caso a CTEEP, o pagamento das complementações de aposentadoria devidas aos empregados aposentados da sucedida. Sob esses fundamentos, a SBDI-1, por maioria, conheceu dos embargos, por divergência jurisprudencial, vencido o Ministro José Roberto Freire Pimenta, e, no mérito, ainda por maioria, deu-lhes provimento para restabelecer o acórdão regional, no que excluiu a reclamada CESP da relação processual. Vencidos os Ministros José Roberto Freire Pimenta e Augusto César Leite de Carvalho. </w:t>
      </w:r>
      <w:hyperlink r:id="rId12" w:history="1">
        <w:r w:rsidRPr="00AB1706">
          <w:rPr>
            <w:rStyle w:val="Hyperlink"/>
            <w:rFonts w:ascii="Times New Roman" w:hAnsi="Times New Roman" w:cs="Courier New"/>
            <w:lang w:val="pt-BR"/>
          </w:rPr>
          <w:t>TST-E-ED-RR-11450</w:t>
        </w:r>
        <w:r w:rsidRPr="00AB1706">
          <w:rPr>
            <w:rStyle w:val="Hyperlink"/>
            <w:rFonts w:ascii="Times New Roman" w:hAnsi="Times New Roman" w:cs="Courier New"/>
            <w:lang w:val="pt-BR"/>
          </w:rPr>
          <w:t>0</w:t>
        </w:r>
        <w:r w:rsidRPr="00AB1706">
          <w:rPr>
            <w:rStyle w:val="Hyperlink"/>
            <w:rFonts w:ascii="Times New Roman" w:hAnsi="Times New Roman" w:cs="Courier New"/>
            <w:lang w:val="pt-BR"/>
          </w:rPr>
          <w:t>-77.2005.5.02.0049</w:t>
        </w:r>
      </w:hyperlink>
      <w:r w:rsidRPr="00AB1706">
        <w:rPr>
          <w:rFonts w:ascii="Times New Roman" w:hAnsi="Times New Roman"/>
          <w:color w:val="auto"/>
          <w:u w:val="single"/>
          <w:lang w:val="pt-BR"/>
        </w:rPr>
        <w:t>, SBDI-I, rel. Min. João Oreste Dalazen, 15.10.2015.</w:t>
      </w:r>
    </w:p>
    <w:p w:rsidR="00CA5F0D" w:rsidRPr="00CA5F0D" w:rsidRDefault="00CA5F0D" w:rsidP="00CE1650">
      <w:pPr>
        <w:pStyle w:val="Ementa"/>
        <w:ind w:left="0"/>
        <w:rPr>
          <w:rFonts w:ascii="Times New Roman" w:hAnsi="Times New Roman" w:cs="Times New Roman"/>
          <w:color w:val="auto"/>
          <w:lang w:val="pt-BR"/>
        </w:rPr>
      </w:pPr>
    </w:p>
    <w:p w:rsidR="00A71880" w:rsidRDefault="00A71880" w:rsidP="00C71A3B">
      <w:pPr>
        <w:pStyle w:val="Corpo"/>
        <w:spacing w:line="240" w:lineRule="auto"/>
        <w:ind w:firstLine="0"/>
        <w:rPr>
          <w:rFonts w:ascii="Times New Roman" w:hAnsi="Times New Roman" w:cs="Times New Roman"/>
          <w:sz w:val="10"/>
          <w:szCs w:val="10"/>
          <w:u w:val="single"/>
          <w:lang w:val="pt-BR" w:eastAsia="en-US"/>
        </w:rPr>
      </w:pPr>
    </w:p>
    <w:p w:rsidR="00035B8E" w:rsidRDefault="00035B8E" w:rsidP="00C71A3B">
      <w:pPr>
        <w:pStyle w:val="Corpo"/>
        <w:spacing w:line="240" w:lineRule="auto"/>
        <w:ind w:firstLine="0"/>
        <w:rPr>
          <w:rFonts w:ascii="Times New Roman" w:hAnsi="Times New Roman" w:cs="Times New Roman"/>
          <w:sz w:val="10"/>
          <w:szCs w:val="10"/>
          <w:u w:val="single"/>
          <w:lang w:val="pt-BR" w:eastAsia="en-US"/>
        </w:rPr>
      </w:pPr>
    </w:p>
    <w:p w:rsidR="00035B8E" w:rsidRDefault="00035B8E" w:rsidP="00C71A3B">
      <w:pPr>
        <w:pStyle w:val="Corpo"/>
        <w:spacing w:line="240" w:lineRule="auto"/>
        <w:ind w:firstLine="0"/>
        <w:rPr>
          <w:rFonts w:ascii="Times New Roman" w:hAnsi="Times New Roman" w:cs="Times New Roman"/>
          <w:sz w:val="10"/>
          <w:szCs w:val="10"/>
          <w:u w:val="single"/>
          <w:lang w:val="pt-BR" w:eastAsia="en-US"/>
        </w:rPr>
      </w:pPr>
    </w:p>
    <w:p w:rsidR="00035B8E" w:rsidRDefault="00035B8E" w:rsidP="00C71A3B">
      <w:pPr>
        <w:pStyle w:val="Corpo"/>
        <w:spacing w:line="240" w:lineRule="auto"/>
        <w:ind w:firstLine="0"/>
        <w:rPr>
          <w:rFonts w:ascii="Times New Roman" w:hAnsi="Times New Roman" w:cs="Times New Roman"/>
          <w:sz w:val="10"/>
          <w:szCs w:val="10"/>
          <w:u w:val="single"/>
          <w:lang w:val="pt-BR" w:eastAsia="en-US"/>
        </w:rPr>
      </w:pPr>
    </w:p>
    <w:p w:rsidR="00035B8E" w:rsidRDefault="00035B8E" w:rsidP="00C71A3B">
      <w:pPr>
        <w:pStyle w:val="Corpo"/>
        <w:spacing w:line="240" w:lineRule="auto"/>
        <w:ind w:firstLine="0"/>
        <w:rPr>
          <w:rFonts w:ascii="Times New Roman" w:hAnsi="Times New Roman" w:cs="Times New Roman"/>
          <w:sz w:val="10"/>
          <w:szCs w:val="10"/>
          <w:u w:val="single"/>
          <w:lang w:val="pt-BR" w:eastAsia="en-US"/>
        </w:rPr>
      </w:pPr>
    </w:p>
    <w:p w:rsidR="00035B8E" w:rsidRDefault="00035B8E" w:rsidP="00C71A3B">
      <w:pPr>
        <w:pStyle w:val="Corpo"/>
        <w:spacing w:line="240" w:lineRule="auto"/>
        <w:ind w:firstLine="0"/>
        <w:rPr>
          <w:rFonts w:ascii="Times New Roman" w:hAnsi="Times New Roman" w:cs="Times New Roman"/>
          <w:sz w:val="10"/>
          <w:szCs w:val="10"/>
          <w:u w:val="single"/>
          <w:lang w:val="pt-BR" w:eastAsia="en-US"/>
        </w:rPr>
      </w:pPr>
    </w:p>
    <w:p w:rsidR="00035B8E" w:rsidRDefault="00035B8E" w:rsidP="00C71A3B">
      <w:pPr>
        <w:pStyle w:val="Corpo"/>
        <w:spacing w:line="240" w:lineRule="auto"/>
        <w:ind w:firstLine="0"/>
        <w:rPr>
          <w:rFonts w:ascii="Times New Roman" w:hAnsi="Times New Roman" w:cs="Times New Roman"/>
          <w:sz w:val="10"/>
          <w:szCs w:val="10"/>
          <w:u w:val="single"/>
          <w:lang w:val="pt-BR" w:eastAsia="en-US"/>
        </w:rPr>
      </w:pPr>
    </w:p>
    <w:p w:rsidR="00035B8E" w:rsidRDefault="00035B8E" w:rsidP="00C71A3B">
      <w:pPr>
        <w:pStyle w:val="Corpo"/>
        <w:spacing w:line="240" w:lineRule="auto"/>
        <w:ind w:firstLine="0"/>
        <w:rPr>
          <w:rFonts w:ascii="Times New Roman" w:hAnsi="Times New Roman" w:cs="Times New Roman"/>
          <w:sz w:val="10"/>
          <w:szCs w:val="10"/>
          <w:u w:val="single"/>
          <w:lang w:val="pt-BR" w:eastAsia="en-US"/>
        </w:rPr>
      </w:pPr>
    </w:p>
    <w:p w:rsidR="00035B8E" w:rsidRDefault="00035B8E" w:rsidP="00C71A3B">
      <w:pPr>
        <w:pStyle w:val="Corpo"/>
        <w:spacing w:line="240" w:lineRule="auto"/>
        <w:ind w:firstLine="0"/>
        <w:rPr>
          <w:rFonts w:ascii="Times New Roman" w:hAnsi="Times New Roman" w:cs="Times New Roman"/>
          <w:sz w:val="10"/>
          <w:szCs w:val="10"/>
          <w:u w:val="single"/>
          <w:lang w:val="pt-BR" w:eastAsia="en-US"/>
        </w:rPr>
      </w:pPr>
    </w:p>
    <w:p w:rsidR="00035B8E" w:rsidRDefault="00035B8E" w:rsidP="00C71A3B">
      <w:pPr>
        <w:pStyle w:val="Corpo"/>
        <w:spacing w:line="240" w:lineRule="auto"/>
        <w:ind w:firstLine="0"/>
        <w:rPr>
          <w:rFonts w:ascii="Times New Roman" w:hAnsi="Times New Roman" w:cs="Times New Roman"/>
          <w:sz w:val="10"/>
          <w:szCs w:val="10"/>
          <w:u w:val="single"/>
          <w:lang w:val="pt-BR" w:eastAsia="en-US"/>
        </w:rPr>
      </w:pPr>
    </w:p>
    <w:p w:rsidR="00A71880" w:rsidRDefault="00A71880" w:rsidP="00C71A3B">
      <w:pPr>
        <w:pStyle w:val="Corpo"/>
        <w:spacing w:line="240" w:lineRule="auto"/>
        <w:ind w:firstLine="0"/>
        <w:rPr>
          <w:rFonts w:ascii="Times New Roman" w:hAnsi="Times New Roman" w:cs="Times New Roman"/>
          <w:sz w:val="10"/>
          <w:szCs w:val="10"/>
          <w:u w:val="single"/>
          <w:lang w:val="pt-BR" w:eastAsia="en-US"/>
        </w:rPr>
      </w:pPr>
    </w:p>
    <w:p w:rsidR="00A71880" w:rsidRPr="005D1DE4" w:rsidRDefault="00A71880" w:rsidP="00C71A3B">
      <w:pPr>
        <w:pStyle w:val="Corpo"/>
        <w:spacing w:line="240" w:lineRule="auto"/>
        <w:ind w:firstLine="0"/>
        <w:rPr>
          <w:rFonts w:ascii="Times New Roman" w:hAnsi="Times New Roman" w:cs="Times New Roman"/>
          <w:sz w:val="10"/>
          <w:szCs w:val="10"/>
          <w:u w:val="single"/>
          <w:lang w:val="pt-BR" w:eastAsia="en-US"/>
        </w:rPr>
      </w:pP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13"/>
      <w:footerReference w:type="default" r:id="rId14"/>
      <w:headerReference w:type="first" r:id="rId15"/>
      <w:footerReference w:type="first" r:id="rId16"/>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141" w:rsidRDefault="00455141">
      <w:r>
        <w:separator/>
      </w:r>
    </w:p>
  </w:endnote>
  <w:endnote w:type="continuationSeparator" w:id="0">
    <w:p w:rsidR="00455141" w:rsidRDefault="0045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86A" w:rsidRDefault="0093486A">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1706">
      <w:rPr>
        <w:rStyle w:val="Nmerodepgina"/>
        <w:noProof/>
      </w:rPr>
      <w:t>4</w:t>
    </w:r>
    <w:r>
      <w:rPr>
        <w:rStyle w:val="Nmerodepgina"/>
      </w:rPr>
      <w:fldChar w:fldCharType="end"/>
    </w:r>
  </w:p>
  <w:p w:rsidR="0093486A" w:rsidRDefault="0093486A">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86A" w:rsidRDefault="0093486A">
    <w:pPr>
      <w:pStyle w:val="Rodap"/>
      <w:jc w:val="right"/>
    </w:pPr>
    <w:r>
      <w:rPr>
        <w:noProof/>
      </w:rPr>
      <w:pict>
        <v:line id="_x0000_s2054" style="position:absolute;left:0;text-align:left;flip:y;z-index:251659264" from=".9pt,-3.55pt" to="497.7pt,-3.4pt" o:allowincell="f" strokecolor="#969696"/>
      </w:pict>
    </w:r>
    <w:r>
      <w:rPr>
        <w:rStyle w:val="Nmerodepgina"/>
      </w:rPr>
      <w:fldChar w:fldCharType="begin"/>
    </w:r>
    <w:r>
      <w:rPr>
        <w:rStyle w:val="Nmerodepgina"/>
      </w:rPr>
      <w:instrText xml:space="preserve"> PAGE </w:instrText>
    </w:r>
    <w:r>
      <w:rPr>
        <w:rStyle w:val="Nmerodepgina"/>
      </w:rPr>
      <w:fldChar w:fldCharType="separate"/>
    </w:r>
    <w:r w:rsidR="00720E4C">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141" w:rsidRDefault="00455141">
      <w:r>
        <w:separator/>
      </w:r>
    </w:p>
  </w:footnote>
  <w:footnote w:type="continuationSeparator" w:id="0">
    <w:p w:rsidR="00455141" w:rsidRDefault="0045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86A" w:rsidRPr="00971E07" w:rsidRDefault="0093486A">
    <w:pPr>
      <w:pStyle w:val="Corpodetexto"/>
      <w:jc w:val="right"/>
      <w:rPr>
        <w:shadow/>
        <w:sz w:val="24"/>
        <w:szCs w:val="24"/>
      </w:rPr>
    </w:pPr>
    <w:r w:rsidRPr="00971E07">
      <w:rPr>
        <w:shadow/>
        <w:sz w:val="24"/>
        <w:szCs w:val="24"/>
      </w:rPr>
      <w:t xml:space="preserve">Informativo TST - </w:t>
    </w:r>
    <w:r>
      <w:rPr>
        <w:shadow/>
        <w:sz w:val="24"/>
        <w:szCs w:val="24"/>
      </w:rPr>
      <w:t>n</w:t>
    </w:r>
    <w:r w:rsidRPr="00971E07">
      <w:rPr>
        <w:shadow/>
        <w:sz w:val="24"/>
        <w:szCs w:val="24"/>
      </w:rPr>
      <w:t>º 1</w:t>
    </w:r>
    <w:r w:rsidR="00D67011">
      <w:rPr>
        <w:shadow/>
        <w:sz w:val="24"/>
        <w:szCs w:val="24"/>
      </w:rPr>
      <w:t>20</w:t>
    </w:r>
  </w:p>
  <w:p w:rsidR="0093486A" w:rsidRPr="00971E07" w:rsidRDefault="0093486A">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Pr>
        <w:sz w:val="20"/>
        <w:szCs w:val="20"/>
      </w:rPr>
      <w:t xml:space="preserve">Período: </w:t>
    </w:r>
    <w:r w:rsidR="00CE1650">
      <w:rPr>
        <w:sz w:val="20"/>
        <w:szCs w:val="20"/>
      </w:rPr>
      <w:t>8</w:t>
    </w:r>
    <w:r w:rsidR="00D67011">
      <w:rPr>
        <w:sz w:val="20"/>
        <w:szCs w:val="20"/>
      </w:rPr>
      <w:t xml:space="preserve"> de outubro a 3 de novembro</w:t>
    </w:r>
    <w:r w:rsidRPr="00971E07">
      <w:rPr>
        <w:sz w:val="20"/>
        <w:szCs w:val="20"/>
      </w:rPr>
      <w:t xml:space="preserve"> de 20</w:t>
    </w:r>
    <w:r>
      <w:rPr>
        <w:sz w:val="20"/>
        <w:szCs w:val="20"/>
      </w:rPr>
      <w:t>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86A" w:rsidRDefault="0093486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5pt;height:77pt">
          <v:imagedata r:id="rId1" o:title="TST LOGO"/>
        </v:shape>
      </w:pict>
    </w:r>
  </w:p>
  <w:p w:rsidR="0093486A" w:rsidRPr="002168DE" w:rsidRDefault="0093486A"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Nº 1</w:t>
    </w:r>
    <w:r w:rsidR="002B1836">
      <w:rPr>
        <w:b/>
        <w:sz w:val="40"/>
        <w:szCs w:val="40"/>
      </w:rPr>
      <w:t>20</w:t>
    </w:r>
  </w:p>
  <w:p w:rsidR="0093486A" w:rsidRPr="005D1DE4" w:rsidRDefault="0093486A">
    <w:pPr>
      <w:pStyle w:val="Cabealho"/>
      <w:jc w:val="right"/>
      <w:rPr>
        <w:i/>
        <w:iCs/>
        <w:sz w:val="10"/>
        <w:szCs w:val="10"/>
      </w:rPr>
    </w:pPr>
  </w:p>
  <w:p w:rsidR="0093486A" w:rsidRPr="005D1DE4" w:rsidRDefault="0093486A">
    <w:pPr>
      <w:pStyle w:val="Cabealho"/>
      <w:jc w:val="right"/>
    </w:pPr>
    <w:r>
      <w:rPr>
        <w:i/>
        <w:iCs/>
      </w:rPr>
      <w:t>Período:</w:t>
    </w:r>
    <w:r w:rsidR="00CE1650">
      <w:rPr>
        <w:i/>
        <w:iCs/>
      </w:rPr>
      <w:t xml:space="preserve"> 8</w:t>
    </w:r>
    <w:r w:rsidR="002B1836">
      <w:rPr>
        <w:i/>
        <w:iCs/>
      </w:rPr>
      <w:t xml:space="preserve"> de outubro a 3 de novembro</w:t>
    </w:r>
    <w:r w:rsidRPr="005D1DE4">
      <w:rPr>
        <w:i/>
        <w:iCs/>
      </w:rPr>
      <w:t xml:space="preserve"> de 201</w:t>
    </w:r>
    <w:r>
      <w:rPr>
        <w:i/>
        <w:iCs/>
      </w:rPr>
      <w:t>5</w:t>
    </w:r>
  </w:p>
  <w:p w:rsidR="0093486A" w:rsidRDefault="0093486A"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32056"/>
    <w:rsid w:val="000322FB"/>
    <w:rsid w:val="00035B8E"/>
    <w:rsid w:val="000425FC"/>
    <w:rsid w:val="00050E85"/>
    <w:rsid w:val="00056752"/>
    <w:rsid w:val="00057B87"/>
    <w:rsid w:val="0006020E"/>
    <w:rsid w:val="000733B4"/>
    <w:rsid w:val="00073880"/>
    <w:rsid w:val="00075BDB"/>
    <w:rsid w:val="00080F10"/>
    <w:rsid w:val="0009237D"/>
    <w:rsid w:val="00093AE9"/>
    <w:rsid w:val="00093BA8"/>
    <w:rsid w:val="00094284"/>
    <w:rsid w:val="000A04E6"/>
    <w:rsid w:val="000B16BF"/>
    <w:rsid w:val="000B4D41"/>
    <w:rsid w:val="000B67DF"/>
    <w:rsid w:val="000B7CDE"/>
    <w:rsid w:val="000C3022"/>
    <w:rsid w:val="000C672B"/>
    <w:rsid w:val="000E0A91"/>
    <w:rsid w:val="0011575C"/>
    <w:rsid w:val="0011692E"/>
    <w:rsid w:val="00137564"/>
    <w:rsid w:val="00137DC1"/>
    <w:rsid w:val="0015612D"/>
    <w:rsid w:val="00176D15"/>
    <w:rsid w:val="00184590"/>
    <w:rsid w:val="00187A37"/>
    <w:rsid w:val="0019151D"/>
    <w:rsid w:val="00193208"/>
    <w:rsid w:val="00194A6D"/>
    <w:rsid w:val="001C04D2"/>
    <w:rsid w:val="001C271F"/>
    <w:rsid w:val="001C6C93"/>
    <w:rsid w:val="001D4CF9"/>
    <w:rsid w:val="001D5AB0"/>
    <w:rsid w:val="001D757D"/>
    <w:rsid w:val="001E14BB"/>
    <w:rsid w:val="001E4B57"/>
    <w:rsid w:val="001E5BD1"/>
    <w:rsid w:val="001E713B"/>
    <w:rsid w:val="001F030F"/>
    <w:rsid w:val="00206810"/>
    <w:rsid w:val="002168DE"/>
    <w:rsid w:val="00224AC2"/>
    <w:rsid w:val="0023559D"/>
    <w:rsid w:val="002402B0"/>
    <w:rsid w:val="002449F9"/>
    <w:rsid w:val="002635ED"/>
    <w:rsid w:val="002662BA"/>
    <w:rsid w:val="00266D49"/>
    <w:rsid w:val="00271C5C"/>
    <w:rsid w:val="00271E67"/>
    <w:rsid w:val="002730B5"/>
    <w:rsid w:val="00280594"/>
    <w:rsid w:val="00285064"/>
    <w:rsid w:val="002A219D"/>
    <w:rsid w:val="002A546D"/>
    <w:rsid w:val="002B1836"/>
    <w:rsid w:val="002B4738"/>
    <w:rsid w:val="002B6377"/>
    <w:rsid w:val="002B737A"/>
    <w:rsid w:val="002C2904"/>
    <w:rsid w:val="002E78CB"/>
    <w:rsid w:val="0033397A"/>
    <w:rsid w:val="00352B27"/>
    <w:rsid w:val="0036325E"/>
    <w:rsid w:val="003671FE"/>
    <w:rsid w:val="003708FD"/>
    <w:rsid w:val="0037667D"/>
    <w:rsid w:val="0038021C"/>
    <w:rsid w:val="00384075"/>
    <w:rsid w:val="003908C5"/>
    <w:rsid w:val="00396053"/>
    <w:rsid w:val="003A4086"/>
    <w:rsid w:val="003A5E5B"/>
    <w:rsid w:val="003B045C"/>
    <w:rsid w:val="003B0A59"/>
    <w:rsid w:val="003B3EB5"/>
    <w:rsid w:val="003B4E23"/>
    <w:rsid w:val="003B767E"/>
    <w:rsid w:val="003C6FE7"/>
    <w:rsid w:val="003D032E"/>
    <w:rsid w:val="003D4205"/>
    <w:rsid w:val="003F2078"/>
    <w:rsid w:val="0042772A"/>
    <w:rsid w:val="004323B0"/>
    <w:rsid w:val="00444E88"/>
    <w:rsid w:val="00455141"/>
    <w:rsid w:val="0045657C"/>
    <w:rsid w:val="004655CC"/>
    <w:rsid w:val="00466DB9"/>
    <w:rsid w:val="00486521"/>
    <w:rsid w:val="00486DFC"/>
    <w:rsid w:val="004922D6"/>
    <w:rsid w:val="00496114"/>
    <w:rsid w:val="004A14FC"/>
    <w:rsid w:val="004A181A"/>
    <w:rsid w:val="004A5264"/>
    <w:rsid w:val="004B21AD"/>
    <w:rsid w:val="004C011C"/>
    <w:rsid w:val="004C14EA"/>
    <w:rsid w:val="004C2118"/>
    <w:rsid w:val="004C2612"/>
    <w:rsid w:val="004D6000"/>
    <w:rsid w:val="004D6415"/>
    <w:rsid w:val="004D71E8"/>
    <w:rsid w:val="004E393E"/>
    <w:rsid w:val="004E4507"/>
    <w:rsid w:val="004E4619"/>
    <w:rsid w:val="004F0A7D"/>
    <w:rsid w:val="0051538E"/>
    <w:rsid w:val="005174C9"/>
    <w:rsid w:val="00517E01"/>
    <w:rsid w:val="00521EEC"/>
    <w:rsid w:val="005460BD"/>
    <w:rsid w:val="00553197"/>
    <w:rsid w:val="0055409E"/>
    <w:rsid w:val="00556367"/>
    <w:rsid w:val="00556B35"/>
    <w:rsid w:val="00573E13"/>
    <w:rsid w:val="00584F82"/>
    <w:rsid w:val="00590D22"/>
    <w:rsid w:val="00591DFA"/>
    <w:rsid w:val="005A5695"/>
    <w:rsid w:val="005B2F00"/>
    <w:rsid w:val="005B57DE"/>
    <w:rsid w:val="005C1886"/>
    <w:rsid w:val="005C761E"/>
    <w:rsid w:val="005D0E5F"/>
    <w:rsid w:val="005D1DE4"/>
    <w:rsid w:val="005E35BD"/>
    <w:rsid w:val="005E3D4D"/>
    <w:rsid w:val="005E7FD1"/>
    <w:rsid w:val="005F2858"/>
    <w:rsid w:val="006002E3"/>
    <w:rsid w:val="006145AC"/>
    <w:rsid w:val="00615F98"/>
    <w:rsid w:val="00621F9C"/>
    <w:rsid w:val="00631166"/>
    <w:rsid w:val="00631F1C"/>
    <w:rsid w:val="006366A4"/>
    <w:rsid w:val="006456B1"/>
    <w:rsid w:val="006564EC"/>
    <w:rsid w:val="0066084C"/>
    <w:rsid w:val="00665D4E"/>
    <w:rsid w:val="00672CF9"/>
    <w:rsid w:val="00672E11"/>
    <w:rsid w:val="0068273B"/>
    <w:rsid w:val="00691234"/>
    <w:rsid w:val="006931CC"/>
    <w:rsid w:val="006947F2"/>
    <w:rsid w:val="00697919"/>
    <w:rsid w:val="006A08C2"/>
    <w:rsid w:val="006B3FCF"/>
    <w:rsid w:val="006B46CA"/>
    <w:rsid w:val="006C0391"/>
    <w:rsid w:val="006C28B3"/>
    <w:rsid w:val="006D1F66"/>
    <w:rsid w:val="006D306E"/>
    <w:rsid w:val="006D4497"/>
    <w:rsid w:val="006F6C15"/>
    <w:rsid w:val="00703913"/>
    <w:rsid w:val="0070727E"/>
    <w:rsid w:val="00710D3A"/>
    <w:rsid w:val="0071315F"/>
    <w:rsid w:val="00720E4C"/>
    <w:rsid w:val="00721942"/>
    <w:rsid w:val="00722BE7"/>
    <w:rsid w:val="00732BD0"/>
    <w:rsid w:val="00732DF2"/>
    <w:rsid w:val="007614F1"/>
    <w:rsid w:val="007618C5"/>
    <w:rsid w:val="00764066"/>
    <w:rsid w:val="00776118"/>
    <w:rsid w:val="007B0F83"/>
    <w:rsid w:val="007C532C"/>
    <w:rsid w:val="007D29A1"/>
    <w:rsid w:val="007E0EA7"/>
    <w:rsid w:val="007E3F23"/>
    <w:rsid w:val="007F142E"/>
    <w:rsid w:val="007F7B5E"/>
    <w:rsid w:val="00802B1A"/>
    <w:rsid w:val="0080615C"/>
    <w:rsid w:val="0081027F"/>
    <w:rsid w:val="00811396"/>
    <w:rsid w:val="0081742D"/>
    <w:rsid w:val="00821F4D"/>
    <w:rsid w:val="00823906"/>
    <w:rsid w:val="008409D3"/>
    <w:rsid w:val="00845559"/>
    <w:rsid w:val="00854DB8"/>
    <w:rsid w:val="00854EF2"/>
    <w:rsid w:val="00863B86"/>
    <w:rsid w:val="00871F69"/>
    <w:rsid w:val="00877F29"/>
    <w:rsid w:val="008842D0"/>
    <w:rsid w:val="00884AC4"/>
    <w:rsid w:val="0088579D"/>
    <w:rsid w:val="008A4C80"/>
    <w:rsid w:val="008A7953"/>
    <w:rsid w:val="008B3081"/>
    <w:rsid w:val="008B32D4"/>
    <w:rsid w:val="008B4A01"/>
    <w:rsid w:val="008D0020"/>
    <w:rsid w:val="008D1DD9"/>
    <w:rsid w:val="008D3C38"/>
    <w:rsid w:val="008D53A6"/>
    <w:rsid w:val="008D6A05"/>
    <w:rsid w:val="008E2AE5"/>
    <w:rsid w:val="008E3F89"/>
    <w:rsid w:val="008F26CB"/>
    <w:rsid w:val="008F6509"/>
    <w:rsid w:val="008F79D9"/>
    <w:rsid w:val="009027C8"/>
    <w:rsid w:val="0093467A"/>
    <w:rsid w:val="0093486A"/>
    <w:rsid w:val="0094155C"/>
    <w:rsid w:val="00946ED8"/>
    <w:rsid w:val="00951531"/>
    <w:rsid w:val="00960A3B"/>
    <w:rsid w:val="00967DE0"/>
    <w:rsid w:val="00971E07"/>
    <w:rsid w:val="00980944"/>
    <w:rsid w:val="00986D77"/>
    <w:rsid w:val="009943EC"/>
    <w:rsid w:val="009A32D5"/>
    <w:rsid w:val="009A78D0"/>
    <w:rsid w:val="009B6012"/>
    <w:rsid w:val="009C102D"/>
    <w:rsid w:val="009C2A4F"/>
    <w:rsid w:val="009D4C59"/>
    <w:rsid w:val="009D7F91"/>
    <w:rsid w:val="009E20EF"/>
    <w:rsid w:val="009E26EE"/>
    <w:rsid w:val="009F21A2"/>
    <w:rsid w:val="00A32FBF"/>
    <w:rsid w:val="00A407EA"/>
    <w:rsid w:val="00A51749"/>
    <w:rsid w:val="00A521B6"/>
    <w:rsid w:val="00A56962"/>
    <w:rsid w:val="00A640C8"/>
    <w:rsid w:val="00A6412C"/>
    <w:rsid w:val="00A71880"/>
    <w:rsid w:val="00A75419"/>
    <w:rsid w:val="00A76661"/>
    <w:rsid w:val="00A76D2A"/>
    <w:rsid w:val="00A82081"/>
    <w:rsid w:val="00A8557E"/>
    <w:rsid w:val="00A91181"/>
    <w:rsid w:val="00A935AC"/>
    <w:rsid w:val="00AB1706"/>
    <w:rsid w:val="00AB299E"/>
    <w:rsid w:val="00AB507C"/>
    <w:rsid w:val="00AD6E76"/>
    <w:rsid w:val="00AE3EAA"/>
    <w:rsid w:val="00AE5EDF"/>
    <w:rsid w:val="00B14F7F"/>
    <w:rsid w:val="00B16EB9"/>
    <w:rsid w:val="00B22F24"/>
    <w:rsid w:val="00B22F53"/>
    <w:rsid w:val="00B24DBE"/>
    <w:rsid w:val="00B34EB2"/>
    <w:rsid w:val="00B50AFE"/>
    <w:rsid w:val="00B517C3"/>
    <w:rsid w:val="00B518B2"/>
    <w:rsid w:val="00B526EA"/>
    <w:rsid w:val="00B536FE"/>
    <w:rsid w:val="00B73FFA"/>
    <w:rsid w:val="00B874F1"/>
    <w:rsid w:val="00BC1DE7"/>
    <w:rsid w:val="00BC5AEE"/>
    <w:rsid w:val="00BD6029"/>
    <w:rsid w:val="00BE0541"/>
    <w:rsid w:val="00BE1ADB"/>
    <w:rsid w:val="00BE6571"/>
    <w:rsid w:val="00C070DE"/>
    <w:rsid w:val="00C26DFB"/>
    <w:rsid w:val="00C273FA"/>
    <w:rsid w:val="00C30D06"/>
    <w:rsid w:val="00C42067"/>
    <w:rsid w:val="00C432D0"/>
    <w:rsid w:val="00C4398E"/>
    <w:rsid w:val="00C60B4A"/>
    <w:rsid w:val="00C65BDB"/>
    <w:rsid w:val="00C71A3B"/>
    <w:rsid w:val="00C76CFA"/>
    <w:rsid w:val="00C963F8"/>
    <w:rsid w:val="00C96BB1"/>
    <w:rsid w:val="00CA2F80"/>
    <w:rsid w:val="00CA5F0D"/>
    <w:rsid w:val="00CB0C2A"/>
    <w:rsid w:val="00CC0223"/>
    <w:rsid w:val="00CC4B2B"/>
    <w:rsid w:val="00CC579C"/>
    <w:rsid w:val="00CC5F5F"/>
    <w:rsid w:val="00CD3460"/>
    <w:rsid w:val="00CD4B61"/>
    <w:rsid w:val="00CD5043"/>
    <w:rsid w:val="00CE1650"/>
    <w:rsid w:val="00CE2928"/>
    <w:rsid w:val="00CE314A"/>
    <w:rsid w:val="00D01C50"/>
    <w:rsid w:val="00D11B24"/>
    <w:rsid w:val="00D133C8"/>
    <w:rsid w:val="00D14DB8"/>
    <w:rsid w:val="00D244D5"/>
    <w:rsid w:val="00D2776A"/>
    <w:rsid w:val="00D413DB"/>
    <w:rsid w:val="00D420E2"/>
    <w:rsid w:val="00D4459D"/>
    <w:rsid w:val="00D573F9"/>
    <w:rsid w:val="00D6058B"/>
    <w:rsid w:val="00D63EC5"/>
    <w:rsid w:val="00D67011"/>
    <w:rsid w:val="00D72C05"/>
    <w:rsid w:val="00D847CF"/>
    <w:rsid w:val="00DA0A99"/>
    <w:rsid w:val="00DA7603"/>
    <w:rsid w:val="00DA7E39"/>
    <w:rsid w:val="00DA7EDE"/>
    <w:rsid w:val="00DC0AB5"/>
    <w:rsid w:val="00DC2172"/>
    <w:rsid w:val="00DC50EB"/>
    <w:rsid w:val="00DD3FA0"/>
    <w:rsid w:val="00DE5B2D"/>
    <w:rsid w:val="00DE5CE9"/>
    <w:rsid w:val="00DE7268"/>
    <w:rsid w:val="00E03064"/>
    <w:rsid w:val="00E04BD5"/>
    <w:rsid w:val="00E069CF"/>
    <w:rsid w:val="00E070D2"/>
    <w:rsid w:val="00E1539C"/>
    <w:rsid w:val="00E162B6"/>
    <w:rsid w:val="00E16E01"/>
    <w:rsid w:val="00E23D7A"/>
    <w:rsid w:val="00E24A50"/>
    <w:rsid w:val="00E35639"/>
    <w:rsid w:val="00E432CC"/>
    <w:rsid w:val="00E50711"/>
    <w:rsid w:val="00E60EDA"/>
    <w:rsid w:val="00E62BBC"/>
    <w:rsid w:val="00E9503C"/>
    <w:rsid w:val="00E956D9"/>
    <w:rsid w:val="00EA1958"/>
    <w:rsid w:val="00EA29F5"/>
    <w:rsid w:val="00EA482D"/>
    <w:rsid w:val="00EB5FE6"/>
    <w:rsid w:val="00EB61A5"/>
    <w:rsid w:val="00EB7A09"/>
    <w:rsid w:val="00EC5AF4"/>
    <w:rsid w:val="00ED661C"/>
    <w:rsid w:val="00EE1DB0"/>
    <w:rsid w:val="00EE41B5"/>
    <w:rsid w:val="00EE66C9"/>
    <w:rsid w:val="00EF11A9"/>
    <w:rsid w:val="00EF38E1"/>
    <w:rsid w:val="00EF749A"/>
    <w:rsid w:val="00EF771E"/>
    <w:rsid w:val="00F02565"/>
    <w:rsid w:val="00F05542"/>
    <w:rsid w:val="00F17A2C"/>
    <w:rsid w:val="00F26708"/>
    <w:rsid w:val="00F511EE"/>
    <w:rsid w:val="00F558E7"/>
    <w:rsid w:val="00F62016"/>
    <w:rsid w:val="00F63F44"/>
    <w:rsid w:val="00F6746D"/>
    <w:rsid w:val="00F67B2B"/>
    <w:rsid w:val="00F7522E"/>
    <w:rsid w:val="00F811CD"/>
    <w:rsid w:val="00F82D8F"/>
    <w:rsid w:val="00F83F62"/>
    <w:rsid w:val="00F9711D"/>
    <w:rsid w:val="00FA7002"/>
    <w:rsid w:val="00FA75E0"/>
    <w:rsid w:val="00FB20B1"/>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1"/>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1"/>
    <w:qFormat/>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styleId="HiperlinkVisitado">
    <w:name w:val="FollowedHyperlink"/>
    <w:uiPriority w:val="99"/>
    <w:semiHidden/>
    <w:unhideWhenUsed/>
    <w:rsid w:val="00946E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plicacao4.tst.jus.br/consultaProcessual/resumoForm.do?consulta=1&amp;numeroInt=117990&amp;anoInt=201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licacao4.tst.jus.br/consultaProcessual/consultaTstNumUnica.do?consulta=Consultar&amp;conscsjt=&amp;numeroTst=114500&amp;digitoTst=77&amp;anoTst=2005&amp;orgaoTst=5&amp;tribunalTst=02&amp;varaTst=004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licacao4.tst.jus.br/consultaProcessual/consultaTstNumUnica.do?consulta=Consultar&amp;conscsjt=&amp;numeroTst=3524&amp;digitoTst=55&amp;anoTst=2011&amp;orgaoTst=5&amp;tribunalTst=12&amp;varaTst=000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plicacao4.tst.jus.br/consultaProcessual/resumoForm.do?consulta=1&amp;numeroInt=807820&amp;anoInt=2009" TargetMode="External"/><Relationship Id="rId4" Type="http://schemas.openxmlformats.org/officeDocument/2006/relationships/settings" Target="settings.xml"/><Relationship Id="rId9" Type="http://schemas.openxmlformats.org/officeDocument/2006/relationships/hyperlink" Target="http://aplicacao4.tst.jus.br/consultaProcessual/consultaTstNumUnica.do?consulta=Consultar&amp;conscsjt=&amp;numeroTst=16100&amp;digitoTst=60&amp;anoTst=2009&amp;orgaoTst=5&amp;tribunalTst=12&amp;varaTst=000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B36D9-A6FE-4B52-8F20-CB88E5ED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2040</Words>
  <Characters>11016</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13030</CharactersWithSpaces>
  <SharedDoc>false</SharedDoc>
  <HLinks>
    <vt:vector size="30" baseType="variant">
      <vt:variant>
        <vt:i4>1638467</vt:i4>
      </vt:variant>
      <vt:variant>
        <vt:i4>12</vt:i4>
      </vt:variant>
      <vt:variant>
        <vt:i4>0</vt:i4>
      </vt:variant>
      <vt:variant>
        <vt:i4>5</vt:i4>
      </vt:variant>
      <vt:variant>
        <vt:lpwstr>http://aplicacao4.tst.jus.br/consultaProcessual/consultaTstNumUnica.do?consulta=Consultar&amp;conscsjt=&amp;numeroTst=114500&amp;digitoTst=77&amp;anoTst=2005&amp;orgaoTst=5&amp;tribunalTst=02&amp;varaTst=0049</vt:lpwstr>
      </vt:variant>
      <vt:variant>
        <vt:lpwstr/>
      </vt:variant>
      <vt:variant>
        <vt:i4>2359413</vt:i4>
      </vt:variant>
      <vt:variant>
        <vt:i4>9</vt:i4>
      </vt:variant>
      <vt:variant>
        <vt:i4>0</vt:i4>
      </vt:variant>
      <vt:variant>
        <vt:i4>5</vt:i4>
      </vt:variant>
      <vt:variant>
        <vt:lpwstr>http://aplicacao4.tst.jus.br/consultaProcessual/consultaTstNumUnica.do?consulta=Consultar&amp;conscsjt=&amp;numeroTst=3524&amp;digitoTst=55&amp;anoTst=2011&amp;orgaoTst=5&amp;tribunalTst=12&amp;varaTst=0003</vt:lpwstr>
      </vt:variant>
      <vt:variant>
        <vt:lpwstr/>
      </vt:variant>
      <vt:variant>
        <vt:i4>5767245</vt:i4>
      </vt:variant>
      <vt:variant>
        <vt:i4>6</vt:i4>
      </vt:variant>
      <vt:variant>
        <vt:i4>0</vt:i4>
      </vt:variant>
      <vt:variant>
        <vt:i4>5</vt:i4>
      </vt:variant>
      <vt:variant>
        <vt:lpwstr>http://aplicacao4.tst.jus.br/consultaProcessual/resumoForm.do?consulta=1&amp;numeroInt=807820&amp;anoInt=2009</vt:lpwstr>
      </vt:variant>
      <vt:variant>
        <vt:lpwstr/>
      </vt:variant>
      <vt:variant>
        <vt:i4>6422585</vt:i4>
      </vt:variant>
      <vt:variant>
        <vt:i4>3</vt:i4>
      </vt:variant>
      <vt:variant>
        <vt:i4>0</vt:i4>
      </vt:variant>
      <vt:variant>
        <vt:i4>5</vt:i4>
      </vt:variant>
      <vt:variant>
        <vt:lpwstr>http://aplicacao4.tst.jus.br/consultaProcessual/consultaTstNumUnica.do?consulta=Consultar&amp;conscsjt=&amp;numeroTst=16100&amp;digitoTst=60&amp;anoTst=2009&amp;orgaoTst=5&amp;tribunalTst=12&amp;varaTst=0000</vt:lpwstr>
      </vt:variant>
      <vt:variant>
        <vt:lpwstr/>
      </vt:variant>
      <vt:variant>
        <vt:i4>5963853</vt:i4>
      </vt:variant>
      <vt:variant>
        <vt:i4>0</vt:i4>
      </vt:variant>
      <vt:variant>
        <vt:i4>0</vt:i4>
      </vt:variant>
      <vt:variant>
        <vt:i4>5</vt:i4>
      </vt:variant>
      <vt:variant>
        <vt:lpwstr>http://aplicacao4.tst.jus.br/consultaProcessual/resumoForm.do?consulta=1&amp;numeroInt=117990&amp;anoInt=2012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2015-05-19T12:27:00Z</cp:lastPrinted>
  <dcterms:created xsi:type="dcterms:W3CDTF">2018-06-27T21:49:00Z</dcterms:created>
  <dcterms:modified xsi:type="dcterms:W3CDTF">2018-06-27T21:49:00Z</dcterms:modified>
</cp:coreProperties>
</file>