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31469" w:rsidRDefault="00E31469" w:rsidP="00C54185">
      <w:pPr>
        <w:pStyle w:val="EXPLICAO"/>
        <w:spacing w:line="240" w:lineRule="auto"/>
        <w:ind w:left="0"/>
        <w:rPr>
          <w:rFonts w:ascii="Times New Roman" w:hAnsi="Times New Roman" w:cs="Times New Roman"/>
          <w:b/>
          <w:color w:val="auto"/>
          <w:sz w:val="20"/>
          <w:szCs w:val="20"/>
        </w:rPr>
      </w:pPr>
    </w:p>
    <w:p w:rsidR="004A5908" w:rsidRDefault="004A5908" w:rsidP="00BC54BC">
      <w:pPr>
        <w:pStyle w:val="Corpo"/>
        <w:spacing w:line="240" w:lineRule="auto"/>
        <w:ind w:firstLine="0"/>
        <w:rPr>
          <w:rFonts w:ascii="Times New Roman" w:hAnsi="Times New Roman"/>
          <w:sz w:val="20"/>
          <w:szCs w:val="20"/>
          <w:u w:val="single"/>
          <w:lang w:val="pt-BR"/>
        </w:rPr>
      </w:pPr>
    </w:p>
    <w:p w:rsidR="00A00DEE" w:rsidRPr="00971E07" w:rsidRDefault="00A00DEE" w:rsidP="00A00DE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TRIBUNAL PLENO</w:t>
      </w:r>
    </w:p>
    <w:p w:rsidR="00A00DEE" w:rsidRDefault="00A00DEE" w:rsidP="00BC54BC">
      <w:pPr>
        <w:pStyle w:val="Corpo"/>
        <w:spacing w:line="240" w:lineRule="auto"/>
        <w:ind w:firstLine="0"/>
        <w:rPr>
          <w:rFonts w:ascii="Times New Roman" w:hAnsi="Times New Roman"/>
          <w:sz w:val="20"/>
          <w:szCs w:val="20"/>
          <w:u w:val="single"/>
          <w:lang w:val="pt-BR"/>
        </w:rPr>
      </w:pPr>
    </w:p>
    <w:p w:rsidR="00B6172C" w:rsidRDefault="00B6172C" w:rsidP="00B6172C">
      <w:pPr>
        <w:pStyle w:val="Corpo"/>
        <w:spacing w:line="240" w:lineRule="auto"/>
        <w:ind w:firstLine="0"/>
        <w:rPr>
          <w:rFonts w:ascii="Times New Roman" w:eastAsia="Calibri" w:hAnsi="Times New Roman" w:cs="Times New Roman"/>
          <w:b/>
          <w:i/>
          <w:color w:val="auto"/>
          <w:lang w:val="pt-BR" w:eastAsia="en-US"/>
        </w:rPr>
      </w:pPr>
      <w:r>
        <w:rPr>
          <w:rFonts w:ascii="Times New Roman" w:eastAsia="Calibri" w:hAnsi="Times New Roman" w:cs="Times New Roman"/>
          <w:b/>
          <w:i/>
          <w:color w:val="auto"/>
          <w:lang w:val="pt-BR" w:eastAsia="en-US"/>
        </w:rPr>
        <w:t>M</w:t>
      </w:r>
      <w:r w:rsidRPr="00414BE6">
        <w:rPr>
          <w:rFonts w:ascii="Times New Roman" w:eastAsia="Calibri" w:hAnsi="Times New Roman" w:cs="Times New Roman"/>
          <w:b/>
          <w:i/>
          <w:color w:val="auto"/>
          <w:lang w:val="pt-BR" w:eastAsia="en-US"/>
        </w:rPr>
        <w:t xml:space="preserve">atéria afetada ao </w:t>
      </w:r>
      <w:r>
        <w:rPr>
          <w:rFonts w:ascii="Times New Roman" w:eastAsia="Calibri" w:hAnsi="Times New Roman" w:cs="Times New Roman"/>
          <w:b/>
          <w:i/>
          <w:color w:val="auto"/>
          <w:lang w:val="pt-BR" w:eastAsia="en-US"/>
        </w:rPr>
        <w:t>T</w:t>
      </w:r>
      <w:r w:rsidRPr="00414BE6">
        <w:rPr>
          <w:rFonts w:ascii="Times New Roman" w:eastAsia="Calibri" w:hAnsi="Times New Roman" w:cs="Times New Roman"/>
          <w:b/>
          <w:i/>
          <w:color w:val="auto"/>
          <w:lang w:val="pt-BR" w:eastAsia="en-US"/>
        </w:rPr>
        <w:t>ribunal Pleno</w:t>
      </w:r>
      <w:r>
        <w:rPr>
          <w:rFonts w:ascii="Times New Roman" w:eastAsia="Calibri" w:hAnsi="Times New Roman" w:cs="Times New Roman"/>
          <w:b/>
          <w:i/>
          <w:color w:val="auto"/>
          <w:lang w:val="pt-BR" w:eastAsia="en-US"/>
        </w:rPr>
        <w:t>.</w:t>
      </w:r>
      <w:r w:rsidRPr="00414BE6">
        <w:rPr>
          <w:rFonts w:ascii="Times New Roman" w:eastAsia="Calibri" w:hAnsi="Times New Roman" w:cs="Times New Roman"/>
          <w:b/>
          <w:i/>
          <w:color w:val="auto"/>
          <w:lang w:val="pt-BR" w:eastAsia="en-US"/>
        </w:rPr>
        <w:t xml:space="preserve"> </w:t>
      </w:r>
      <w:r w:rsidRPr="008F16BF">
        <w:rPr>
          <w:rFonts w:ascii="Times New Roman" w:eastAsia="Calibri" w:hAnsi="Times New Roman" w:cs="Times New Roman"/>
          <w:b/>
          <w:i/>
          <w:color w:val="auto"/>
          <w:lang w:val="pt-BR" w:eastAsia="en-US"/>
        </w:rPr>
        <w:t xml:space="preserve">Complementação de aposentadoria. Opção pelo novo plano CEEEPREV. Efeitos. Validade da </w:t>
      </w:r>
      <w:r>
        <w:rPr>
          <w:rFonts w:ascii="Times New Roman" w:eastAsia="Calibri" w:hAnsi="Times New Roman" w:cs="Times New Roman"/>
          <w:b/>
          <w:i/>
          <w:color w:val="auto"/>
          <w:lang w:val="pt-BR" w:eastAsia="en-US"/>
        </w:rPr>
        <w:t>a</w:t>
      </w:r>
      <w:r w:rsidRPr="008F16BF">
        <w:rPr>
          <w:rFonts w:ascii="Times New Roman" w:eastAsia="Calibri" w:hAnsi="Times New Roman" w:cs="Times New Roman"/>
          <w:b/>
          <w:i/>
          <w:color w:val="auto"/>
          <w:lang w:val="pt-BR" w:eastAsia="en-US"/>
        </w:rPr>
        <w:t>desão às novas regras.</w:t>
      </w:r>
      <w:r>
        <w:rPr>
          <w:rFonts w:ascii="Times New Roman" w:eastAsia="Calibri" w:hAnsi="Times New Roman" w:cs="Times New Roman"/>
          <w:b/>
          <w:i/>
          <w:color w:val="auto"/>
          <w:lang w:val="pt-BR" w:eastAsia="en-US"/>
        </w:rPr>
        <w:t xml:space="preserve"> Súmula nº 51 do Tribunal Superior do Trabalho. Alcance.</w:t>
      </w:r>
      <w:r w:rsidRPr="008F16BF">
        <w:rPr>
          <w:rFonts w:ascii="Times New Roman" w:eastAsia="Calibri" w:hAnsi="Times New Roman" w:cs="Times New Roman"/>
          <w:b/>
          <w:i/>
          <w:color w:val="auto"/>
          <w:lang w:val="pt-BR" w:eastAsia="en-US"/>
        </w:rPr>
        <w:t xml:space="preserve"> Manutenção da base de cálculo. Impossibilidade de renúncia de direitos</w:t>
      </w:r>
      <w:r>
        <w:rPr>
          <w:rFonts w:ascii="Times New Roman" w:eastAsia="Calibri" w:hAnsi="Times New Roman" w:cs="Times New Roman"/>
          <w:b/>
          <w:i/>
          <w:color w:val="auto"/>
          <w:lang w:val="pt-BR" w:eastAsia="en-US"/>
        </w:rPr>
        <w:t xml:space="preserve"> adquiridos</w:t>
      </w:r>
      <w:r w:rsidRPr="008F16BF">
        <w:rPr>
          <w:rFonts w:ascii="Times New Roman" w:eastAsia="Calibri" w:hAnsi="Times New Roman" w:cs="Times New Roman"/>
          <w:b/>
          <w:i/>
          <w:color w:val="auto"/>
          <w:lang w:val="pt-BR" w:eastAsia="en-US"/>
        </w:rPr>
        <w:t xml:space="preserve">. </w:t>
      </w:r>
      <w:r>
        <w:rPr>
          <w:rFonts w:ascii="Times New Roman" w:eastAsia="Calibri" w:hAnsi="Times New Roman" w:cs="Times New Roman"/>
          <w:b/>
          <w:i/>
          <w:color w:val="auto"/>
          <w:lang w:val="pt-BR" w:eastAsia="en-US"/>
        </w:rPr>
        <w:t xml:space="preserve">Integração de </w:t>
      </w:r>
      <w:r w:rsidRPr="00CE5E3F">
        <w:rPr>
          <w:rFonts w:ascii="Times New Roman" w:eastAsia="Calibri" w:hAnsi="Times New Roman" w:cs="Times New Roman"/>
          <w:b/>
          <w:i/>
          <w:color w:val="auto"/>
          <w:lang w:val="pt-BR" w:eastAsia="en-US"/>
        </w:rPr>
        <w:t>parcelas deferidas em ação trabalhista anteriormente ajuizada</w:t>
      </w:r>
      <w:r>
        <w:rPr>
          <w:rFonts w:ascii="Times New Roman" w:eastAsia="Calibri" w:hAnsi="Times New Roman" w:cs="Times New Roman"/>
          <w:b/>
          <w:i/>
          <w:color w:val="auto"/>
          <w:lang w:val="pt-BR" w:eastAsia="en-US"/>
        </w:rPr>
        <w:t>.</w:t>
      </w:r>
    </w:p>
    <w:p w:rsidR="00B6172C" w:rsidRDefault="00B6172C" w:rsidP="00B6172C">
      <w:pPr>
        <w:pStyle w:val="Corpo"/>
        <w:spacing w:line="240" w:lineRule="auto"/>
        <w:ind w:firstLine="0"/>
        <w:rPr>
          <w:rFonts w:ascii="Times New Roman" w:hAnsi="Times New Roman"/>
          <w:u w:val="single"/>
          <w:lang w:val="pt-BR"/>
        </w:rPr>
      </w:pPr>
      <w:r>
        <w:rPr>
          <w:rFonts w:ascii="Times New Roman" w:eastAsia="Calibri" w:hAnsi="Times New Roman" w:cs="Times New Roman"/>
          <w:color w:val="auto"/>
          <w:lang w:val="pt-BR" w:eastAsia="en-US"/>
        </w:rPr>
        <w:t xml:space="preserve">O empregado, por força </w:t>
      </w:r>
      <w:r w:rsidRPr="00E60563">
        <w:rPr>
          <w:rFonts w:ascii="Times New Roman" w:eastAsia="Calibri" w:hAnsi="Times New Roman" w:cs="Times New Roman"/>
          <w:color w:val="auto"/>
          <w:lang w:val="pt-BR" w:eastAsia="en-US"/>
        </w:rPr>
        <w:t>da</w:t>
      </w:r>
      <w:r>
        <w:rPr>
          <w:rFonts w:ascii="Times New Roman" w:eastAsia="Calibri" w:hAnsi="Times New Roman" w:cs="Times New Roman"/>
          <w:color w:val="auto"/>
          <w:lang w:val="pt-BR" w:eastAsia="en-US"/>
        </w:rPr>
        <w:t>s</w:t>
      </w:r>
      <w:r w:rsidRPr="00E60563">
        <w:rPr>
          <w:rFonts w:ascii="Times New Roman" w:eastAsia="Calibri" w:hAnsi="Times New Roman" w:cs="Times New Roman"/>
          <w:color w:val="auto"/>
          <w:lang w:val="pt-BR" w:eastAsia="en-US"/>
        </w:rPr>
        <w:t xml:space="preserve"> disposiç</w:t>
      </w:r>
      <w:r>
        <w:rPr>
          <w:rFonts w:ascii="Times New Roman" w:eastAsia="Calibri" w:hAnsi="Times New Roman" w:cs="Times New Roman"/>
          <w:color w:val="auto"/>
          <w:lang w:val="pt-BR" w:eastAsia="en-US"/>
        </w:rPr>
        <w:t>ões</w:t>
      </w:r>
      <w:r w:rsidRPr="00E60563">
        <w:rPr>
          <w:rFonts w:ascii="Times New Roman" w:eastAsia="Calibri" w:hAnsi="Times New Roman" w:cs="Times New Roman"/>
          <w:color w:val="auto"/>
          <w:lang w:val="pt-BR" w:eastAsia="en-US"/>
        </w:rPr>
        <w:t xml:space="preserve"> contida</w:t>
      </w:r>
      <w:r>
        <w:rPr>
          <w:rFonts w:ascii="Times New Roman" w:eastAsia="Calibri" w:hAnsi="Times New Roman" w:cs="Times New Roman"/>
          <w:color w:val="auto"/>
          <w:lang w:val="pt-BR" w:eastAsia="en-US"/>
        </w:rPr>
        <w:t>s</w:t>
      </w:r>
      <w:r w:rsidRPr="00E60563">
        <w:rPr>
          <w:rFonts w:ascii="Times New Roman" w:eastAsia="Calibri" w:hAnsi="Times New Roman" w:cs="Times New Roman"/>
          <w:color w:val="auto"/>
          <w:lang w:val="pt-BR" w:eastAsia="en-US"/>
        </w:rPr>
        <w:t xml:space="preserve"> nas </w:t>
      </w:r>
      <w:r>
        <w:rPr>
          <w:rFonts w:ascii="Times New Roman" w:eastAsia="Calibri" w:hAnsi="Times New Roman" w:cs="Times New Roman"/>
          <w:color w:val="auto"/>
          <w:lang w:val="pt-BR" w:eastAsia="en-US"/>
        </w:rPr>
        <w:t>S</w:t>
      </w:r>
      <w:r w:rsidRPr="00E60563">
        <w:rPr>
          <w:rFonts w:ascii="Times New Roman" w:eastAsia="Calibri" w:hAnsi="Times New Roman" w:cs="Times New Roman"/>
          <w:color w:val="auto"/>
          <w:lang w:val="pt-BR" w:eastAsia="en-US"/>
        </w:rPr>
        <w:t>úmulas</w:t>
      </w:r>
      <w:r>
        <w:rPr>
          <w:rFonts w:ascii="Times New Roman" w:eastAsia="Calibri" w:hAnsi="Times New Roman" w:cs="Times New Roman"/>
          <w:color w:val="auto"/>
          <w:lang w:val="pt-BR" w:eastAsia="en-US"/>
        </w:rPr>
        <w:t xml:space="preserve"> n</w:t>
      </w:r>
      <w:r>
        <w:rPr>
          <w:rFonts w:ascii="Times New Roman" w:eastAsia="Calibri" w:hAnsi="Times New Roman" w:cs="Times New Roman"/>
          <w:color w:val="auto"/>
          <w:vertAlign w:val="superscript"/>
          <w:lang w:val="pt-BR" w:eastAsia="en-US"/>
        </w:rPr>
        <w:t>os</w:t>
      </w:r>
      <w:r w:rsidRPr="00E60563">
        <w:rPr>
          <w:rFonts w:ascii="Times New Roman" w:eastAsia="Calibri" w:hAnsi="Times New Roman" w:cs="Times New Roman"/>
          <w:color w:val="auto"/>
          <w:lang w:val="pt-BR" w:eastAsia="en-US"/>
        </w:rPr>
        <w:t xml:space="preserve"> 51,</w:t>
      </w:r>
      <w:r>
        <w:rPr>
          <w:rFonts w:ascii="Times New Roman" w:eastAsia="Calibri" w:hAnsi="Times New Roman" w:cs="Times New Roman"/>
          <w:color w:val="auto"/>
          <w:lang w:val="pt-BR" w:eastAsia="en-US"/>
        </w:rPr>
        <w:t xml:space="preserve"> item</w:t>
      </w:r>
      <w:r w:rsidRPr="00E60563">
        <w:rPr>
          <w:rFonts w:ascii="Times New Roman" w:eastAsia="Calibri" w:hAnsi="Times New Roman" w:cs="Times New Roman"/>
          <w:color w:val="auto"/>
          <w:lang w:val="pt-BR" w:eastAsia="en-US"/>
        </w:rPr>
        <w:t xml:space="preserve"> I</w:t>
      </w:r>
      <w:r>
        <w:rPr>
          <w:rFonts w:ascii="Times New Roman" w:eastAsia="Calibri" w:hAnsi="Times New Roman" w:cs="Times New Roman"/>
          <w:color w:val="auto"/>
          <w:lang w:val="pt-BR" w:eastAsia="en-US"/>
        </w:rPr>
        <w:t>,</w:t>
      </w:r>
      <w:r w:rsidRPr="00E60563">
        <w:rPr>
          <w:rFonts w:ascii="Times New Roman" w:eastAsia="Calibri" w:hAnsi="Times New Roman" w:cs="Times New Roman"/>
          <w:color w:val="auto"/>
          <w:lang w:val="pt-BR" w:eastAsia="en-US"/>
        </w:rPr>
        <w:t xml:space="preserve"> e 288 d</w:t>
      </w:r>
      <w:r>
        <w:rPr>
          <w:rFonts w:ascii="Times New Roman" w:eastAsia="Calibri" w:hAnsi="Times New Roman" w:cs="Times New Roman"/>
          <w:color w:val="auto"/>
          <w:lang w:val="pt-BR" w:eastAsia="en-US"/>
        </w:rPr>
        <w:t>o</w:t>
      </w:r>
      <w:r w:rsidRPr="00E60563">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Tribunal Superior do Trabalho, </w:t>
      </w:r>
      <w:r w:rsidRPr="009319B8">
        <w:rPr>
          <w:rFonts w:ascii="Times New Roman" w:eastAsia="Calibri" w:hAnsi="Times New Roman" w:cs="Times New Roman"/>
          <w:color w:val="auto"/>
          <w:lang w:val="pt-BR" w:eastAsia="en-US"/>
        </w:rPr>
        <w:t xml:space="preserve">mesmo com a adesão a novo </w:t>
      </w:r>
      <w:r>
        <w:rPr>
          <w:rFonts w:ascii="Times New Roman" w:eastAsia="Calibri" w:hAnsi="Times New Roman" w:cs="Times New Roman"/>
          <w:color w:val="auto"/>
          <w:lang w:val="pt-BR" w:eastAsia="en-US"/>
        </w:rPr>
        <w:t>p</w:t>
      </w:r>
      <w:r w:rsidRPr="005B4BF6">
        <w:rPr>
          <w:rFonts w:ascii="Times New Roman" w:eastAsia="Calibri" w:hAnsi="Times New Roman" w:cs="Times New Roman"/>
          <w:color w:val="auto"/>
          <w:lang w:val="pt-BR" w:eastAsia="en-US"/>
        </w:rPr>
        <w:t>lano de benefícios CEEEPREV</w:t>
      </w:r>
      <w:r w:rsidRPr="009319B8">
        <w:rPr>
          <w:rFonts w:ascii="Times New Roman" w:eastAsia="Calibri" w:hAnsi="Times New Roman" w:cs="Times New Roman"/>
          <w:color w:val="auto"/>
          <w:lang w:val="pt-BR" w:eastAsia="en-US"/>
        </w:rPr>
        <w:t>, não renuncia à base de cálculo de seus proventos de aposentadoria, que apenas passa a ser guiada pelas novas regras.</w:t>
      </w:r>
      <w:r>
        <w:rPr>
          <w:rFonts w:ascii="Times New Roman" w:eastAsia="Calibri" w:hAnsi="Times New Roman" w:cs="Times New Roman"/>
          <w:color w:val="auto"/>
          <w:lang w:val="pt-BR" w:eastAsia="en-US"/>
        </w:rPr>
        <w:t xml:space="preserve"> N</w:t>
      </w:r>
      <w:r w:rsidRPr="005B4BF6">
        <w:rPr>
          <w:rFonts w:ascii="Times New Roman" w:eastAsia="Calibri" w:hAnsi="Times New Roman" w:cs="Times New Roman"/>
          <w:color w:val="auto"/>
          <w:lang w:val="pt-BR" w:eastAsia="en-US"/>
        </w:rPr>
        <w:t>ão se reconhece a eficácia de renúncia a direito adquirido (base de cálculo da complementação de aposentadoria) à luz das normas im</w:t>
      </w:r>
      <w:r>
        <w:rPr>
          <w:rFonts w:ascii="Times New Roman" w:eastAsia="Calibri" w:hAnsi="Times New Roman" w:cs="Times New Roman"/>
          <w:color w:val="auto"/>
          <w:lang w:val="pt-BR" w:eastAsia="en-US"/>
        </w:rPr>
        <w:t>perativas de Direito do Trabalho</w:t>
      </w:r>
      <w:r w:rsidRPr="005B4BF6">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w:t>
      </w:r>
      <w:r w:rsidRPr="00E60563">
        <w:rPr>
          <w:rFonts w:ascii="Times New Roman" w:eastAsia="Calibri" w:hAnsi="Times New Roman" w:cs="Times New Roman"/>
          <w:color w:val="auto"/>
          <w:lang w:val="pt-BR" w:eastAsia="en-US"/>
        </w:rPr>
        <w:t>Como consequência, a autora tem direito de ver integrada à referida base de cálculo as parcelas que lhe foram deferidas em ação trabalhista anteriormente ajuizada</w:t>
      </w:r>
      <w:r>
        <w:rPr>
          <w:rFonts w:ascii="Times New Roman" w:eastAsia="Calibri" w:hAnsi="Times New Roman" w:cs="Times New Roman"/>
          <w:color w:val="auto"/>
          <w:lang w:val="pt-BR" w:eastAsia="en-US"/>
        </w:rPr>
        <w:t xml:space="preserve"> nos autos do P</w:t>
      </w:r>
      <w:r w:rsidRPr="00BC63BF">
        <w:rPr>
          <w:rFonts w:ascii="Times New Roman" w:eastAsia="Calibri" w:hAnsi="Times New Roman" w:cs="Times New Roman"/>
          <w:color w:val="auto"/>
          <w:lang w:val="pt-BR" w:eastAsia="en-US"/>
        </w:rPr>
        <w:t>rocesso nº 01635.902/94-0</w:t>
      </w:r>
      <w:r w:rsidRPr="00E60563">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w:t>
      </w:r>
      <w:r w:rsidRPr="002A0D79">
        <w:rPr>
          <w:rFonts w:ascii="Times New Roman" w:eastAsia="Calibri" w:hAnsi="Times New Roman" w:cs="Times New Roman"/>
          <w:color w:val="auto"/>
          <w:lang w:val="pt-BR" w:eastAsia="en-US"/>
        </w:rPr>
        <w:t>Sob esse entendimento, o Tribunal Pleno decidiu:</w:t>
      </w:r>
      <w:r>
        <w:rPr>
          <w:rFonts w:ascii="Times New Roman" w:eastAsia="Calibri" w:hAnsi="Times New Roman" w:cs="Times New Roman"/>
          <w:color w:val="auto"/>
          <w:lang w:val="pt-BR" w:eastAsia="en-US"/>
        </w:rPr>
        <w:t xml:space="preserve"> </w:t>
      </w:r>
      <w:r w:rsidRPr="002A0D79">
        <w:rPr>
          <w:rFonts w:ascii="Times New Roman" w:eastAsia="Calibri" w:hAnsi="Times New Roman" w:cs="Times New Roman"/>
          <w:color w:val="auto"/>
          <w:lang w:val="pt-BR" w:eastAsia="en-US"/>
        </w:rPr>
        <w:t xml:space="preserve">I) por maioria, conhecer dos embargos, por divergência jurisprudencial, apenas quanto ao pedido de pagamento de diferenças de complementação de proventos, considerando, para efeito de determinação de seu valor, as parcelas e diferenças reconhecidas nos autos do Processo n.º 01635.902/94-0, vencidos os Ministros Kátia Magalhães Arruda, </w:t>
      </w:r>
      <w:r>
        <w:rPr>
          <w:rFonts w:ascii="Times New Roman" w:eastAsia="Calibri" w:hAnsi="Times New Roman" w:cs="Times New Roman"/>
          <w:color w:val="auto"/>
          <w:lang w:val="pt-BR" w:eastAsia="en-US"/>
        </w:rPr>
        <w:t>r</w:t>
      </w:r>
      <w:r w:rsidRPr="002A0D79">
        <w:rPr>
          <w:rFonts w:ascii="Times New Roman" w:eastAsia="Calibri" w:hAnsi="Times New Roman" w:cs="Times New Roman"/>
          <w:color w:val="auto"/>
          <w:lang w:val="pt-BR" w:eastAsia="en-US"/>
        </w:rPr>
        <w:t xml:space="preserve">elatora, Augusto César Leite de Carvalho, João Oreste Dalazen, Ives Gandra da Silva Martins Filho, Alberto Luiz Bresciani de Fontan Pereira, Maria de Assis Calsing, Dora Maria da Costa e Guilherme Augusto Caputo Bastos; II) no mérito, por maioria, dar provimento ao recurso para, afastada a incidência da Súmula n.º 51, II, do TST, em relação à pretensão de integração de parcelas reconhecidas em decisão judicial, restabelecer a sentença somente quanto ao pedido de pagamento de diferenças de complementação de proventos, considerando, para efeito de determinação de seu valor, as parcelas e diferenças reconhecidas nos autos do Processo n.º 01635.902/94-0. Ficaram vencidos os Ministros Kátia Magalhães Arruda, </w:t>
      </w:r>
      <w:r>
        <w:rPr>
          <w:rFonts w:ascii="Times New Roman" w:eastAsia="Calibri" w:hAnsi="Times New Roman" w:cs="Times New Roman"/>
          <w:color w:val="auto"/>
          <w:lang w:val="pt-BR" w:eastAsia="en-US"/>
        </w:rPr>
        <w:t>r</w:t>
      </w:r>
      <w:r w:rsidRPr="002A0D79">
        <w:rPr>
          <w:rFonts w:ascii="Times New Roman" w:eastAsia="Calibri" w:hAnsi="Times New Roman" w:cs="Times New Roman"/>
          <w:color w:val="auto"/>
          <w:lang w:val="pt-BR" w:eastAsia="en-US"/>
        </w:rPr>
        <w:t>elatora, Augusto César Leite de Carvalho, Cláudio Mascarenhas Brandão, Ives Gandra da Silva Martins Filho, Maria Cristina Irigoyen Peduzzi, Renato de Lacerda Paiva, Maria de Assis Calsing, Dora Maria da Costa, Guilherme Augusto Caputo Bastos, Márcio Eurico Vitral Amaro e Antonio José de Barros Levenhagen. Redigirá o acórdão o Ministro Aloysio Corrêa da Veiga.</w:t>
      </w:r>
      <w:r>
        <w:rPr>
          <w:rFonts w:ascii="Times New Roman" w:eastAsia="Calibri" w:hAnsi="Times New Roman" w:cs="Times New Roman"/>
          <w:color w:val="auto"/>
          <w:lang w:val="pt-BR" w:eastAsia="en-US"/>
        </w:rPr>
        <w:t xml:space="preserve"> </w:t>
      </w:r>
      <w:r w:rsidRPr="002F36B1">
        <w:rPr>
          <w:rFonts w:ascii="Times New Roman" w:hAnsi="Times New Roman"/>
          <w:u w:val="single"/>
          <w:lang w:val="pt-BR"/>
        </w:rPr>
        <w:t>TST-</w:t>
      </w:r>
      <w:hyperlink r:id="rId8" w:history="1">
        <w:r w:rsidRPr="0091484F">
          <w:rPr>
            <w:rStyle w:val="Hyperlink"/>
            <w:rFonts w:ascii="Times New Roman" w:hAnsi="Times New Roman" w:cs="Courier New"/>
            <w:lang w:val="pt-BR"/>
          </w:rPr>
          <w:t>E-ED-ED-RR-300800-25.2005.5.04.0104</w:t>
        </w:r>
      </w:hyperlink>
      <w:r w:rsidRPr="00E950A9">
        <w:rPr>
          <w:rFonts w:ascii="Times New Roman" w:hAnsi="Times New Roman"/>
          <w:u w:val="single"/>
          <w:lang w:val="pt-BR"/>
        </w:rPr>
        <w:t xml:space="preserve">, </w:t>
      </w:r>
      <w:r w:rsidRPr="002F36B1">
        <w:rPr>
          <w:rFonts w:ascii="Times New Roman" w:hAnsi="Times New Roman"/>
          <w:u w:val="single"/>
          <w:lang w:val="pt-BR"/>
        </w:rPr>
        <w:t xml:space="preserve">Tribunal Pleno, rel. Kátia Magalhães Arruda, red. p/acórdão Min. Aloysio Corrêa </w:t>
      </w:r>
      <w:r>
        <w:rPr>
          <w:rFonts w:ascii="Times New Roman" w:hAnsi="Times New Roman"/>
          <w:u w:val="single"/>
          <w:lang w:val="pt-BR"/>
        </w:rPr>
        <w:t>d</w:t>
      </w:r>
      <w:r w:rsidRPr="002F36B1">
        <w:rPr>
          <w:rFonts w:ascii="Times New Roman" w:hAnsi="Times New Roman"/>
          <w:u w:val="single"/>
          <w:lang w:val="pt-BR"/>
        </w:rPr>
        <w:t xml:space="preserve">a Veiga, </w:t>
      </w:r>
      <w:r>
        <w:rPr>
          <w:rFonts w:ascii="Times New Roman" w:hAnsi="Times New Roman"/>
          <w:u w:val="single"/>
          <w:lang w:val="pt-BR"/>
        </w:rPr>
        <w:t>29.9.2015.</w:t>
      </w:r>
    </w:p>
    <w:p w:rsidR="00B6172C" w:rsidRDefault="00B6172C" w:rsidP="00B6172C">
      <w:pPr>
        <w:pStyle w:val="Corpo"/>
        <w:spacing w:line="240" w:lineRule="auto"/>
        <w:ind w:firstLine="0"/>
        <w:rPr>
          <w:rFonts w:ascii="Times New Roman" w:hAnsi="Times New Roman"/>
          <w:u w:val="single"/>
          <w:lang w:val="pt-BR"/>
        </w:rPr>
      </w:pPr>
    </w:p>
    <w:p w:rsidR="00B6172C" w:rsidRPr="00895CC6" w:rsidRDefault="00B6172C" w:rsidP="00B6172C">
      <w:pPr>
        <w:jc w:val="both"/>
        <w:rPr>
          <w:b/>
          <w:i/>
          <w:sz w:val="24"/>
          <w:szCs w:val="24"/>
        </w:rPr>
      </w:pPr>
      <w:r w:rsidRPr="00B6172C">
        <w:rPr>
          <w:b/>
          <w:i/>
          <w:sz w:val="24"/>
          <w:szCs w:val="24"/>
        </w:rPr>
        <w:t xml:space="preserve">Matéria afetada ao Tribunal Pleno. </w:t>
      </w:r>
      <w:r>
        <w:rPr>
          <w:b/>
          <w:i/>
          <w:sz w:val="24"/>
          <w:szCs w:val="24"/>
        </w:rPr>
        <w:t>Indenização por danos morais. Acidente do trabalho. Cobradora de ônibus. Roubo com uso de arma de fogo. Responsabilidade civil objetiva do empregador. Art. 927, parágrafo único, do Código Civil.</w:t>
      </w:r>
    </w:p>
    <w:p w:rsidR="00B6172C" w:rsidRPr="001A763B" w:rsidRDefault="00B6172C" w:rsidP="00B6172C">
      <w:pPr>
        <w:pStyle w:val="Corpo"/>
        <w:spacing w:line="240" w:lineRule="auto"/>
        <w:ind w:firstLine="0"/>
        <w:rPr>
          <w:rFonts w:ascii="Times New Roman" w:hAnsi="Times New Roman"/>
          <w:u w:val="single"/>
          <w:lang w:val="pt-BR"/>
        </w:rPr>
      </w:pPr>
      <w:r>
        <w:rPr>
          <w:rFonts w:ascii="Times New Roman" w:eastAsia="Calibri" w:hAnsi="Times New Roman" w:cs="Times New Roman"/>
          <w:color w:val="auto"/>
          <w:lang w:val="pt-BR" w:eastAsia="en-US"/>
        </w:rPr>
        <w:t xml:space="preserve">Incide a responsabilidade civil objetiva do empregador, levando em consideração o risco da atividade econômica, quando o empregado sofre danos, em razão da execução do contrato de emprego, nos termos do artigo 927, parágrafo único, do Código Civil. No caso, a trabalhadora levou um tiro na mão direita durante assalto ao veículo no qual trabalhava. O acidente ocorreu quando exercia a atividade de cobradora de ônibus, situação ensejadora de risco acentuado, já que circulava pelas ruas do município recolhendo importâncias em dinheiro dos passageiros em proveito do contratante. Além de configurado o exercício de atividade de risco – circunstância apta a ensejar a </w:t>
      </w:r>
      <w:r>
        <w:rPr>
          <w:rFonts w:ascii="Times New Roman" w:eastAsia="Calibri" w:hAnsi="Times New Roman" w:cs="Times New Roman"/>
          <w:color w:val="auto"/>
          <w:lang w:val="pt-BR" w:eastAsia="en-US"/>
        </w:rPr>
        <w:lastRenderedPageBreak/>
        <w:t xml:space="preserve">responsabilidade objetiva do empregador -, resultou caracterizada a culpa por omissão, decorrente da inobservância do dever geral de cautela, que incumbe a todo empregador. </w:t>
      </w:r>
      <w:r w:rsidRPr="00FB4982">
        <w:rPr>
          <w:rFonts w:ascii="Times New Roman" w:hAnsi="Times New Roman"/>
          <w:lang w:val="pt-BR"/>
        </w:rPr>
        <w:t xml:space="preserve">Sob esses fundamentos, o </w:t>
      </w:r>
      <w:r>
        <w:rPr>
          <w:rFonts w:ascii="Times New Roman" w:hAnsi="Times New Roman"/>
          <w:lang w:val="pt-BR"/>
        </w:rPr>
        <w:t>Tribunal Pleno</w:t>
      </w:r>
      <w:r w:rsidRPr="00FB4982">
        <w:rPr>
          <w:rFonts w:ascii="Times New Roman" w:hAnsi="Times New Roman"/>
          <w:lang w:val="pt-BR"/>
        </w:rPr>
        <w:t>, por unanimidade, conheceu dos embargos</w:t>
      </w:r>
      <w:r>
        <w:rPr>
          <w:rFonts w:ascii="Times New Roman" w:hAnsi="Times New Roman"/>
          <w:lang w:val="pt-BR"/>
        </w:rPr>
        <w:t>, por</w:t>
      </w:r>
      <w:r w:rsidRPr="00FB4982">
        <w:rPr>
          <w:rFonts w:ascii="Times New Roman" w:hAnsi="Times New Roman"/>
          <w:lang w:val="pt-BR"/>
        </w:rPr>
        <w:t xml:space="preserve"> divergência</w:t>
      </w:r>
      <w:r>
        <w:rPr>
          <w:rFonts w:ascii="Times New Roman" w:hAnsi="Times New Roman"/>
          <w:lang w:val="pt-BR"/>
        </w:rPr>
        <w:t xml:space="preserve"> jurisprudencial,</w:t>
      </w:r>
      <w:r w:rsidRPr="00FB4982">
        <w:rPr>
          <w:rFonts w:ascii="Times New Roman" w:hAnsi="Times New Roman"/>
          <w:lang w:val="pt-BR"/>
        </w:rPr>
        <w:t xml:space="preserve"> e, no mérito, negou-lhe</w:t>
      </w:r>
      <w:r>
        <w:rPr>
          <w:rFonts w:ascii="Times New Roman" w:hAnsi="Times New Roman"/>
          <w:lang w:val="pt-BR"/>
        </w:rPr>
        <w:t>s</w:t>
      </w:r>
      <w:r w:rsidRPr="00FB4982">
        <w:rPr>
          <w:rFonts w:ascii="Times New Roman" w:hAnsi="Times New Roman"/>
          <w:lang w:val="pt-BR"/>
        </w:rPr>
        <w:t xml:space="preserve"> provimento. </w:t>
      </w:r>
      <w:r w:rsidRPr="001A763B">
        <w:rPr>
          <w:rFonts w:ascii="Times New Roman" w:hAnsi="Times New Roman"/>
          <w:lang w:val="pt-BR"/>
        </w:rPr>
        <w:t>Ressalva parcial de fundamentaç</w:t>
      </w:r>
      <w:r>
        <w:rPr>
          <w:rFonts w:ascii="Times New Roman" w:hAnsi="Times New Roman"/>
          <w:lang w:val="pt-BR"/>
        </w:rPr>
        <w:t>ão</w:t>
      </w:r>
      <w:r w:rsidRPr="001A763B">
        <w:rPr>
          <w:rFonts w:ascii="Times New Roman" w:hAnsi="Times New Roman"/>
          <w:lang w:val="pt-BR"/>
        </w:rPr>
        <w:t xml:space="preserve"> dos Ministros João Oreste Dalazen e Cláudio Mascarenhas Brandão. </w:t>
      </w:r>
      <w:r w:rsidRPr="001A763B">
        <w:rPr>
          <w:rFonts w:ascii="Times New Roman" w:hAnsi="Times New Roman"/>
          <w:u w:val="single"/>
          <w:lang w:val="pt-BR"/>
        </w:rPr>
        <w:t>TST-</w:t>
      </w:r>
      <w:hyperlink r:id="rId9" w:history="1">
        <w:r w:rsidRPr="0091484F">
          <w:rPr>
            <w:rStyle w:val="Hyperlink"/>
            <w:rFonts w:ascii="Times New Roman" w:hAnsi="Times New Roman" w:cs="Courier New"/>
            <w:lang w:val="pt-BR"/>
          </w:rPr>
          <w:t>E</w:t>
        </w:r>
        <w:r w:rsidR="0091484F" w:rsidRPr="0091484F">
          <w:rPr>
            <w:rStyle w:val="Hyperlink"/>
            <w:rFonts w:ascii="Times New Roman" w:hAnsi="Times New Roman" w:cs="Courier New"/>
            <w:lang w:val="pt-BR"/>
          </w:rPr>
          <w:t>-</w:t>
        </w:r>
        <w:r w:rsidRPr="0091484F">
          <w:rPr>
            <w:rStyle w:val="Hyperlink"/>
            <w:rFonts w:ascii="Times New Roman" w:hAnsi="Times New Roman" w:cs="Courier New"/>
            <w:lang w:val="pt-BR"/>
          </w:rPr>
          <w:t>RR-184900-63.2007.5.16.0015</w:t>
        </w:r>
      </w:hyperlink>
      <w:r w:rsidRPr="001A763B">
        <w:rPr>
          <w:rFonts w:ascii="Times New Roman" w:hAnsi="Times New Roman"/>
          <w:u w:val="single"/>
          <w:lang w:val="pt-BR"/>
        </w:rPr>
        <w:t>, T</w:t>
      </w:r>
      <w:r>
        <w:rPr>
          <w:rFonts w:ascii="Times New Roman" w:hAnsi="Times New Roman"/>
          <w:u w:val="single"/>
          <w:lang w:val="pt-BR"/>
        </w:rPr>
        <w:t xml:space="preserve">ribunal </w:t>
      </w:r>
      <w:r w:rsidRPr="001A763B">
        <w:rPr>
          <w:rFonts w:ascii="Times New Roman" w:hAnsi="Times New Roman"/>
          <w:u w:val="single"/>
          <w:lang w:val="pt-BR"/>
        </w:rPr>
        <w:t>P</w:t>
      </w:r>
      <w:r>
        <w:rPr>
          <w:rFonts w:ascii="Times New Roman" w:hAnsi="Times New Roman"/>
          <w:u w:val="single"/>
          <w:lang w:val="pt-BR"/>
        </w:rPr>
        <w:t>leno</w:t>
      </w:r>
      <w:r w:rsidRPr="001A763B">
        <w:rPr>
          <w:rFonts w:ascii="Times New Roman" w:hAnsi="Times New Roman"/>
          <w:u w:val="single"/>
          <w:lang w:val="pt-BR"/>
        </w:rPr>
        <w:t>, rel. Lélio Bentes Corrêa, 29</w:t>
      </w:r>
      <w:r>
        <w:rPr>
          <w:rFonts w:ascii="Times New Roman" w:hAnsi="Times New Roman"/>
          <w:u w:val="single"/>
          <w:lang w:val="pt-BR"/>
        </w:rPr>
        <w:t>.</w:t>
      </w:r>
      <w:r w:rsidRPr="001A763B">
        <w:rPr>
          <w:rFonts w:ascii="Times New Roman" w:hAnsi="Times New Roman"/>
          <w:u w:val="single"/>
          <w:lang w:val="pt-BR"/>
        </w:rPr>
        <w:t>9.2015.</w:t>
      </w:r>
    </w:p>
    <w:p w:rsidR="00B6172C" w:rsidRDefault="00B6172C" w:rsidP="00B6172C">
      <w:pPr>
        <w:pStyle w:val="Corpo"/>
        <w:spacing w:line="240" w:lineRule="auto"/>
        <w:ind w:firstLine="0"/>
        <w:rPr>
          <w:rFonts w:ascii="Times New Roman" w:eastAsia="Calibri" w:hAnsi="Times New Roman" w:cs="Times New Roman"/>
          <w:color w:val="auto"/>
          <w:lang w:val="pt-BR" w:eastAsia="en-US"/>
        </w:rPr>
      </w:pPr>
    </w:p>
    <w:p w:rsidR="00B6172C" w:rsidRPr="00B6172C" w:rsidRDefault="00B6172C" w:rsidP="00292158">
      <w:pPr>
        <w:jc w:val="both"/>
        <w:rPr>
          <w:b/>
          <w:i/>
          <w:sz w:val="24"/>
          <w:szCs w:val="24"/>
        </w:rPr>
      </w:pPr>
      <w:r w:rsidRPr="00B6172C">
        <w:rPr>
          <w:b/>
          <w:i/>
          <w:sz w:val="24"/>
          <w:szCs w:val="24"/>
        </w:rPr>
        <w:t xml:space="preserve">Matéria afetada ao Tribunal Pleno. Servidor público celetista. Administração pública direta, autárquica e fundacional. Concurso público. Contrato de experiência. Dispensa imotivada. Impossibilidade. Observância dos princípios constitucionais da impessoalidade e da motivação.   </w:t>
      </w:r>
    </w:p>
    <w:p w:rsidR="00B6172C" w:rsidRDefault="00B6172C" w:rsidP="00292158">
      <w:pPr>
        <w:pStyle w:val="Corpo"/>
        <w:spacing w:line="240" w:lineRule="auto"/>
        <w:ind w:firstLine="0"/>
        <w:rPr>
          <w:rFonts w:ascii="Times New Roman" w:hAnsi="Times New Roman"/>
          <w:u w:val="single"/>
          <w:lang w:val="pt-BR"/>
        </w:rPr>
      </w:pPr>
      <w:r w:rsidRPr="00BD18D8">
        <w:rPr>
          <w:rFonts w:ascii="Times New Roman" w:eastAsia="Calibri" w:hAnsi="Times New Roman" w:cs="Times New Roman"/>
          <w:color w:val="auto"/>
          <w:lang w:val="pt-BR" w:eastAsia="en-US"/>
        </w:rPr>
        <w:t>A despedida de servidor público celetista da administração pública direta, autárquica e fundacional, admitido por concurso público e em contrato de experiência, deve ser motivada. A observância do princípio constitucional da motivação visa a resguardar o empregado de possível quebra do postulado da impessoalidade por parte do agente estatal investido no poder de dispensar. Sob esse fundamento, o Tribunal Pleno, por unanimidade, conheceu do recurso de embargos, por divergência jurisprudencial, e, no mérito, deu-lhe provimento, para julgar procedentes os pedidos da reclamante de restauração da relação de emprego e de pagamento dos salários e demais vantagens do período compreendido entre a dispensa e a efetiva reintegração.</w:t>
      </w:r>
      <w:r>
        <w:rPr>
          <w:rFonts w:ascii="Times New Roman" w:hAnsi="Times New Roman"/>
          <w:lang w:val="pt-BR"/>
        </w:rPr>
        <w:t xml:space="preserve"> </w:t>
      </w:r>
      <w:r w:rsidRPr="00BC606A">
        <w:rPr>
          <w:rFonts w:ascii="Times New Roman" w:hAnsi="Times New Roman"/>
          <w:u w:val="single"/>
          <w:lang w:val="pt-BR"/>
        </w:rPr>
        <w:t>TST-</w:t>
      </w:r>
      <w:hyperlink r:id="rId10" w:history="1">
        <w:r w:rsidRPr="0091484F">
          <w:rPr>
            <w:rStyle w:val="Hyperlink"/>
            <w:rFonts w:ascii="Times New Roman" w:hAnsi="Times New Roman" w:cs="Courier New"/>
            <w:lang w:val="pt-BR"/>
          </w:rPr>
          <w:t>E-ED-RR 64200-46.2006.5.02.0027</w:t>
        </w:r>
      </w:hyperlink>
      <w:r w:rsidRPr="00BC606A">
        <w:rPr>
          <w:rFonts w:ascii="Times New Roman" w:hAnsi="Times New Roman"/>
          <w:u w:val="single"/>
          <w:lang w:val="pt-BR"/>
        </w:rPr>
        <w:t xml:space="preserve">, </w:t>
      </w:r>
      <w:r>
        <w:rPr>
          <w:rFonts w:ascii="Times New Roman" w:hAnsi="Times New Roman"/>
          <w:u w:val="single"/>
          <w:lang w:val="pt-BR"/>
        </w:rPr>
        <w:t xml:space="preserve">Tribunal Pleno, </w:t>
      </w:r>
      <w:r w:rsidR="00BD18D8">
        <w:rPr>
          <w:rFonts w:ascii="Times New Roman" w:hAnsi="Times New Roman"/>
          <w:u w:val="single"/>
          <w:lang w:val="pt-BR"/>
        </w:rPr>
        <w:t>rel.</w:t>
      </w:r>
      <w:r>
        <w:rPr>
          <w:rFonts w:ascii="Times New Roman" w:hAnsi="Times New Roman"/>
          <w:u w:val="single"/>
          <w:lang w:val="pt-BR"/>
        </w:rPr>
        <w:t xml:space="preserve"> </w:t>
      </w:r>
      <w:r w:rsidRPr="00BC606A">
        <w:rPr>
          <w:rFonts w:ascii="Times New Roman" w:hAnsi="Times New Roman"/>
          <w:u w:val="single"/>
          <w:lang w:val="pt-BR"/>
        </w:rPr>
        <w:t xml:space="preserve">Ministro </w:t>
      </w:r>
      <w:r>
        <w:rPr>
          <w:rFonts w:ascii="Times New Roman" w:hAnsi="Times New Roman"/>
          <w:u w:val="single"/>
          <w:lang w:val="pt-BR"/>
        </w:rPr>
        <w:t xml:space="preserve">Alberto Luiz Bresciani de Fontan Pereira </w:t>
      </w:r>
      <w:r w:rsidRPr="00BC606A">
        <w:rPr>
          <w:rFonts w:ascii="Times New Roman" w:hAnsi="Times New Roman"/>
          <w:u w:val="single"/>
          <w:lang w:val="pt-BR"/>
        </w:rPr>
        <w:t xml:space="preserve">, </w:t>
      </w:r>
      <w:r>
        <w:rPr>
          <w:rFonts w:ascii="Times New Roman" w:hAnsi="Times New Roman"/>
          <w:u w:val="single"/>
          <w:lang w:val="pt-BR"/>
        </w:rPr>
        <w:t>29.9.2015.</w:t>
      </w:r>
    </w:p>
    <w:p w:rsidR="00B6172C" w:rsidRPr="00C911D9" w:rsidRDefault="00B6172C" w:rsidP="00B6172C">
      <w:pPr>
        <w:pStyle w:val="Corpo"/>
        <w:spacing w:line="240" w:lineRule="auto"/>
        <w:ind w:firstLine="0"/>
        <w:rPr>
          <w:rFonts w:ascii="Times New Roman" w:eastAsia="Calibri" w:hAnsi="Times New Roman" w:cs="Times New Roman"/>
          <w:color w:val="auto"/>
          <w:lang w:val="pt-BR" w:eastAsia="en-US"/>
        </w:rPr>
      </w:pPr>
    </w:p>
    <w:p w:rsidR="00B838C3" w:rsidRDefault="00B838C3" w:rsidP="00BC54BC">
      <w:pPr>
        <w:pStyle w:val="Corpo"/>
        <w:spacing w:line="240" w:lineRule="auto"/>
        <w:ind w:firstLine="0"/>
        <w:rPr>
          <w:rFonts w:ascii="Times New Roman" w:hAnsi="Times New Roman"/>
          <w:sz w:val="20"/>
          <w:szCs w:val="20"/>
          <w:u w:val="single"/>
          <w:lang w:val="pt-BR"/>
        </w:rPr>
      </w:pPr>
    </w:p>
    <w:p w:rsidR="00A00DEE" w:rsidRPr="00971E07" w:rsidRDefault="00A00DEE" w:rsidP="00A00DE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817AB1" w:rsidRDefault="00817AB1" w:rsidP="007D469A">
      <w:pPr>
        <w:pStyle w:val="Corpo"/>
        <w:spacing w:line="240" w:lineRule="auto"/>
        <w:ind w:firstLine="0"/>
        <w:rPr>
          <w:rFonts w:ascii="Times New Roman" w:hAnsi="Times New Roman"/>
          <w:u w:val="single"/>
          <w:lang w:val="pt-BR"/>
        </w:rPr>
      </w:pPr>
    </w:p>
    <w:p w:rsidR="00542F38" w:rsidRPr="00542F38" w:rsidRDefault="00542F38" w:rsidP="00542F38">
      <w:pPr>
        <w:ind w:right="-567"/>
        <w:jc w:val="both"/>
        <w:rPr>
          <w:b/>
          <w:i/>
          <w:sz w:val="24"/>
          <w:szCs w:val="24"/>
        </w:rPr>
      </w:pPr>
      <w:r w:rsidRPr="00542F38">
        <w:rPr>
          <w:b/>
          <w:i/>
          <w:sz w:val="24"/>
          <w:szCs w:val="24"/>
        </w:rPr>
        <w:t xml:space="preserve">Horas extraordinárias. Contratação após admissão. Súmula 199, I, do TST. Não contrariedade. </w:t>
      </w:r>
    </w:p>
    <w:p w:rsidR="00542F38" w:rsidRDefault="00542F38" w:rsidP="00542F38">
      <w:pPr>
        <w:pStyle w:val="Corpo"/>
        <w:spacing w:line="240" w:lineRule="auto"/>
        <w:ind w:firstLine="0"/>
        <w:rPr>
          <w:rFonts w:ascii="Times New Roman" w:hAnsi="Times New Roman"/>
          <w:u w:val="single"/>
          <w:lang w:val="pt-BR"/>
        </w:rPr>
      </w:pPr>
      <w:r>
        <w:rPr>
          <w:rFonts w:ascii="Times New Roman" w:hAnsi="Times New Roman"/>
          <w:lang w:val="pt-BR"/>
        </w:rPr>
        <w:t xml:space="preserve">Não contraria o item I da Súmula 199 do TST, o reconhecimento de pré-contratação de horas extras nas hipóteses em que o ajuste tenha ocorrido poucos meses após a admissão do empregado se, conforme consignado no acórdão regional, o pagamento das horas extras pré-contratadas era, na verdade, mera contraprestação pelo serviço prestado pela reclamante, e que, ainda, a prorrogação de jornada foi uma constante no curso do contrato, sem que, contudo, nenhuma justificativa tenha sido apresentada para a permanente necessidade de elastecimento de trabalho, o que levou o Tribunal Regional do Trabalho da 9ª Região, inclusive, à conclusão de que a intenção do empregador era burlar a aplicação da referida súmula.  Sob esses fundamentos, a SBDI-1, por maioria, não conheceu do recurso de embargos. Vencidos os Ministros Marcio Eurico Vitral Amaro, relator e Ives Gandra Martins Filho. </w:t>
      </w:r>
      <w:r w:rsidRPr="00BC606A">
        <w:rPr>
          <w:rFonts w:ascii="Times New Roman" w:hAnsi="Times New Roman"/>
          <w:u w:val="single"/>
          <w:lang w:val="pt-BR"/>
        </w:rPr>
        <w:t>TST-</w:t>
      </w:r>
      <w:hyperlink r:id="rId11" w:history="1">
        <w:r w:rsidRPr="0091484F">
          <w:rPr>
            <w:rStyle w:val="Hyperlink"/>
            <w:rFonts w:ascii="Times New Roman" w:hAnsi="Times New Roman" w:cs="Courier New"/>
            <w:lang w:val="pt-BR"/>
          </w:rPr>
          <w:t>E-ED-RR 286-82.2010.5.09.0088</w:t>
        </w:r>
      </w:hyperlink>
      <w:r w:rsidRPr="00BC606A">
        <w:rPr>
          <w:rFonts w:ascii="Times New Roman" w:hAnsi="Times New Roman"/>
          <w:u w:val="single"/>
          <w:lang w:val="pt-BR"/>
        </w:rPr>
        <w:t xml:space="preserve">, </w:t>
      </w:r>
      <w:r>
        <w:rPr>
          <w:rFonts w:ascii="Times New Roman" w:hAnsi="Times New Roman"/>
          <w:u w:val="single"/>
          <w:lang w:val="pt-BR"/>
        </w:rPr>
        <w:t>SBDI</w:t>
      </w:r>
      <w:r w:rsidRPr="00BC606A">
        <w:rPr>
          <w:rFonts w:ascii="Times New Roman" w:hAnsi="Times New Roman"/>
          <w:u w:val="single"/>
          <w:lang w:val="pt-BR"/>
        </w:rPr>
        <w:t xml:space="preserve">-1, </w:t>
      </w:r>
      <w:r>
        <w:rPr>
          <w:rFonts w:ascii="Times New Roman" w:hAnsi="Times New Roman"/>
          <w:u w:val="single"/>
          <w:lang w:val="pt-BR"/>
        </w:rPr>
        <w:t>rel. Min. Márcio Eurico Vitral Amaro, red. p/ acórdão  Min. José Roberto Freire Pimenta</w:t>
      </w:r>
      <w:r w:rsidRPr="00BC606A">
        <w:rPr>
          <w:rFonts w:ascii="Times New Roman" w:hAnsi="Times New Roman"/>
          <w:u w:val="single"/>
          <w:lang w:val="pt-BR"/>
        </w:rPr>
        <w:t xml:space="preserve">, </w:t>
      </w:r>
      <w:r>
        <w:rPr>
          <w:rFonts w:ascii="Times New Roman" w:hAnsi="Times New Roman"/>
          <w:u w:val="single"/>
          <w:lang w:val="pt-BR"/>
        </w:rPr>
        <w:t>1º.10.2015.</w:t>
      </w:r>
      <w:r w:rsidRPr="00BC606A">
        <w:rPr>
          <w:rFonts w:ascii="Times New Roman" w:hAnsi="Times New Roman"/>
          <w:u w:val="single"/>
          <w:lang w:val="pt-BR"/>
        </w:rPr>
        <w:t xml:space="preserve"> </w:t>
      </w:r>
    </w:p>
    <w:p w:rsidR="00914373" w:rsidRDefault="00914373" w:rsidP="00542F38">
      <w:pPr>
        <w:pStyle w:val="Corpo"/>
        <w:spacing w:line="240" w:lineRule="auto"/>
        <w:ind w:firstLine="0"/>
        <w:rPr>
          <w:rFonts w:ascii="Times New Roman" w:hAnsi="Times New Roman"/>
          <w:u w:val="single"/>
          <w:lang w:val="pt-BR"/>
        </w:rPr>
      </w:pPr>
    </w:p>
    <w:p w:rsidR="00914373" w:rsidRPr="00F919AC" w:rsidRDefault="00914373" w:rsidP="00292158">
      <w:pPr>
        <w:ind w:right="-142"/>
        <w:jc w:val="both"/>
        <w:rPr>
          <w:b/>
          <w:i/>
          <w:sz w:val="24"/>
          <w:szCs w:val="24"/>
        </w:rPr>
      </w:pPr>
      <w:r>
        <w:rPr>
          <w:b/>
          <w:i/>
          <w:sz w:val="24"/>
          <w:szCs w:val="24"/>
        </w:rPr>
        <w:t>Banco do Brasil</w:t>
      </w:r>
      <w:r>
        <w:rPr>
          <w:b/>
          <w:sz w:val="24"/>
          <w:szCs w:val="24"/>
        </w:rPr>
        <w:t>.</w:t>
      </w:r>
      <w:r>
        <w:rPr>
          <w:b/>
          <w:i/>
          <w:sz w:val="24"/>
          <w:szCs w:val="24"/>
        </w:rPr>
        <w:t xml:space="preserve"> Anuênios. Previsão originária em norma regulamentar interna. Incorporação ao contrato de trabalho. Supressão posterior. Ausência de renovação em norma coletiva. Prescrição parcial. Inaplicabilidade da Súmula 294 do TST.</w:t>
      </w:r>
    </w:p>
    <w:p w:rsidR="00914373" w:rsidRPr="00197E46" w:rsidRDefault="00914373" w:rsidP="00292158">
      <w:pPr>
        <w:ind w:right="-142"/>
        <w:jc w:val="both"/>
        <w:rPr>
          <w:sz w:val="24"/>
          <w:szCs w:val="24"/>
        </w:rPr>
      </w:pPr>
      <w:r>
        <w:rPr>
          <w:sz w:val="24"/>
          <w:szCs w:val="24"/>
        </w:rPr>
        <w:t xml:space="preserve">Não se aplica o entendimento consubstanciado na Súmula nº 294 do TST à controvérsia em torno da prescrição incidente sobre a pretensão ao recebimento de anuênios – previstos originalmente em norma regulamentar e suprimidos, posteriormente, por ausência de renovação em acordo coletivo. </w:t>
      </w:r>
      <w:r w:rsidRPr="00197E46">
        <w:rPr>
          <w:sz w:val="24"/>
          <w:szCs w:val="24"/>
        </w:rPr>
        <w:t>O direito a esse benefício, antes mesmo de ter sido tratado em norma coletiva, já havia aderido ao contrato de trabalho dos empregados do Banco do Brasil, cujo descumprimento implica lesão que se renova mês a mês, atraindo apenas a prescrição parcial</w:t>
      </w:r>
      <w:r w:rsidRPr="00833E71">
        <w:rPr>
          <w:sz w:val="24"/>
          <w:szCs w:val="24"/>
        </w:rPr>
        <w:t xml:space="preserve">. No caso concreto, verificou-se que o adicional por tempo de serviço (no regime de quinquênios), previsto em norma interna e pago desde o início do contrato, foi transmudado, por força de acordo coletivo, para a modalidade de anuênios, os quais deixaram de constar das normas coletivas subsequentes. Diante disso, entendeu-se que a insubsistência da cláusula de anuênio não poderia prevalecer ante o direito adquirido dos empregados, decorrente da percepção habitual e por longo tempo dessa vantagem. Sob esses </w:t>
      </w:r>
      <w:r w:rsidRPr="00833E71">
        <w:rPr>
          <w:sz w:val="24"/>
          <w:szCs w:val="24"/>
        </w:rPr>
        <w:lastRenderedPageBreak/>
        <w:t xml:space="preserve">fundamentos, a SBDI-1, à unanimidade, conheceu do recurso de embargos do sindicato-autor, por divergência jurisprudencial, e, no mérito, por maioria, deu-lhe provimento para restabelecer a sentença, determinando a remessa dos autos à Turma de origem para que proceda ao exame dos demais tópicos do recurso de revista do reclamado, vencidos os Ministros Guilherme Augusto Caputo Bastos, Antonio José de Barros Levenhagen, João Oreste Dalazen, Aloysio Corrêa da Veiga e Walmir Oliveira da Costa. </w:t>
      </w:r>
      <w:r w:rsidRPr="00833E71">
        <w:rPr>
          <w:sz w:val="24"/>
          <w:szCs w:val="24"/>
          <w:u w:val="single"/>
        </w:rPr>
        <w:t>TST-</w:t>
      </w:r>
      <w:hyperlink r:id="rId12" w:history="1">
        <w:r w:rsidRPr="0091484F">
          <w:rPr>
            <w:rStyle w:val="Hyperlink"/>
            <w:sz w:val="24"/>
            <w:szCs w:val="24"/>
          </w:rPr>
          <w:t>E-ED-RR-151-79.2011.5.04.0733</w:t>
        </w:r>
      </w:hyperlink>
      <w:r>
        <w:rPr>
          <w:sz w:val="24"/>
          <w:szCs w:val="24"/>
          <w:u w:val="single"/>
        </w:rPr>
        <w:t>, SbDI-1, rel.</w:t>
      </w:r>
      <w:r w:rsidRPr="00833E71">
        <w:rPr>
          <w:sz w:val="24"/>
          <w:szCs w:val="24"/>
          <w:u w:val="single"/>
        </w:rPr>
        <w:t xml:space="preserve"> Ministro Luiz Phillippe Vieira de Mello Filho, 24.9.2015</w:t>
      </w:r>
      <w:r w:rsidRPr="00833E71">
        <w:rPr>
          <w:u w:val="single"/>
        </w:rPr>
        <w:t>.</w:t>
      </w:r>
    </w:p>
    <w:p w:rsidR="00CC743B" w:rsidRDefault="00CC743B" w:rsidP="00D73575">
      <w:pPr>
        <w:pStyle w:val="Corpo"/>
        <w:spacing w:line="240" w:lineRule="auto"/>
        <w:ind w:firstLine="0"/>
        <w:rPr>
          <w:rFonts w:ascii="Times New Roman" w:hAnsi="Times New Roman" w:cs="Times New Roman"/>
          <w:u w:val="single"/>
          <w:lang w:val="pt-BR"/>
        </w:rPr>
      </w:pPr>
    </w:p>
    <w:p w:rsidR="00CC743B" w:rsidRDefault="00CC743B" w:rsidP="00D73575">
      <w:pPr>
        <w:pStyle w:val="Corpo"/>
        <w:spacing w:line="240" w:lineRule="auto"/>
        <w:ind w:firstLine="0"/>
        <w:rPr>
          <w:rFonts w:ascii="Times New Roman" w:hAnsi="Times New Roman" w:cs="Times New Roman"/>
          <w:u w:val="single"/>
          <w:lang w:val="pt-BR"/>
        </w:rPr>
      </w:pPr>
    </w:p>
    <w:p w:rsidR="00FB6188" w:rsidRPr="00971E07" w:rsidRDefault="00FB6188" w:rsidP="00FB6188">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CC743B" w:rsidRDefault="00CC743B" w:rsidP="00D73575">
      <w:pPr>
        <w:pStyle w:val="Corpo"/>
        <w:spacing w:line="240" w:lineRule="auto"/>
        <w:ind w:firstLine="0"/>
        <w:rPr>
          <w:rFonts w:ascii="Times New Roman" w:hAnsi="Times New Roman" w:cs="Times New Roman"/>
          <w:u w:val="single"/>
          <w:lang w:val="pt-BR"/>
        </w:rPr>
      </w:pPr>
    </w:p>
    <w:p w:rsidR="00914373" w:rsidRPr="005B402E" w:rsidRDefault="00914373" w:rsidP="00914373">
      <w:pPr>
        <w:jc w:val="both"/>
        <w:rPr>
          <w:b/>
          <w:i/>
          <w:sz w:val="24"/>
          <w:szCs w:val="24"/>
        </w:rPr>
      </w:pPr>
      <w:r w:rsidRPr="005B402E">
        <w:rPr>
          <w:b/>
          <w:bCs/>
          <w:i/>
          <w:sz w:val="24"/>
          <w:szCs w:val="24"/>
        </w:rPr>
        <w:t>Estado estrangeiro. Imunidade de jurisdição. Caráter relat</w:t>
      </w:r>
      <w:r>
        <w:rPr>
          <w:b/>
          <w:bCs/>
          <w:i/>
          <w:sz w:val="24"/>
          <w:szCs w:val="24"/>
        </w:rPr>
        <w:t>ivo. Penhora de imóvel. Prova de</w:t>
      </w:r>
      <w:r w:rsidRPr="005B402E">
        <w:rPr>
          <w:b/>
          <w:bCs/>
          <w:i/>
          <w:sz w:val="24"/>
          <w:szCs w:val="24"/>
        </w:rPr>
        <w:t xml:space="preserve"> afetação à atividade diplomática ou consular não produzida. Impossibilidade de ultimação dos atos de expropriação.</w:t>
      </w:r>
    </w:p>
    <w:p w:rsidR="00CC6BEC" w:rsidRDefault="00914373" w:rsidP="00914373">
      <w:pPr>
        <w:pStyle w:val="Corpo"/>
        <w:spacing w:line="240" w:lineRule="auto"/>
        <w:ind w:firstLine="0"/>
        <w:rPr>
          <w:rFonts w:ascii="Times New Roman" w:hAnsi="Times New Roman" w:cs="Times New Roman"/>
        </w:rPr>
      </w:pPr>
      <w:r w:rsidRPr="00914373">
        <w:rPr>
          <w:rFonts w:ascii="Times New Roman" w:hAnsi="Times New Roman" w:cs="Times New Roman"/>
          <w:bCs/>
          <w:lang w:val="pt-BR"/>
        </w:rPr>
        <w:t>Ao entendimento de que a imunidade de jurisdição reconhecida aos Estados estrangeiros, em execução de sentença, possui caráter relativo, concluiu a SBDI-II que somente estarão imunes à constrição judicial os bens comprovadamente vinculados ao exercício das atividades de representação consular e diplomática. Sob esse</w:t>
      </w:r>
      <w:r w:rsidRPr="00914373">
        <w:rPr>
          <w:rFonts w:ascii="Times New Roman" w:hAnsi="Times New Roman" w:cs="Times New Roman"/>
          <w:b/>
          <w:bCs/>
          <w:lang w:val="pt-BR"/>
        </w:rPr>
        <w:t xml:space="preserve"> </w:t>
      </w:r>
      <w:r w:rsidRPr="00914373">
        <w:rPr>
          <w:rFonts w:ascii="Times New Roman" w:hAnsi="Times New Roman" w:cs="Times New Roman"/>
          <w:bCs/>
          <w:lang w:val="pt-BR"/>
        </w:rPr>
        <w:t xml:space="preserve">entendimento, a Subseção, à unanimidade, </w:t>
      </w:r>
      <w:r w:rsidRPr="00914373">
        <w:rPr>
          <w:rFonts w:ascii="Times New Roman" w:hAnsi="Times New Roman" w:cs="Times New Roman"/>
          <w:lang w:val="pt-BR"/>
        </w:rPr>
        <w:t>conheceu do recurso ordinário e, no mérito, deu-lhe provimento para conceder parcialmente a segurança, determinando que os atos de expropriação do imóvel penhorado —</w:t>
      </w:r>
      <w:r w:rsidRPr="00914373">
        <w:rPr>
          <w:rFonts w:ascii="Times New Roman" w:hAnsi="Times New Roman" w:cs="Times New Roman"/>
          <w:bCs/>
          <w:lang w:val="pt-BR"/>
        </w:rPr>
        <w:t xml:space="preserve"> em razão da presunção de não afetação à atividade de representação diplomática ou consular, extraída do silêncio do ente estrangeiro executado, regularmente intimado —</w:t>
      </w:r>
      <w:r w:rsidRPr="00914373">
        <w:rPr>
          <w:rFonts w:ascii="Times New Roman" w:hAnsi="Times New Roman" w:cs="Times New Roman"/>
          <w:lang w:val="pt-BR"/>
        </w:rPr>
        <w:t xml:space="preserve"> sejam interrompidos, somente podendo prosseguir se demonstrado, efetivamente, que o bem não se encontra afetado à missão diplomática ou consular. </w:t>
      </w:r>
      <w:r w:rsidRPr="001E129E">
        <w:rPr>
          <w:rFonts w:ascii="Times New Roman" w:hAnsi="Times New Roman" w:cs="Times New Roman"/>
          <w:u w:val="single"/>
        </w:rPr>
        <w:t>TST-</w:t>
      </w:r>
      <w:hyperlink r:id="rId13" w:history="1">
        <w:r w:rsidRPr="0091484F">
          <w:rPr>
            <w:rStyle w:val="Hyperlink"/>
            <w:rFonts w:ascii="Times New Roman" w:hAnsi="Times New Roman"/>
          </w:rPr>
          <w:t>RO-188-04.2014.5.10.0000</w:t>
        </w:r>
      </w:hyperlink>
      <w:r w:rsidRPr="001E129E">
        <w:rPr>
          <w:rFonts w:ascii="Times New Roman" w:hAnsi="Times New Roman" w:cs="Times New Roman"/>
          <w:u w:val="single"/>
        </w:rPr>
        <w:t>, SBDI-II, rel. Min.</w:t>
      </w:r>
      <w:r>
        <w:rPr>
          <w:rFonts w:ascii="Times New Roman" w:hAnsi="Times New Roman" w:cs="Times New Roman"/>
          <w:u w:val="single"/>
        </w:rPr>
        <w:t xml:space="preserve"> Douglas Alencar Rodrigues, 29.</w:t>
      </w:r>
      <w:r w:rsidRPr="001E129E">
        <w:rPr>
          <w:rFonts w:ascii="Times New Roman" w:hAnsi="Times New Roman" w:cs="Times New Roman"/>
          <w:u w:val="single"/>
        </w:rPr>
        <w:t xml:space="preserve">9.2015.  </w:t>
      </w:r>
      <w:r w:rsidRPr="001E129E">
        <w:rPr>
          <w:rFonts w:ascii="Times New Roman" w:hAnsi="Times New Roman" w:cs="Times New Roman"/>
        </w:rPr>
        <w:t xml:space="preserve"> </w:t>
      </w:r>
    </w:p>
    <w:p w:rsidR="00914373" w:rsidRDefault="00914373" w:rsidP="00914373">
      <w:pPr>
        <w:pStyle w:val="Corpo"/>
        <w:spacing w:line="240" w:lineRule="auto"/>
        <w:ind w:firstLine="0"/>
        <w:rPr>
          <w:rFonts w:ascii="Times New Roman" w:hAnsi="Times New Roman" w:cs="Times New Roman"/>
        </w:rPr>
      </w:pPr>
    </w:p>
    <w:p w:rsidR="00914373" w:rsidRDefault="00914373" w:rsidP="00914373">
      <w:pPr>
        <w:pStyle w:val="Corpo"/>
        <w:spacing w:line="240" w:lineRule="auto"/>
        <w:ind w:firstLine="0"/>
        <w:rPr>
          <w:rFonts w:ascii="Times New Roman" w:hAnsi="Times New Roman" w:cs="Times New Roman"/>
          <w:u w:val="single"/>
          <w:lang w:val="pt-BR"/>
        </w:rPr>
      </w:pPr>
    </w:p>
    <w:p w:rsidR="00CC743B" w:rsidRDefault="00CC743B" w:rsidP="00D73575">
      <w:pPr>
        <w:pStyle w:val="Corpo"/>
        <w:spacing w:line="240" w:lineRule="auto"/>
        <w:ind w:firstLine="0"/>
        <w:rPr>
          <w:rFonts w:ascii="Times New Roman" w:hAnsi="Times New Roman" w:cs="Times New Roman"/>
          <w:u w:val="single"/>
          <w:lang w:val="pt-BR"/>
        </w:rPr>
      </w:pPr>
    </w:p>
    <w:p w:rsidR="00A35218" w:rsidRDefault="00A35218" w:rsidP="00D73575">
      <w:pPr>
        <w:pStyle w:val="Corpo"/>
        <w:spacing w:line="240" w:lineRule="auto"/>
        <w:ind w:firstLine="0"/>
        <w:rPr>
          <w:rFonts w:ascii="Times New Roman" w:hAnsi="Times New Roman" w:cs="Times New Roman"/>
          <w:u w:val="single"/>
          <w:lang w:val="pt-BR"/>
        </w:rPr>
      </w:pPr>
    </w:p>
    <w:p w:rsidR="00A35218" w:rsidRDefault="00A35218" w:rsidP="00D73575">
      <w:pPr>
        <w:pStyle w:val="Corpo"/>
        <w:spacing w:line="240" w:lineRule="auto"/>
        <w:ind w:firstLine="0"/>
        <w:rPr>
          <w:rFonts w:ascii="Times New Roman" w:hAnsi="Times New Roman" w:cs="Times New Roman"/>
          <w:u w:val="single"/>
          <w:lang w:val="pt-BR"/>
        </w:rPr>
      </w:pPr>
    </w:p>
    <w:p w:rsidR="00A35218" w:rsidRDefault="00A35218" w:rsidP="00D73575">
      <w:pPr>
        <w:pStyle w:val="Corpo"/>
        <w:spacing w:line="240" w:lineRule="auto"/>
        <w:ind w:firstLine="0"/>
        <w:rPr>
          <w:rFonts w:ascii="Times New Roman" w:hAnsi="Times New Roman" w:cs="Times New Roman"/>
          <w:u w:val="single"/>
          <w:lang w:val="pt-BR"/>
        </w:rPr>
      </w:pPr>
    </w:p>
    <w:p w:rsidR="00C87D5B" w:rsidRDefault="00C87D5B" w:rsidP="00D73575">
      <w:pPr>
        <w:pStyle w:val="Corpo"/>
        <w:spacing w:line="240" w:lineRule="auto"/>
        <w:ind w:firstLine="0"/>
        <w:rPr>
          <w:rFonts w:ascii="Times New Roman" w:hAnsi="Times New Roman" w:cs="Times New Roman"/>
          <w:u w:val="single"/>
          <w:lang w:val="pt-BR"/>
        </w:rPr>
      </w:pPr>
    </w:p>
    <w:p w:rsidR="004A5908" w:rsidRPr="00BC54BC" w:rsidRDefault="004A5908" w:rsidP="00C54185">
      <w:pPr>
        <w:jc w:val="both"/>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403" w:rsidRDefault="00876403">
      <w:r>
        <w:separator/>
      </w:r>
    </w:p>
  </w:endnote>
  <w:endnote w:type="continuationSeparator" w:id="0">
    <w:p w:rsidR="00876403" w:rsidRDefault="0087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D3" w:rsidRDefault="00923FD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4999">
      <w:rPr>
        <w:rStyle w:val="Nmerodepgina"/>
        <w:noProof/>
      </w:rPr>
      <w:t>3</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834999">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403" w:rsidRDefault="00876403">
      <w:r>
        <w:separator/>
      </w:r>
    </w:p>
  </w:footnote>
  <w:footnote w:type="continuationSeparator" w:id="0">
    <w:p w:rsidR="00876403" w:rsidRDefault="00876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D3" w:rsidRDefault="00923FD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5A30AA">
      <w:rPr>
        <w:shadow/>
        <w:sz w:val="24"/>
        <w:szCs w:val="24"/>
      </w:rPr>
      <w:t>11</w:t>
    </w:r>
    <w:r w:rsidR="00923FD3">
      <w:rPr>
        <w:shadow/>
        <w:sz w:val="24"/>
        <w:szCs w:val="24"/>
      </w:rPr>
      <w:t>9</w:t>
    </w:r>
  </w:p>
  <w:p w:rsidR="00923FD3" w:rsidRPr="005D1DE4" w:rsidRDefault="00187A37" w:rsidP="00923FD3">
    <w:pPr>
      <w:pStyle w:val="Cabealho"/>
      <w:jc w:val="right"/>
    </w:pPr>
    <w:r w:rsidRPr="003C0554">
      <w:rPr>
        <w:noProof/>
      </w:rPr>
      <w:pict>
        <v:line id="_x0000_s2049" style="position:absolute;left:0;text-align:left;flip:x;z-index:251657216" from=".9pt,10.15pt" to="497.7pt,10.15pt" o:allowincell="f" strokecolor="#969696"/>
      </w:pict>
    </w:r>
    <w:r w:rsidR="00923FD3" w:rsidRPr="00923FD3">
      <w:rPr>
        <w:i/>
        <w:iCs/>
      </w:rPr>
      <w:t xml:space="preserve"> </w:t>
    </w:r>
    <w:r w:rsidR="00923FD3">
      <w:rPr>
        <w:i/>
        <w:iCs/>
      </w:rPr>
      <w:t>Período:</w:t>
    </w:r>
    <w:r w:rsidR="00923FD3" w:rsidRPr="005D1DE4">
      <w:rPr>
        <w:i/>
        <w:iCs/>
      </w:rPr>
      <w:t xml:space="preserve"> </w:t>
    </w:r>
    <w:r w:rsidR="00923FD3">
      <w:rPr>
        <w:i/>
        <w:iCs/>
      </w:rPr>
      <w:t>22 de setembro a 13 de outubro de 2015</w:t>
    </w:r>
  </w:p>
  <w:p w:rsidR="003C0554" w:rsidRPr="003C0554" w:rsidRDefault="003C0554" w:rsidP="003C0554">
    <w:pPr>
      <w:pStyle w:val="Cabealho"/>
      <w:jc w:val="right"/>
    </w:pPr>
  </w:p>
  <w:p w:rsidR="00DB0223" w:rsidRPr="00DB0223" w:rsidRDefault="00DB0223" w:rsidP="00DB0223">
    <w:pPr>
      <w:pStyle w:val="Cabealho"/>
      <w:jc w:val="right"/>
    </w:pPr>
  </w:p>
  <w:p w:rsidR="00FE00AD" w:rsidRDefault="00FE00AD">
    <w:pPr>
      <w:pStyle w:val="Ttulo6"/>
      <w:spacing w:line="360" w:lineRule="auto"/>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77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470EF8">
      <w:rPr>
        <w:b/>
        <w:sz w:val="40"/>
        <w:szCs w:val="40"/>
      </w:rPr>
      <w:t>11</w:t>
    </w:r>
    <w:r w:rsidR="00B6172C">
      <w:rPr>
        <w:b/>
        <w:sz w:val="40"/>
        <w:szCs w:val="40"/>
      </w:rPr>
      <w:t>9</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B6172C">
      <w:rPr>
        <w:i/>
        <w:iCs/>
      </w:rPr>
      <w:t>22 de setembro a 13 de outubro</w:t>
    </w:r>
    <w:r w:rsidR="00BC54BC">
      <w:rPr>
        <w:i/>
        <w:iCs/>
      </w:rPr>
      <w:t xml:space="preserve"> </w:t>
    </w:r>
    <w:r w:rsidR="004A094C">
      <w:rPr>
        <w:i/>
        <w:iCs/>
      </w:rPr>
      <w:t>de 201</w:t>
    </w:r>
    <w:r w:rsidR="00C54185">
      <w:rPr>
        <w:i/>
        <w:iCs/>
      </w:rPr>
      <w:t>5</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24CE9"/>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2973"/>
    <w:rsid w:val="000B4D41"/>
    <w:rsid w:val="000B67DF"/>
    <w:rsid w:val="000B7CDE"/>
    <w:rsid w:val="000C3022"/>
    <w:rsid w:val="000C58F4"/>
    <w:rsid w:val="000C5AC6"/>
    <w:rsid w:val="000C672B"/>
    <w:rsid w:val="000E0A91"/>
    <w:rsid w:val="000E1DC1"/>
    <w:rsid w:val="0011575C"/>
    <w:rsid w:val="0011692E"/>
    <w:rsid w:val="00137564"/>
    <w:rsid w:val="00137DC1"/>
    <w:rsid w:val="00142C28"/>
    <w:rsid w:val="0015612D"/>
    <w:rsid w:val="00161CDE"/>
    <w:rsid w:val="00163142"/>
    <w:rsid w:val="00176D15"/>
    <w:rsid w:val="00184590"/>
    <w:rsid w:val="00187A37"/>
    <w:rsid w:val="0019151D"/>
    <w:rsid w:val="00193208"/>
    <w:rsid w:val="00197B15"/>
    <w:rsid w:val="001C04D2"/>
    <w:rsid w:val="001C21FB"/>
    <w:rsid w:val="001C271F"/>
    <w:rsid w:val="001C6C93"/>
    <w:rsid w:val="001D4CF9"/>
    <w:rsid w:val="001D5AB0"/>
    <w:rsid w:val="001D757D"/>
    <w:rsid w:val="001E14A9"/>
    <w:rsid w:val="001E14BB"/>
    <w:rsid w:val="001E4B57"/>
    <w:rsid w:val="001E5BD1"/>
    <w:rsid w:val="001E713B"/>
    <w:rsid w:val="001E79B4"/>
    <w:rsid w:val="001F030F"/>
    <w:rsid w:val="001F45E0"/>
    <w:rsid w:val="001F5133"/>
    <w:rsid w:val="00206810"/>
    <w:rsid w:val="002168DE"/>
    <w:rsid w:val="00224AC2"/>
    <w:rsid w:val="0023559D"/>
    <w:rsid w:val="002402B0"/>
    <w:rsid w:val="002449F9"/>
    <w:rsid w:val="00257B4A"/>
    <w:rsid w:val="002635ED"/>
    <w:rsid w:val="002662BA"/>
    <w:rsid w:val="00266D49"/>
    <w:rsid w:val="00271C5C"/>
    <w:rsid w:val="00271E67"/>
    <w:rsid w:val="002730B5"/>
    <w:rsid w:val="00276EA0"/>
    <w:rsid w:val="00280594"/>
    <w:rsid w:val="00285064"/>
    <w:rsid w:val="00292158"/>
    <w:rsid w:val="002A219D"/>
    <w:rsid w:val="002A546D"/>
    <w:rsid w:val="002B4738"/>
    <w:rsid w:val="002B6377"/>
    <w:rsid w:val="002C2904"/>
    <w:rsid w:val="002E78CB"/>
    <w:rsid w:val="002F28E5"/>
    <w:rsid w:val="0033397A"/>
    <w:rsid w:val="00352B27"/>
    <w:rsid w:val="0035374D"/>
    <w:rsid w:val="00363255"/>
    <w:rsid w:val="0036325E"/>
    <w:rsid w:val="003671FE"/>
    <w:rsid w:val="003708FD"/>
    <w:rsid w:val="003745DE"/>
    <w:rsid w:val="0037667D"/>
    <w:rsid w:val="00380212"/>
    <w:rsid w:val="00383A89"/>
    <w:rsid w:val="00384075"/>
    <w:rsid w:val="003908C5"/>
    <w:rsid w:val="00396053"/>
    <w:rsid w:val="003A4086"/>
    <w:rsid w:val="003A5E5B"/>
    <w:rsid w:val="003B045C"/>
    <w:rsid w:val="003B0A59"/>
    <w:rsid w:val="003B3EB5"/>
    <w:rsid w:val="003B4E23"/>
    <w:rsid w:val="003B767E"/>
    <w:rsid w:val="003C0554"/>
    <w:rsid w:val="003C6FE7"/>
    <w:rsid w:val="003D032E"/>
    <w:rsid w:val="003D4205"/>
    <w:rsid w:val="003F2078"/>
    <w:rsid w:val="0042772A"/>
    <w:rsid w:val="004323B0"/>
    <w:rsid w:val="00444E88"/>
    <w:rsid w:val="004477EC"/>
    <w:rsid w:val="0045657C"/>
    <w:rsid w:val="004655CC"/>
    <w:rsid w:val="00466DB9"/>
    <w:rsid w:val="00470EF8"/>
    <w:rsid w:val="00486521"/>
    <w:rsid w:val="00486DFC"/>
    <w:rsid w:val="004922D6"/>
    <w:rsid w:val="004A094C"/>
    <w:rsid w:val="004A14FC"/>
    <w:rsid w:val="004A5264"/>
    <w:rsid w:val="004A5908"/>
    <w:rsid w:val="004B21AD"/>
    <w:rsid w:val="004C011C"/>
    <w:rsid w:val="004C14EA"/>
    <w:rsid w:val="004C2118"/>
    <w:rsid w:val="004C2612"/>
    <w:rsid w:val="004D6000"/>
    <w:rsid w:val="004D6415"/>
    <w:rsid w:val="004D71E8"/>
    <w:rsid w:val="004E393E"/>
    <w:rsid w:val="004E4507"/>
    <w:rsid w:val="004E4619"/>
    <w:rsid w:val="004F0A7D"/>
    <w:rsid w:val="00513789"/>
    <w:rsid w:val="0051538E"/>
    <w:rsid w:val="00517E01"/>
    <w:rsid w:val="00521EEC"/>
    <w:rsid w:val="00542F38"/>
    <w:rsid w:val="00543B94"/>
    <w:rsid w:val="005460BD"/>
    <w:rsid w:val="005521C8"/>
    <w:rsid w:val="00553197"/>
    <w:rsid w:val="0055409E"/>
    <w:rsid w:val="00556367"/>
    <w:rsid w:val="00556B35"/>
    <w:rsid w:val="00573E13"/>
    <w:rsid w:val="005811A4"/>
    <w:rsid w:val="00584F82"/>
    <w:rsid w:val="00591DFA"/>
    <w:rsid w:val="005A30AA"/>
    <w:rsid w:val="005A5695"/>
    <w:rsid w:val="005B0A1C"/>
    <w:rsid w:val="005B2F00"/>
    <w:rsid w:val="005B3792"/>
    <w:rsid w:val="005B57DE"/>
    <w:rsid w:val="005C1886"/>
    <w:rsid w:val="005C761E"/>
    <w:rsid w:val="005D0E5F"/>
    <w:rsid w:val="005D1DE4"/>
    <w:rsid w:val="005E35BD"/>
    <w:rsid w:val="005E3D4D"/>
    <w:rsid w:val="005E7FD1"/>
    <w:rsid w:val="005F0545"/>
    <w:rsid w:val="005F2858"/>
    <w:rsid w:val="006002E3"/>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0B1B"/>
    <w:rsid w:val="0070727E"/>
    <w:rsid w:val="00710D3A"/>
    <w:rsid w:val="0071315F"/>
    <w:rsid w:val="00721942"/>
    <w:rsid w:val="00722BE7"/>
    <w:rsid w:val="00732DF2"/>
    <w:rsid w:val="007614F1"/>
    <w:rsid w:val="007618C5"/>
    <w:rsid w:val="00764066"/>
    <w:rsid w:val="00766B7B"/>
    <w:rsid w:val="00771F67"/>
    <w:rsid w:val="00776118"/>
    <w:rsid w:val="007B0F83"/>
    <w:rsid w:val="007C0A4F"/>
    <w:rsid w:val="007D29A1"/>
    <w:rsid w:val="007D469A"/>
    <w:rsid w:val="007E0EA7"/>
    <w:rsid w:val="007E3F23"/>
    <w:rsid w:val="007F142E"/>
    <w:rsid w:val="007F66BC"/>
    <w:rsid w:val="007F7B5E"/>
    <w:rsid w:val="00802B1A"/>
    <w:rsid w:val="0080615C"/>
    <w:rsid w:val="0081027F"/>
    <w:rsid w:val="0081742D"/>
    <w:rsid w:val="00817AB1"/>
    <w:rsid w:val="00821F4D"/>
    <w:rsid w:val="00823906"/>
    <w:rsid w:val="00834999"/>
    <w:rsid w:val="008409D3"/>
    <w:rsid w:val="00845559"/>
    <w:rsid w:val="00854DB8"/>
    <w:rsid w:val="00854EF2"/>
    <w:rsid w:val="008627C6"/>
    <w:rsid w:val="00863B86"/>
    <w:rsid w:val="00871F69"/>
    <w:rsid w:val="00876403"/>
    <w:rsid w:val="00877326"/>
    <w:rsid w:val="008842D0"/>
    <w:rsid w:val="00884AC4"/>
    <w:rsid w:val="0088579D"/>
    <w:rsid w:val="008A7953"/>
    <w:rsid w:val="008B3081"/>
    <w:rsid w:val="008B32D4"/>
    <w:rsid w:val="008C7AD0"/>
    <w:rsid w:val="008D0020"/>
    <w:rsid w:val="008D3C38"/>
    <w:rsid w:val="008D6A05"/>
    <w:rsid w:val="008E2AE5"/>
    <w:rsid w:val="008E3F89"/>
    <w:rsid w:val="008F26CB"/>
    <w:rsid w:val="008F2A15"/>
    <w:rsid w:val="008F6509"/>
    <w:rsid w:val="008F79D9"/>
    <w:rsid w:val="009027C8"/>
    <w:rsid w:val="0091296D"/>
    <w:rsid w:val="00914373"/>
    <w:rsid w:val="0091484F"/>
    <w:rsid w:val="00923FD3"/>
    <w:rsid w:val="0093467A"/>
    <w:rsid w:val="009353F1"/>
    <w:rsid w:val="0094155C"/>
    <w:rsid w:val="00951531"/>
    <w:rsid w:val="00960A3B"/>
    <w:rsid w:val="00967DE0"/>
    <w:rsid w:val="00971E07"/>
    <w:rsid w:val="00980944"/>
    <w:rsid w:val="00986D77"/>
    <w:rsid w:val="00993A6E"/>
    <w:rsid w:val="009943EC"/>
    <w:rsid w:val="009A32D5"/>
    <w:rsid w:val="009B6012"/>
    <w:rsid w:val="009C102D"/>
    <w:rsid w:val="009C2A4F"/>
    <w:rsid w:val="009D4C59"/>
    <w:rsid w:val="009D7F91"/>
    <w:rsid w:val="009E20EF"/>
    <w:rsid w:val="009E26EE"/>
    <w:rsid w:val="009F21A2"/>
    <w:rsid w:val="009F5FAF"/>
    <w:rsid w:val="00A00D70"/>
    <w:rsid w:val="00A00DEE"/>
    <w:rsid w:val="00A32FBF"/>
    <w:rsid w:val="00A35218"/>
    <w:rsid w:val="00A407EA"/>
    <w:rsid w:val="00A51749"/>
    <w:rsid w:val="00A521B6"/>
    <w:rsid w:val="00A56962"/>
    <w:rsid w:val="00A6412C"/>
    <w:rsid w:val="00A75419"/>
    <w:rsid w:val="00A76661"/>
    <w:rsid w:val="00A76D2A"/>
    <w:rsid w:val="00A81F0A"/>
    <w:rsid w:val="00A82081"/>
    <w:rsid w:val="00A8557E"/>
    <w:rsid w:val="00A91181"/>
    <w:rsid w:val="00A935AC"/>
    <w:rsid w:val="00AA3DE0"/>
    <w:rsid w:val="00AB299E"/>
    <w:rsid w:val="00AB507C"/>
    <w:rsid w:val="00AD6E76"/>
    <w:rsid w:val="00AE3EAA"/>
    <w:rsid w:val="00AE5EDF"/>
    <w:rsid w:val="00AE758A"/>
    <w:rsid w:val="00B06261"/>
    <w:rsid w:val="00B14F7F"/>
    <w:rsid w:val="00B16EB9"/>
    <w:rsid w:val="00B22F24"/>
    <w:rsid w:val="00B22F53"/>
    <w:rsid w:val="00B24DBE"/>
    <w:rsid w:val="00B34EB2"/>
    <w:rsid w:val="00B4728A"/>
    <w:rsid w:val="00B517C3"/>
    <w:rsid w:val="00B518B2"/>
    <w:rsid w:val="00B526EA"/>
    <w:rsid w:val="00B536FE"/>
    <w:rsid w:val="00B6172C"/>
    <w:rsid w:val="00B73FFA"/>
    <w:rsid w:val="00B838C3"/>
    <w:rsid w:val="00B874F1"/>
    <w:rsid w:val="00BC1DE7"/>
    <w:rsid w:val="00BC2C67"/>
    <w:rsid w:val="00BC54BC"/>
    <w:rsid w:val="00BC5AEE"/>
    <w:rsid w:val="00BD18D8"/>
    <w:rsid w:val="00BD6029"/>
    <w:rsid w:val="00BE0541"/>
    <w:rsid w:val="00BE1ADB"/>
    <w:rsid w:val="00BF0693"/>
    <w:rsid w:val="00C070DE"/>
    <w:rsid w:val="00C26DFB"/>
    <w:rsid w:val="00C273FA"/>
    <w:rsid w:val="00C30D06"/>
    <w:rsid w:val="00C42067"/>
    <w:rsid w:val="00C432D0"/>
    <w:rsid w:val="00C4398E"/>
    <w:rsid w:val="00C54185"/>
    <w:rsid w:val="00C57688"/>
    <w:rsid w:val="00C57E92"/>
    <w:rsid w:val="00C60B4A"/>
    <w:rsid w:val="00C65BDB"/>
    <w:rsid w:val="00C71A3B"/>
    <w:rsid w:val="00C76CFA"/>
    <w:rsid w:val="00C87D5B"/>
    <w:rsid w:val="00C963F8"/>
    <w:rsid w:val="00C96BB1"/>
    <w:rsid w:val="00CA2F80"/>
    <w:rsid w:val="00CB0C2A"/>
    <w:rsid w:val="00CC4B2B"/>
    <w:rsid w:val="00CC579C"/>
    <w:rsid w:val="00CC5F5F"/>
    <w:rsid w:val="00CC6BEC"/>
    <w:rsid w:val="00CC743B"/>
    <w:rsid w:val="00CD3460"/>
    <w:rsid w:val="00CD4B61"/>
    <w:rsid w:val="00CD5043"/>
    <w:rsid w:val="00CE2928"/>
    <w:rsid w:val="00CE314A"/>
    <w:rsid w:val="00CE5865"/>
    <w:rsid w:val="00CF3D9D"/>
    <w:rsid w:val="00D01C50"/>
    <w:rsid w:val="00D11B24"/>
    <w:rsid w:val="00D11C18"/>
    <w:rsid w:val="00D133C8"/>
    <w:rsid w:val="00D14DB8"/>
    <w:rsid w:val="00D17339"/>
    <w:rsid w:val="00D244D5"/>
    <w:rsid w:val="00D2776A"/>
    <w:rsid w:val="00D413DB"/>
    <w:rsid w:val="00D420E2"/>
    <w:rsid w:val="00D4459D"/>
    <w:rsid w:val="00D573F9"/>
    <w:rsid w:val="00D6058B"/>
    <w:rsid w:val="00D63EC5"/>
    <w:rsid w:val="00D64BC3"/>
    <w:rsid w:val="00D72C05"/>
    <w:rsid w:val="00D73575"/>
    <w:rsid w:val="00D735BF"/>
    <w:rsid w:val="00D77672"/>
    <w:rsid w:val="00D80222"/>
    <w:rsid w:val="00D847CF"/>
    <w:rsid w:val="00DA0A99"/>
    <w:rsid w:val="00DA0A9D"/>
    <w:rsid w:val="00DA7603"/>
    <w:rsid w:val="00DA7E39"/>
    <w:rsid w:val="00DA7EDE"/>
    <w:rsid w:val="00DB0223"/>
    <w:rsid w:val="00DB047C"/>
    <w:rsid w:val="00DC0AB5"/>
    <w:rsid w:val="00DC3451"/>
    <w:rsid w:val="00DC50EB"/>
    <w:rsid w:val="00DD19F4"/>
    <w:rsid w:val="00DD3FA0"/>
    <w:rsid w:val="00DE5B2D"/>
    <w:rsid w:val="00DE5CE9"/>
    <w:rsid w:val="00E03064"/>
    <w:rsid w:val="00E04BD5"/>
    <w:rsid w:val="00E070D2"/>
    <w:rsid w:val="00E1539C"/>
    <w:rsid w:val="00E162B6"/>
    <w:rsid w:val="00E16E01"/>
    <w:rsid w:val="00E24A50"/>
    <w:rsid w:val="00E31469"/>
    <w:rsid w:val="00E35639"/>
    <w:rsid w:val="00E432CC"/>
    <w:rsid w:val="00E50711"/>
    <w:rsid w:val="00E52522"/>
    <w:rsid w:val="00E60AD3"/>
    <w:rsid w:val="00E60EDA"/>
    <w:rsid w:val="00E62BBC"/>
    <w:rsid w:val="00E9503C"/>
    <w:rsid w:val="00E956D9"/>
    <w:rsid w:val="00EA1958"/>
    <w:rsid w:val="00EA29F5"/>
    <w:rsid w:val="00EA482D"/>
    <w:rsid w:val="00EB5FE6"/>
    <w:rsid w:val="00EB61A5"/>
    <w:rsid w:val="00EB6C1B"/>
    <w:rsid w:val="00EB7A09"/>
    <w:rsid w:val="00EC5AF4"/>
    <w:rsid w:val="00ED661C"/>
    <w:rsid w:val="00EE0CFC"/>
    <w:rsid w:val="00EE41B5"/>
    <w:rsid w:val="00EE66C9"/>
    <w:rsid w:val="00EF11A9"/>
    <w:rsid w:val="00EF38E1"/>
    <w:rsid w:val="00EF749A"/>
    <w:rsid w:val="00EF771E"/>
    <w:rsid w:val="00F02565"/>
    <w:rsid w:val="00F05542"/>
    <w:rsid w:val="00F06855"/>
    <w:rsid w:val="00F17A2C"/>
    <w:rsid w:val="00F21A70"/>
    <w:rsid w:val="00F26708"/>
    <w:rsid w:val="00F45608"/>
    <w:rsid w:val="00F511EE"/>
    <w:rsid w:val="00F558E7"/>
    <w:rsid w:val="00F62016"/>
    <w:rsid w:val="00F63F44"/>
    <w:rsid w:val="00F6746D"/>
    <w:rsid w:val="00F811CD"/>
    <w:rsid w:val="00F82D8F"/>
    <w:rsid w:val="00F83F62"/>
    <w:rsid w:val="00F9711D"/>
    <w:rsid w:val="00FA011F"/>
    <w:rsid w:val="00FA7544"/>
    <w:rsid w:val="00FA75E0"/>
    <w:rsid w:val="00FA7771"/>
    <w:rsid w:val="00FB20B1"/>
    <w:rsid w:val="00FB3AB4"/>
    <w:rsid w:val="00FB6188"/>
    <w:rsid w:val="00FC35EC"/>
    <w:rsid w:val="00FC56A4"/>
    <w:rsid w:val="00FD3D06"/>
    <w:rsid w:val="00FD5662"/>
    <w:rsid w:val="00FD72B6"/>
    <w:rsid w:val="00FE00AD"/>
    <w:rsid w:val="00FE206E"/>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300800&amp;digitoTst=25&amp;anoTst=2005&amp;orgaoTst=5&amp;tribunalTst=04&amp;varaTst=0104" TargetMode="External"/><Relationship Id="rId13" Type="http://schemas.openxmlformats.org/officeDocument/2006/relationships/hyperlink" Target="http://aplicacao4.tst.jus.br/consultaProcessual/consultaTstNumUnica.do?consulta=Consultar&amp;conscsjt=&amp;numeroTst=188&amp;digitoTst=04&amp;anoTst=2014&amp;orgaoTst=5&amp;tribunalTst=10&amp;varaTst=000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151&amp;digitoTst=79&amp;anoTst=2011&amp;orgaoTst=5&amp;tribunalTst=04&amp;varaTst=073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286&amp;digitoTst=82&amp;anoTst=2010&amp;orgaoTst=5&amp;tribunalTst=09&amp;varaTst=008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64200&amp;digitoTst=46&amp;anoTst=2006&amp;orgaoTst=5&amp;tribunalTst=02&amp;varaTst=002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184900&amp;digitoTst=63&amp;anoTst=2007&amp;orgaoTst=5&amp;tribunalTst=16&amp;varaTst=0015"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0C03-8A66-45F6-8D11-E7CCE8E0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1735</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11085</CharactersWithSpaces>
  <SharedDoc>false</SharedDoc>
  <HLinks>
    <vt:vector size="36" baseType="variant">
      <vt:variant>
        <vt:i4>5701639</vt:i4>
      </vt:variant>
      <vt:variant>
        <vt:i4>15</vt:i4>
      </vt:variant>
      <vt:variant>
        <vt:i4>0</vt:i4>
      </vt:variant>
      <vt:variant>
        <vt:i4>5</vt:i4>
      </vt:variant>
      <vt:variant>
        <vt:lpwstr>http://aplicacao4.tst.jus.br/consultaProcessual/consultaTstNumUnica.do?consulta=Consultar&amp;conscsjt=&amp;numeroTst=188&amp;digitoTst=04&amp;anoTst=2014&amp;orgaoTst=5&amp;tribunalTst=10&amp;varaTst=0000</vt:lpwstr>
      </vt:variant>
      <vt:variant>
        <vt:lpwstr/>
      </vt:variant>
      <vt:variant>
        <vt:i4>5570575</vt:i4>
      </vt:variant>
      <vt:variant>
        <vt:i4>12</vt:i4>
      </vt:variant>
      <vt:variant>
        <vt:i4>0</vt:i4>
      </vt:variant>
      <vt:variant>
        <vt:i4>5</vt:i4>
      </vt:variant>
      <vt:variant>
        <vt:lpwstr>http://aplicacao4.tst.jus.br/consultaProcessual/consultaTstNumUnica.do?consulta=Consultar&amp;conscsjt=&amp;numeroTst=151&amp;digitoTst=79&amp;anoTst=2011&amp;orgaoTst=5&amp;tribunalTst=04&amp;varaTst=0733</vt:lpwstr>
      </vt:variant>
      <vt:variant>
        <vt:lpwstr/>
      </vt:variant>
      <vt:variant>
        <vt:i4>5505027</vt:i4>
      </vt:variant>
      <vt:variant>
        <vt:i4>9</vt:i4>
      </vt:variant>
      <vt:variant>
        <vt:i4>0</vt:i4>
      </vt:variant>
      <vt:variant>
        <vt:i4>5</vt:i4>
      </vt:variant>
      <vt:variant>
        <vt:lpwstr>http://aplicacao4.tst.jus.br/consultaProcessual/consultaTstNumUnica.do?consulta=Consultar&amp;conscsjt=&amp;numeroTst=286&amp;digitoTst=82&amp;anoTst=2010&amp;orgaoTst=5&amp;tribunalTst=09&amp;varaTst=0088</vt:lpwstr>
      </vt:variant>
      <vt:variant>
        <vt:lpwstr/>
      </vt:variant>
      <vt:variant>
        <vt:i4>7012414</vt:i4>
      </vt:variant>
      <vt:variant>
        <vt:i4>6</vt:i4>
      </vt:variant>
      <vt:variant>
        <vt:i4>0</vt:i4>
      </vt:variant>
      <vt:variant>
        <vt:i4>5</vt:i4>
      </vt:variant>
      <vt:variant>
        <vt:lpwstr>http://aplicacao4.tst.jus.br/consultaProcessual/consultaTstNumUnica.do?consulta=Consultar&amp;conscsjt=&amp;numeroTst=64200&amp;digitoTst=46&amp;anoTst=2006&amp;orgaoTst=5&amp;tribunalTst=02&amp;varaTst=0027</vt:lpwstr>
      </vt:variant>
      <vt:variant>
        <vt:lpwstr/>
      </vt:variant>
      <vt:variant>
        <vt:i4>1048644</vt:i4>
      </vt:variant>
      <vt:variant>
        <vt:i4>3</vt:i4>
      </vt:variant>
      <vt:variant>
        <vt:i4>0</vt:i4>
      </vt:variant>
      <vt:variant>
        <vt:i4>5</vt:i4>
      </vt:variant>
      <vt:variant>
        <vt:lpwstr>http://aplicacao4.tst.jus.br/consultaProcessual/consultaTstNumUnica.do?consulta=Consultar&amp;conscsjt=&amp;numeroTst=184900&amp;digitoTst=63&amp;anoTst=2007&amp;orgaoTst=5&amp;tribunalTst=16&amp;varaTst=0015</vt:lpwstr>
      </vt:variant>
      <vt:variant>
        <vt:lpwstr/>
      </vt:variant>
      <vt:variant>
        <vt:i4>1835077</vt:i4>
      </vt:variant>
      <vt:variant>
        <vt:i4>0</vt:i4>
      </vt:variant>
      <vt:variant>
        <vt:i4>0</vt:i4>
      </vt:variant>
      <vt:variant>
        <vt:i4>5</vt:i4>
      </vt:variant>
      <vt:variant>
        <vt:lpwstr>http://aplicacao4.tst.jus.br/consultaProcessual/consultaTstNumUnica.do?consulta=Consultar&amp;conscsjt=&amp;numeroTst=300800&amp;digitoTst=25&amp;anoTst=2005&amp;orgaoTst=5&amp;tribunalTst=04&amp;varaTst=0104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2015-10-13T20:04:00Z</cp:lastPrinted>
  <dcterms:created xsi:type="dcterms:W3CDTF">2018-06-27T21:49:00Z</dcterms:created>
  <dcterms:modified xsi:type="dcterms:W3CDTF">2018-06-27T21:49:00Z</dcterms:modified>
</cp:coreProperties>
</file>