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CE7555" w:rsidRDefault="00FB20B1">
      <w:pPr>
        <w:rPr>
          <w:sz w:val="25"/>
          <w:szCs w:val="25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CE7555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</w:tc>
      </w:tr>
    </w:tbl>
    <w:p w:rsidR="00B838C3" w:rsidRPr="00CE7555" w:rsidRDefault="00B838C3" w:rsidP="00BC54BC">
      <w:pPr>
        <w:pStyle w:val="Corpo"/>
        <w:spacing w:line="240" w:lineRule="auto"/>
        <w:ind w:firstLine="0"/>
        <w:rPr>
          <w:rFonts w:ascii="Times New Roman" w:hAnsi="Times New Roman"/>
          <w:sz w:val="25"/>
          <w:szCs w:val="25"/>
          <w:u w:val="single"/>
          <w:lang w:val="pt-BR"/>
        </w:rPr>
      </w:pPr>
    </w:p>
    <w:p w:rsidR="00A00DEE" w:rsidRPr="00CE7555" w:rsidRDefault="00A00DEE" w:rsidP="00A00DE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CE7555" w:rsidRPr="00CE7555" w:rsidRDefault="00CE7555" w:rsidP="007D469A">
      <w:pPr>
        <w:pStyle w:val="Corpo"/>
        <w:spacing w:line="240" w:lineRule="auto"/>
        <w:ind w:firstLine="0"/>
        <w:rPr>
          <w:rFonts w:ascii="Times New Roman" w:hAnsi="Times New Roman"/>
          <w:sz w:val="25"/>
          <w:szCs w:val="25"/>
          <w:u w:val="single"/>
          <w:lang w:val="pt-BR"/>
        </w:rPr>
      </w:pPr>
    </w:p>
    <w:p w:rsidR="00C819C8" w:rsidRDefault="00C819C8" w:rsidP="00C819C8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60406A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Indenização por danos morais. Despedida por justa causa. Imputação de ato de improbidade. Desconstituição em juízo.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</w:t>
      </w:r>
    </w:p>
    <w:p w:rsidR="00C819C8" w:rsidRDefault="00C819C8" w:rsidP="00C819C8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 w:rsidRPr="0060406A">
        <w:rPr>
          <w:rFonts w:ascii="Times New Roman" w:eastAsia="Calibri" w:hAnsi="Times New Roman" w:cs="Times New Roman"/>
          <w:color w:val="auto"/>
          <w:lang w:val="pt-BR" w:eastAsia="en-US"/>
        </w:rPr>
        <w:t xml:space="preserve">A resolução do contrato de trabalho por justa causa, fundada em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suposto </w:t>
      </w:r>
      <w:r w:rsidRPr="0060406A">
        <w:rPr>
          <w:rFonts w:ascii="Times New Roman" w:eastAsia="Calibri" w:hAnsi="Times New Roman" w:cs="Times New Roman"/>
          <w:color w:val="auto"/>
          <w:lang w:val="pt-BR" w:eastAsia="en-US"/>
        </w:rPr>
        <w:t>ato de improbidade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(desvio de numerário)</w:t>
      </w:r>
      <w:r w:rsidRPr="0060406A">
        <w:rPr>
          <w:rFonts w:ascii="Times New Roman" w:eastAsia="Calibri" w:hAnsi="Times New Roman" w:cs="Times New Roman"/>
          <w:color w:val="auto"/>
          <w:lang w:val="pt-BR" w:eastAsia="en-US"/>
        </w:rPr>
        <w:t>, quando desc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onstituída judicialmente, gera reflexos na vida do empregado e </w:t>
      </w:r>
      <w:r w:rsidRPr="0060406A">
        <w:rPr>
          <w:rFonts w:ascii="Times New Roman" w:eastAsia="Calibri" w:hAnsi="Times New Roman" w:cs="Times New Roman"/>
          <w:color w:val="auto"/>
          <w:lang w:val="pt-BR" w:eastAsia="en-US"/>
        </w:rPr>
        <w:t>lesiona direitos da personalidade, em especial a honra e a imagem, na medida em que a acusação infundada atinge grave e injustamente a reputação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do obreiro</w:t>
      </w:r>
      <w:r w:rsidRPr="0060406A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A6151A">
        <w:rPr>
          <w:rFonts w:ascii="Times New Roman" w:eastAsia="Calibri" w:hAnsi="Times New Roman" w:cs="Times New Roman"/>
          <w:color w:val="auto"/>
          <w:lang w:val="pt-BR" w:eastAsia="en-US"/>
        </w:rPr>
        <w:t>Embora a reversão judicial da dispensa por justa causa não constitua, por si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só e necessariamente,</w:t>
      </w:r>
      <w:r w:rsidRPr="00A6151A">
        <w:rPr>
          <w:rFonts w:ascii="Times New Roman" w:eastAsia="Calibri" w:hAnsi="Times New Roman" w:cs="Times New Roman"/>
          <w:color w:val="auto"/>
          <w:lang w:val="pt-BR" w:eastAsia="en-US"/>
        </w:rPr>
        <w:t xml:space="preserve"> motivo ensejador da indenização,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A6151A">
        <w:rPr>
          <w:rFonts w:ascii="Times New Roman" w:eastAsia="Calibri" w:hAnsi="Times New Roman" w:cs="Times New Roman"/>
          <w:color w:val="auto"/>
          <w:lang w:val="pt-BR" w:eastAsia="en-US"/>
        </w:rPr>
        <w:t xml:space="preserve">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acusação, sem a necessária cautela, de </w:t>
      </w:r>
      <w:r w:rsidRPr="001113CD">
        <w:rPr>
          <w:rFonts w:ascii="Times New Roman" w:eastAsia="Calibri" w:hAnsi="Times New Roman" w:cs="Times New Roman"/>
          <w:color w:val="auto"/>
          <w:lang w:val="pt-BR" w:eastAsia="en-US"/>
        </w:rPr>
        <w:t>grave imputação de desvio de dinheiro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A6151A">
        <w:rPr>
          <w:rFonts w:ascii="Times New Roman" w:eastAsia="Calibri" w:hAnsi="Times New Roman" w:cs="Times New Roman"/>
          <w:color w:val="auto"/>
          <w:lang w:val="pt-BR" w:eastAsia="en-US"/>
        </w:rPr>
        <w:t xml:space="preserve">evidencia o abuso do direito do empregador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de</w:t>
      </w:r>
      <w:r w:rsidRPr="00A6151A">
        <w:rPr>
          <w:rFonts w:ascii="Times New Roman" w:eastAsia="Calibri" w:hAnsi="Times New Roman" w:cs="Times New Roman"/>
          <w:color w:val="auto"/>
          <w:lang w:val="pt-BR" w:eastAsia="en-US"/>
        </w:rPr>
        <w:t xml:space="preserve"> exercer o poder disciplinar, configurando-se ato ilícito, previsto no artigo 186 do Código Civil, e indenizável, na forma do artigo 927 do mesmo diploma legal.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A6151A">
        <w:rPr>
          <w:rFonts w:ascii="Times New Roman" w:eastAsia="Calibri" w:hAnsi="Times New Roman" w:cs="Times New Roman"/>
          <w:color w:val="auto"/>
          <w:lang w:val="pt-BR" w:eastAsia="en-US"/>
        </w:rPr>
        <w:t>Diferente seria se a justa causa imputada tivesse o pressuposto da conduta incontroversa (faltas ao trabalho, ofensa pessoal, desídia no cumprimento de norma geral, etc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 w:rsidRPr="00A6151A">
        <w:rPr>
          <w:rFonts w:ascii="Times New Roman" w:eastAsia="Calibri" w:hAnsi="Times New Roman" w:cs="Times New Roman"/>
          <w:color w:val="auto"/>
          <w:lang w:val="pt-BR" w:eastAsia="en-US"/>
        </w:rPr>
        <w:t>), quando então estaria imune o empregador para exercer o direito de tentar enquadrar tal comportamento em um dos tipos legais descritivos de justa causa.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Sob esse entendimento, a SBDI-I, </w:t>
      </w:r>
      <w:r w:rsidRPr="001113CD">
        <w:rPr>
          <w:rFonts w:ascii="Times New Roman" w:eastAsia="Calibri" w:hAnsi="Times New Roman" w:cs="Times New Roman"/>
          <w:color w:val="auto"/>
          <w:lang w:val="pt-BR" w:eastAsia="en-US"/>
        </w:rPr>
        <w:t>por maioria, conhece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u</w:t>
      </w:r>
      <w:r w:rsidRPr="001113CD">
        <w:rPr>
          <w:rFonts w:ascii="Times New Roman" w:eastAsia="Calibri" w:hAnsi="Times New Roman" w:cs="Times New Roman"/>
          <w:color w:val="auto"/>
          <w:lang w:val="pt-BR" w:eastAsia="en-US"/>
        </w:rPr>
        <w:t xml:space="preserve"> do recurso de embargos por divergência jurisprudencial, vencido o Ministro Luiz Philippe Vieira Mello Filho, e, no mérito, ainda por maio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ria, deu</w:t>
      </w:r>
      <w:r w:rsidRPr="001113CD">
        <w:rPr>
          <w:rFonts w:ascii="Times New Roman" w:eastAsia="Calibri" w:hAnsi="Times New Roman" w:cs="Times New Roman"/>
          <w:color w:val="auto"/>
          <w:lang w:val="pt-BR" w:eastAsia="en-US"/>
        </w:rPr>
        <w:t>-lhe provimento para, reformando a decisão recorrida, reconhecer a existência de dano moral, e condenar a reclamada ao pagamento da indenização respectiva, no valor de R$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1113CD">
        <w:rPr>
          <w:rFonts w:ascii="Times New Roman" w:eastAsia="Calibri" w:hAnsi="Times New Roman" w:cs="Times New Roman"/>
          <w:color w:val="auto"/>
          <w:lang w:val="pt-BR" w:eastAsia="en-US"/>
        </w:rPr>
        <w:t>30.000,00 (trinta mil reais),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 título de acréscimo à condenação. V</w:t>
      </w:r>
      <w:r w:rsidRPr="001113CD">
        <w:rPr>
          <w:rFonts w:ascii="Times New Roman" w:eastAsia="Calibri" w:hAnsi="Times New Roman" w:cs="Times New Roman"/>
          <w:color w:val="auto"/>
          <w:lang w:val="pt-BR" w:eastAsia="en-US"/>
        </w:rPr>
        <w:t>encidos, totalmente, os Ministros João Oreste Dalazen, Antônio José de Barros Levenhagen, Ives Gandra da Silva Martins Filho, Luiz Philippe Vieira Mello Filho, Guilherme Augusto Caputo Bastos e Márcio Eurico Vitral Amaro, que negavam provimento ao recurso, e, parcialmente, o Ministro Renato de Lacerda Paiva, que dava provimento aos embargos, mas com a redução do valor da indenização para R$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1113CD">
        <w:rPr>
          <w:rFonts w:ascii="Times New Roman" w:eastAsia="Calibri" w:hAnsi="Times New Roman" w:cs="Times New Roman"/>
          <w:color w:val="auto"/>
          <w:lang w:val="pt-BR" w:eastAsia="en-US"/>
        </w:rPr>
        <w:t>15.000,00.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8" w:history="1">
        <w:r w:rsidRPr="00C66C95">
          <w:rPr>
            <w:rStyle w:val="Hyperlink"/>
            <w:rFonts w:ascii="Times New Roman" w:hAnsi="Times New Roman" w:cs="Courier New"/>
            <w:lang w:val="pt-BR"/>
          </w:rPr>
          <w:t>TST-E-RR-48300-39.2003.5.09.0025</w:t>
        </w:r>
      </w:hyperlink>
      <w:r w:rsidRPr="00E950A9">
        <w:rPr>
          <w:rFonts w:ascii="Times New Roman" w:hAnsi="Times New Roman"/>
          <w:u w:val="single"/>
          <w:lang w:val="pt-BR"/>
        </w:rPr>
        <w:t>, S</w:t>
      </w:r>
      <w:r>
        <w:rPr>
          <w:rFonts w:ascii="Times New Roman" w:hAnsi="Times New Roman"/>
          <w:u w:val="single"/>
          <w:lang w:val="pt-BR"/>
        </w:rPr>
        <w:t>BDI-I</w:t>
      </w:r>
      <w:r w:rsidRPr="00E950A9">
        <w:rPr>
          <w:rFonts w:ascii="Times New Roman" w:hAnsi="Times New Roman"/>
          <w:u w:val="single"/>
          <w:lang w:val="pt-BR"/>
        </w:rPr>
        <w:t xml:space="preserve">, rel. Min. </w:t>
      </w:r>
      <w:r w:rsidRPr="00A813BE">
        <w:rPr>
          <w:rFonts w:ascii="Times New Roman" w:hAnsi="Times New Roman"/>
          <w:u w:val="single"/>
          <w:lang w:val="pt-BR"/>
        </w:rPr>
        <w:t xml:space="preserve">Augusto César Leite </w:t>
      </w:r>
      <w:r>
        <w:rPr>
          <w:rFonts w:ascii="Times New Roman" w:hAnsi="Times New Roman"/>
          <w:u w:val="single"/>
          <w:lang w:val="pt-BR"/>
        </w:rPr>
        <w:t>d</w:t>
      </w:r>
      <w:r w:rsidRPr="00A813BE">
        <w:rPr>
          <w:rFonts w:ascii="Times New Roman" w:hAnsi="Times New Roman"/>
          <w:u w:val="single"/>
          <w:lang w:val="pt-BR"/>
        </w:rPr>
        <w:t>e Carvalho</w:t>
      </w:r>
      <w:r w:rsidRPr="00E950A9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10.9.2015.</w:t>
      </w:r>
    </w:p>
    <w:p w:rsidR="00C819C8" w:rsidRDefault="00C819C8" w:rsidP="00C819C8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C819C8" w:rsidRPr="003522B7" w:rsidRDefault="00C819C8" w:rsidP="00C819C8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Dano Moral. Indenização. Fixação do “quantum” indenizatório.</w:t>
      </w:r>
    </w:p>
    <w:p w:rsidR="00C819C8" w:rsidRPr="00C819C8" w:rsidRDefault="00C819C8" w:rsidP="00C819C8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 w:rsidRPr="00717968">
        <w:rPr>
          <w:rFonts w:ascii="Times New Roman" w:eastAsia="Calibri" w:hAnsi="Times New Roman" w:cs="Times New Roman"/>
          <w:color w:val="auto"/>
          <w:lang w:val="pt-BR" w:eastAsia="en-US"/>
        </w:rPr>
        <w:t>Na fixação do valor da indenização por dano moral, o magistrado deve valer-se dos princípios da razoabilidade e da proporcionalidade, previstos na Constituição Federal. Há que ponderar acerca da gravidade objetiva da lesão, da intensidade do sofrimento da vítima, do maior ou menor poder econômico do ofensor e do caráter compensatório em relação à vítima e repressivo em relação ao agente causador do dano. A excepcional intervenção do Tribunal Superior do Trabalho sobre o valor arbitrado somente é concebível nas hipóteses de arbitramento de valor manifestamente irrisório, ou, por outro lado, exorbitante. Unicamente em tais casos extremos, em tese, reconhece-se violação dos princípios da razoabilidade e da proporcionalidade insculpidos no art. 5º, V e/ou X, da Constituição da República.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041B92">
        <w:rPr>
          <w:rFonts w:ascii="Times New Roman" w:hAnsi="Times New Roman"/>
          <w:lang w:val="pt-BR"/>
        </w:rPr>
        <w:t>Sob esses fundamentos, a SBDI-I, pelo voto p</w:t>
      </w:r>
      <w:r>
        <w:rPr>
          <w:rFonts w:ascii="Times New Roman" w:hAnsi="Times New Roman"/>
          <w:lang w:val="pt-BR"/>
        </w:rPr>
        <w:t xml:space="preserve">revalente da Presidência, </w:t>
      </w:r>
      <w:r w:rsidRPr="00041B92">
        <w:rPr>
          <w:rFonts w:ascii="Times New Roman" w:hAnsi="Times New Roman"/>
          <w:lang w:val="pt-BR"/>
        </w:rPr>
        <w:t>conheceu dos embargos</w:t>
      </w:r>
      <w:r>
        <w:rPr>
          <w:rFonts w:ascii="Times New Roman" w:hAnsi="Times New Roman"/>
          <w:lang w:val="pt-BR"/>
        </w:rPr>
        <w:t>,</w:t>
      </w:r>
      <w:r w:rsidRPr="00041B92">
        <w:rPr>
          <w:rFonts w:ascii="Times New Roman" w:hAnsi="Times New Roman"/>
          <w:lang w:val="pt-BR"/>
        </w:rPr>
        <w:t xml:space="preserve"> por divergência jurisprudencial, </w:t>
      </w:r>
      <w:r>
        <w:rPr>
          <w:rFonts w:ascii="Times New Roman" w:hAnsi="Times New Roman"/>
          <w:lang w:val="pt-BR"/>
        </w:rPr>
        <w:t xml:space="preserve">e, </w:t>
      </w:r>
      <w:r w:rsidRPr="00041B92">
        <w:rPr>
          <w:rFonts w:ascii="Times New Roman" w:hAnsi="Times New Roman"/>
          <w:lang w:val="pt-BR"/>
        </w:rPr>
        <w:t xml:space="preserve">no mérito, negou-lhes provimento. Vencidos os Ministros Alexandre </w:t>
      </w:r>
      <w:r>
        <w:rPr>
          <w:rFonts w:ascii="Times New Roman" w:hAnsi="Times New Roman"/>
          <w:lang w:val="pt-BR"/>
        </w:rPr>
        <w:t xml:space="preserve">de Souza </w:t>
      </w:r>
      <w:r w:rsidRPr="00041B92">
        <w:rPr>
          <w:rFonts w:ascii="Times New Roman" w:hAnsi="Times New Roman"/>
          <w:lang w:val="pt-BR"/>
        </w:rPr>
        <w:t>Agra Belmonte, Renato de Lacerda Paiva, Augusto César Leite de Carvalho,</w:t>
      </w:r>
      <w:r>
        <w:rPr>
          <w:rFonts w:ascii="Times New Roman" w:hAnsi="Times New Roman"/>
          <w:lang w:val="pt-BR"/>
        </w:rPr>
        <w:t xml:space="preserve"> José Roberto Freire Pimenta,</w:t>
      </w:r>
      <w:r w:rsidRPr="00041B92">
        <w:rPr>
          <w:rFonts w:ascii="Times New Roman" w:hAnsi="Times New Roman"/>
          <w:lang w:val="pt-BR"/>
        </w:rPr>
        <w:t xml:space="preserve"> Hugo Carlos Scheuermann</w:t>
      </w:r>
      <w:r>
        <w:rPr>
          <w:rFonts w:ascii="Times New Roman" w:hAnsi="Times New Roman"/>
          <w:lang w:val="pt-BR"/>
        </w:rPr>
        <w:t xml:space="preserve"> e </w:t>
      </w:r>
      <w:r w:rsidRPr="00041B92">
        <w:rPr>
          <w:rFonts w:ascii="Times New Roman" w:hAnsi="Times New Roman"/>
          <w:lang w:val="pt-BR"/>
        </w:rPr>
        <w:t xml:space="preserve">Cláudio </w:t>
      </w:r>
      <w:r w:rsidRPr="00041B92">
        <w:rPr>
          <w:rFonts w:ascii="Times New Roman" w:hAnsi="Times New Roman"/>
          <w:lang w:val="pt-BR"/>
        </w:rPr>
        <w:lastRenderedPageBreak/>
        <w:t>Mascarenhas Brandão</w:t>
      </w:r>
      <w:r>
        <w:rPr>
          <w:rFonts w:ascii="Times New Roman" w:hAnsi="Times New Roman"/>
          <w:lang w:val="pt-BR"/>
        </w:rPr>
        <w:t>.</w:t>
      </w:r>
      <w:r w:rsidR="00C66C95">
        <w:rPr>
          <w:rFonts w:ascii="Times New Roman" w:hAnsi="Times New Roman"/>
          <w:lang w:val="pt-BR"/>
        </w:rPr>
        <w:t xml:space="preserve"> </w:t>
      </w:r>
      <w:hyperlink r:id="rId9" w:history="1">
        <w:r w:rsidRPr="00C66C95">
          <w:rPr>
            <w:rStyle w:val="Hyperlink"/>
            <w:rFonts w:ascii="Times New Roman" w:hAnsi="Times New Roman" w:cs="Courier New"/>
            <w:lang w:val="pt-BR"/>
          </w:rPr>
          <w:t>TST-E-RR-159400-36.2008.5.01.0222</w:t>
        </w:r>
      </w:hyperlink>
      <w:r w:rsidRPr="00005F53">
        <w:rPr>
          <w:rFonts w:ascii="Times New Roman" w:hAnsi="Times New Roman"/>
          <w:u w:val="single"/>
          <w:lang w:val="pt-BR"/>
        </w:rPr>
        <w:t xml:space="preserve">, SBDI-I, rel. </w:t>
      </w:r>
      <w:r w:rsidRPr="00C819C8">
        <w:rPr>
          <w:rFonts w:ascii="Times New Roman" w:hAnsi="Times New Roman"/>
          <w:u w:val="single"/>
          <w:lang w:val="pt-BR"/>
        </w:rPr>
        <w:t>Min. João Oreste Dalazen, 10.9.2015.</w:t>
      </w:r>
    </w:p>
    <w:p w:rsidR="00C819C8" w:rsidRDefault="00C819C8" w:rsidP="00C819C8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C819C8" w:rsidRPr="00712B38" w:rsidRDefault="00C819C8" w:rsidP="00C819C8">
      <w:pPr>
        <w:jc w:val="both"/>
        <w:rPr>
          <w:b/>
          <w:i/>
          <w:sz w:val="24"/>
          <w:szCs w:val="24"/>
        </w:rPr>
      </w:pPr>
      <w:r w:rsidRPr="00712B38">
        <w:rPr>
          <w:b/>
          <w:i/>
          <w:sz w:val="24"/>
          <w:szCs w:val="24"/>
        </w:rPr>
        <w:t>Intervalo intrajornada. Redução por acordo ou convenção coletiva. Portaria nº 42/2007 do MTE. Autorização genérica. Invalidade. Necessidade de autorização específica (art. 71, §</w:t>
      </w:r>
      <w:r>
        <w:rPr>
          <w:b/>
          <w:i/>
          <w:sz w:val="24"/>
          <w:szCs w:val="24"/>
        </w:rPr>
        <w:t xml:space="preserve"> </w:t>
      </w:r>
      <w:r w:rsidRPr="00712B38">
        <w:rPr>
          <w:b/>
          <w:i/>
          <w:sz w:val="24"/>
          <w:szCs w:val="24"/>
        </w:rPr>
        <w:t xml:space="preserve">3º, da CLT). </w:t>
      </w:r>
    </w:p>
    <w:p w:rsidR="00C819C8" w:rsidRPr="00FB20E6" w:rsidRDefault="00C819C8" w:rsidP="00C819C8">
      <w:pPr>
        <w:jc w:val="both"/>
        <w:rPr>
          <w:sz w:val="24"/>
          <w:szCs w:val="24"/>
        </w:rPr>
      </w:pPr>
      <w:r w:rsidRPr="00C819C8">
        <w:rPr>
          <w:rFonts w:eastAsia="Calibri"/>
          <w:sz w:val="24"/>
          <w:szCs w:val="24"/>
          <w:lang w:eastAsia="en-US"/>
        </w:rPr>
        <w:t>A Portaria nº 42/2007 do Ministério do Trabalho e Emprego disciplina que o intervalo intrajornada poderá ser diminuído por negociação coletiva.  No entanto, referida Portaria, por ser genérica, não tem o condão de autorizar a redução do intervalo intrajornada por acordo ou convenção coletiva, sendo necessária</w:t>
      </w:r>
      <w:r w:rsidRPr="00FD029A">
        <w:rPr>
          <w:rFonts w:eastAsia="Calibri"/>
          <w:b/>
          <w:bCs/>
          <w:sz w:val="24"/>
          <w:szCs w:val="24"/>
          <w:lang w:eastAsia="en-US"/>
        </w:rPr>
        <w:t xml:space="preserve"> autorização específica, nos termos do § 3º do art. 71 da CLT, após vistoria das instalações e do sistema de trabalho da empresa.</w:t>
      </w:r>
      <w:r w:rsidRPr="00C819C8">
        <w:rPr>
          <w:rFonts w:eastAsia="Calibri"/>
          <w:sz w:val="24"/>
          <w:szCs w:val="24"/>
          <w:lang w:eastAsia="en-US"/>
        </w:rPr>
        <w:t xml:space="preserve"> Sob esse entendimento, a SBDI-1 decidiu, por unanimidade, conhecer dos embargos por divergência jurisprudencial e, no mérito, por maioria, deu-lhes provimento parcial para condenar a reclamada ao pagamento de uma hora diária, com acréscimo do adicional de 50%, decorrente da concessão parcial do intervalo intrajornada, nos dias efetivamente trabalhados em que não houve o gozo de uma hora integral de repouso para descanso e alimentação, atribuindo-se natureza salarial à parcela, nos termos da Súmula nº 437, item III, do Tribunal Superior do Trabalho. Vencidos os Ministros João Oreste Dalazen e Renato de Lacerda Paiva, que negavam provimento ao recurso.</w:t>
      </w:r>
      <w:r>
        <w:rPr>
          <w:sz w:val="24"/>
          <w:szCs w:val="24"/>
        </w:rPr>
        <w:t xml:space="preserve"> </w:t>
      </w:r>
      <w:hyperlink r:id="rId10" w:history="1">
        <w:r w:rsidRPr="00C66C95">
          <w:rPr>
            <w:rStyle w:val="Hyperlink"/>
            <w:sz w:val="24"/>
            <w:szCs w:val="24"/>
          </w:rPr>
          <w:t>TST-E-RR-53200-40.2013.5.21.0006</w:t>
        </w:r>
      </w:hyperlink>
      <w:r w:rsidRPr="00FB20E6">
        <w:rPr>
          <w:sz w:val="24"/>
          <w:szCs w:val="24"/>
          <w:u w:val="single"/>
        </w:rPr>
        <w:t xml:space="preserve">, SBDI-I, rel. Min. José Roberto Freite Pimenta, 10.09.2015.  </w:t>
      </w:r>
    </w:p>
    <w:p w:rsidR="00C819C8" w:rsidRDefault="00C819C8" w:rsidP="00C819C8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C819C8" w:rsidRDefault="00C819C8" w:rsidP="00CE7555">
      <w:pPr>
        <w:jc w:val="both"/>
        <w:rPr>
          <w:b/>
          <w:sz w:val="25"/>
          <w:szCs w:val="25"/>
        </w:rPr>
      </w:pPr>
    </w:p>
    <w:p w:rsidR="00C87D5B" w:rsidRPr="00CE7555" w:rsidRDefault="00C87D5B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8A68E7" w:rsidRDefault="008A68E7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Default="00CE755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Default="00CE755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Pr="00CE7555" w:rsidRDefault="00CE755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4A5908" w:rsidRPr="00CE7555" w:rsidRDefault="004A5908" w:rsidP="00C54185">
      <w:pPr>
        <w:jc w:val="both"/>
        <w:rPr>
          <w:sz w:val="25"/>
          <w:szCs w:val="25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9A" w:rsidRDefault="00FD029A">
      <w:r>
        <w:separator/>
      </w:r>
    </w:p>
  </w:endnote>
  <w:endnote w:type="continuationSeparator" w:id="0">
    <w:p w:rsidR="00FD029A" w:rsidRDefault="00FD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654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436543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9A" w:rsidRDefault="00FD029A">
      <w:r>
        <w:separator/>
      </w:r>
    </w:p>
  </w:footnote>
  <w:footnote w:type="continuationSeparator" w:id="0">
    <w:p w:rsidR="00FD029A" w:rsidRDefault="00FD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5A30AA">
      <w:rPr>
        <w:shadow/>
        <w:sz w:val="24"/>
        <w:szCs w:val="24"/>
      </w:rPr>
      <w:t>11</w:t>
    </w:r>
    <w:r w:rsidR="00C819C8">
      <w:rPr>
        <w:shadow/>
        <w:sz w:val="24"/>
        <w:szCs w:val="24"/>
      </w:rPr>
      <w:t>7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CE7555">
      <w:rPr>
        <w:i/>
        <w:iCs/>
      </w:rPr>
      <w:t>Período:</w:t>
    </w:r>
    <w:r w:rsidR="00CE7555" w:rsidRPr="005D1DE4">
      <w:rPr>
        <w:i/>
        <w:iCs/>
      </w:rPr>
      <w:t xml:space="preserve"> </w:t>
    </w:r>
    <w:r w:rsidR="00C819C8">
      <w:rPr>
        <w:i/>
        <w:iCs/>
      </w:rPr>
      <w:t xml:space="preserve">9 a 14 de </w:t>
    </w:r>
    <w:r w:rsidR="00CE7555">
      <w:rPr>
        <w:i/>
        <w:iCs/>
      </w:rPr>
      <w:t xml:space="preserve"> setembro de 2015</w:t>
    </w:r>
  </w:p>
  <w:p w:rsidR="003C0554" w:rsidRPr="003C0554" w:rsidRDefault="003C0554" w:rsidP="003C0554">
    <w:pPr>
      <w:pStyle w:val="Cabealho"/>
      <w:jc w:val="right"/>
    </w:pPr>
  </w:p>
  <w:p w:rsidR="00DB0223" w:rsidRPr="00DB0223" w:rsidRDefault="00DB0223" w:rsidP="00DB0223">
    <w:pPr>
      <w:pStyle w:val="Cabealho"/>
      <w:jc w:val="right"/>
    </w:pPr>
  </w:p>
  <w:p w:rsidR="00FE00AD" w:rsidRDefault="00FE00AD">
    <w:pPr>
      <w:pStyle w:val="Ttulo6"/>
      <w:spacing w:line="36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470EF8">
      <w:rPr>
        <w:b/>
        <w:sz w:val="40"/>
        <w:szCs w:val="40"/>
      </w:rPr>
      <w:t>11</w:t>
    </w:r>
    <w:r w:rsidR="00C819C8">
      <w:rPr>
        <w:b/>
        <w:sz w:val="40"/>
        <w:szCs w:val="40"/>
      </w:rPr>
      <w:t>7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C819C8">
      <w:rPr>
        <w:i/>
        <w:iCs/>
      </w:rPr>
      <w:t xml:space="preserve">9 a 14 de </w:t>
    </w:r>
    <w:r w:rsidR="00CE7555">
      <w:rPr>
        <w:i/>
        <w:iCs/>
      </w:rPr>
      <w:t>setembro</w:t>
    </w:r>
    <w:r w:rsidR="00BC54BC">
      <w:rPr>
        <w:i/>
        <w:iCs/>
      </w:rPr>
      <w:t xml:space="preserve"> </w:t>
    </w:r>
    <w:r w:rsidR="004A094C">
      <w:rPr>
        <w:i/>
        <w:iCs/>
      </w:rPr>
      <w:t>de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CE9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11575C"/>
    <w:rsid w:val="0011692E"/>
    <w:rsid w:val="00137564"/>
    <w:rsid w:val="00137DC1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6810"/>
    <w:rsid w:val="002168DE"/>
    <w:rsid w:val="00224AC2"/>
    <w:rsid w:val="0023559D"/>
    <w:rsid w:val="002402B0"/>
    <w:rsid w:val="002449F9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0554"/>
    <w:rsid w:val="003C1AB7"/>
    <w:rsid w:val="003C6FE7"/>
    <w:rsid w:val="003D032E"/>
    <w:rsid w:val="003D4205"/>
    <w:rsid w:val="003F2078"/>
    <w:rsid w:val="0042772A"/>
    <w:rsid w:val="004323B0"/>
    <w:rsid w:val="00436543"/>
    <w:rsid w:val="00444E88"/>
    <w:rsid w:val="004477EC"/>
    <w:rsid w:val="00450BAD"/>
    <w:rsid w:val="0045657C"/>
    <w:rsid w:val="004655CC"/>
    <w:rsid w:val="00466DB9"/>
    <w:rsid w:val="00470EF8"/>
    <w:rsid w:val="00486521"/>
    <w:rsid w:val="00486DFC"/>
    <w:rsid w:val="004922D6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66B7B"/>
    <w:rsid w:val="00776118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627C6"/>
    <w:rsid w:val="00863B86"/>
    <w:rsid w:val="00871F69"/>
    <w:rsid w:val="008842D0"/>
    <w:rsid w:val="00884AC4"/>
    <w:rsid w:val="0088579D"/>
    <w:rsid w:val="008A68E7"/>
    <w:rsid w:val="008A7953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3467A"/>
    <w:rsid w:val="009353F1"/>
    <w:rsid w:val="0094155C"/>
    <w:rsid w:val="00951531"/>
    <w:rsid w:val="00960A3B"/>
    <w:rsid w:val="00967DE0"/>
    <w:rsid w:val="00971E07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A3DE0"/>
    <w:rsid w:val="00AB299E"/>
    <w:rsid w:val="00AB507C"/>
    <w:rsid w:val="00AD6E76"/>
    <w:rsid w:val="00AE3EAA"/>
    <w:rsid w:val="00AE5EDF"/>
    <w:rsid w:val="00AE758A"/>
    <w:rsid w:val="00B06261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73FFA"/>
    <w:rsid w:val="00B74A6E"/>
    <w:rsid w:val="00B82CC4"/>
    <w:rsid w:val="00B838C3"/>
    <w:rsid w:val="00B874F1"/>
    <w:rsid w:val="00BC1DE7"/>
    <w:rsid w:val="00BC2C67"/>
    <w:rsid w:val="00BC54BC"/>
    <w:rsid w:val="00BC5AEE"/>
    <w:rsid w:val="00BD2A95"/>
    <w:rsid w:val="00BD2CA9"/>
    <w:rsid w:val="00BD6029"/>
    <w:rsid w:val="00BE0541"/>
    <w:rsid w:val="00BE1ADB"/>
    <w:rsid w:val="00BF0693"/>
    <w:rsid w:val="00C070DE"/>
    <w:rsid w:val="00C26DFB"/>
    <w:rsid w:val="00C273FA"/>
    <w:rsid w:val="00C30D06"/>
    <w:rsid w:val="00C42067"/>
    <w:rsid w:val="00C432D0"/>
    <w:rsid w:val="00C4398E"/>
    <w:rsid w:val="00C54185"/>
    <w:rsid w:val="00C57E92"/>
    <w:rsid w:val="00C60B4A"/>
    <w:rsid w:val="00C65BDB"/>
    <w:rsid w:val="00C66C95"/>
    <w:rsid w:val="00C71A3B"/>
    <w:rsid w:val="00C76CFA"/>
    <w:rsid w:val="00C819C8"/>
    <w:rsid w:val="00C87D5B"/>
    <w:rsid w:val="00C963F8"/>
    <w:rsid w:val="00C96BB1"/>
    <w:rsid w:val="00CA2F80"/>
    <w:rsid w:val="00CB0C2A"/>
    <w:rsid w:val="00CC4B2B"/>
    <w:rsid w:val="00CC579C"/>
    <w:rsid w:val="00CC5F5F"/>
    <w:rsid w:val="00CC6BEC"/>
    <w:rsid w:val="00CC743B"/>
    <w:rsid w:val="00CD3460"/>
    <w:rsid w:val="00CD4B61"/>
    <w:rsid w:val="00CD5043"/>
    <w:rsid w:val="00CE2928"/>
    <w:rsid w:val="00CE314A"/>
    <w:rsid w:val="00CE5865"/>
    <w:rsid w:val="00CE7555"/>
    <w:rsid w:val="00CF3D9D"/>
    <w:rsid w:val="00D01C50"/>
    <w:rsid w:val="00D11B24"/>
    <w:rsid w:val="00D11C18"/>
    <w:rsid w:val="00D133C8"/>
    <w:rsid w:val="00D14DB8"/>
    <w:rsid w:val="00D17339"/>
    <w:rsid w:val="00D244D5"/>
    <w:rsid w:val="00D2776A"/>
    <w:rsid w:val="00D413DB"/>
    <w:rsid w:val="00D420E2"/>
    <w:rsid w:val="00D4459D"/>
    <w:rsid w:val="00D573F9"/>
    <w:rsid w:val="00D6058B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A0A99"/>
    <w:rsid w:val="00DA0A9D"/>
    <w:rsid w:val="00DA7603"/>
    <w:rsid w:val="00DA7E39"/>
    <w:rsid w:val="00DA7EDE"/>
    <w:rsid w:val="00DB0223"/>
    <w:rsid w:val="00DB047C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00F5"/>
    <w:rsid w:val="00E1539C"/>
    <w:rsid w:val="00E162B6"/>
    <w:rsid w:val="00E16E01"/>
    <w:rsid w:val="00E24A50"/>
    <w:rsid w:val="00E31469"/>
    <w:rsid w:val="00E35639"/>
    <w:rsid w:val="00E432CC"/>
    <w:rsid w:val="00E50711"/>
    <w:rsid w:val="00E52522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45608"/>
    <w:rsid w:val="00F511EE"/>
    <w:rsid w:val="00F55574"/>
    <w:rsid w:val="00F558E7"/>
    <w:rsid w:val="00F62016"/>
    <w:rsid w:val="00F63F44"/>
    <w:rsid w:val="00F6746D"/>
    <w:rsid w:val="00F811CD"/>
    <w:rsid w:val="00F82D8F"/>
    <w:rsid w:val="00F83F62"/>
    <w:rsid w:val="00F9711D"/>
    <w:rsid w:val="00FA011F"/>
    <w:rsid w:val="00FA7544"/>
    <w:rsid w:val="00FA75E0"/>
    <w:rsid w:val="00FA7771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48300&amp;digitoTst=39&amp;anoTst=2003&amp;orgaoTst=5&amp;tribunalTst=09&amp;varaTst=00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159400&amp;digitoTst=36&amp;anoTst=2008&amp;orgaoTst=5&amp;tribunalTst=01&amp;varaTst=0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59400&amp;digitoTst=36&amp;anoTst=2008&amp;orgaoTst=5&amp;tribunalTst=01&amp;varaTst=022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8FFB-2E66-42A7-99C6-7248EFBC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5964</CharactersWithSpaces>
  <SharedDoc>false</SharedDoc>
  <HLinks>
    <vt:vector size="18" baseType="variant">
      <vt:variant>
        <vt:i4>1114183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http://aplicacao4.tst.jus.br/consultaProcessual/consultaTstNumUnica.do?consulta=Consultar&amp;conscsjt=&amp;numeroTst=159400&amp;digitoTst=36&amp;anoTst=2008&amp;orgaoTst=5&amp;tribunalTst=01&amp;varaTst=0222</vt:lpwstr>
      </vt:variant>
      <vt:variant>
        <vt:lpwstr/>
      </vt:variant>
      <vt:variant>
        <vt:i4>1114183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http://aplicacao4.tst.jus.br/consultaProcessual/consultaTstNumUnica.do?consulta=Consultar&amp;conscsjt=&amp;numeroTst=159400&amp;digitoTst=36&amp;anoTst=2008&amp;orgaoTst=5&amp;tribunalTst=01&amp;varaTst=0222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http://aplicacao4.tst.jus.br/consultaProcessual/consultaTstNumUnica.do?consulta=Consultar&amp;conscsjt=&amp;numeroTst=48300&amp;digitoTst=39&amp;anoTst=2003&amp;orgaoTst=5&amp;tribunalTst=09&amp;varaTst=0025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2015-09-17T19:37:00Z</cp:lastPrinted>
  <dcterms:created xsi:type="dcterms:W3CDTF">2018-06-27T21:49:00Z</dcterms:created>
  <dcterms:modified xsi:type="dcterms:W3CDTF">2018-06-27T21:49:00Z</dcterms:modified>
</cp:coreProperties>
</file>