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1" w:rsidRPr="00FB20B1" w:rsidRDefault="00FB20B1">
      <w:pPr>
        <w:rPr>
          <w:sz w:val="10"/>
          <w:szCs w:val="10"/>
        </w:rPr>
      </w:pPr>
      <w:bookmarkStart w:id="0" w:name="_GoBack"/>
      <w:bookmarkEnd w:id="0"/>
    </w:p>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187A37" w:rsidTr="00FB20B1">
        <w:tblPrEx>
          <w:tblCellMar>
            <w:top w:w="0" w:type="dxa"/>
            <w:bottom w:w="0" w:type="dxa"/>
          </w:tblCellMar>
        </w:tblPrEx>
        <w:trPr>
          <w:trHeight w:val="537"/>
        </w:trPr>
        <w:tc>
          <w:tcPr>
            <w:tcW w:w="9538" w:type="dxa"/>
          </w:tcPr>
          <w:p w:rsidR="00C26DFB" w:rsidRPr="00187A37" w:rsidRDefault="00C26DFB" w:rsidP="00DC50EB">
            <w:pPr>
              <w:pStyle w:val="Cabealho"/>
              <w:tabs>
                <w:tab w:val="clear" w:pos="4419"/>
                <w:tab w:val="clear" w:pos="8838"/>
              </w:tabs>
              <w:jc w:val="both"/>
              <w:rPr>
                <w:sz w:val="10"/>
                <w:szCs w:val="10"/>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tc>
      </w:tr>
    </w:tbl>
    <w:p w:rsidR="00E31469" w:rsidRDefault="00E31469" w:rsidP="00C54185">
      <w:pPr>
        <w:pStyle w:val="EXPLICAO"/>
        <w:spacing w:line="240" w:lineRule="auto"/>
        <w:ind w:left="0"/>
        <w:rPr>
          <w:rFonts w:ascii="Times New Roman" w:hAnsi="Times New Roman" w:cs="Times New Roman"/>
          <w:b/>
          <w:color w:val="auto"/>
          <w:sz w:val="20"/>
          <w:szCs w:val="20"/>
        </w:rPr>
      </w:pPr>
    </w:p>
    <w:p w:rsidR="004A5908" w:rsidRDefault="004A5908" w:rsidP="00BC54BC">
      <w:pPr>
        <w:pStyle w:val="Corpo"/>
        <w:spacing w:line="240" w:lineRule="auto"/>
        <w:ind w:firstLine="0"/>
        <w:rPr>
          <w:rFonts w:ascii="Times New Roman" w:hAnsi="Times New Roman"/>
          <w:sz w:val="20"/>
          <w:szCs w:val="20"/>
          <w:u w:val="single"/>
          <w:lang w:val="pt-BR"/>
        </w:rPr>
      </w:pPr>
    </w:p>
    <w:p w:rsidR="00A00DEE" w:rsidRPr="00971E07" w:rsidRDefault="00A00DEE" w:rsidP="00A00DEE">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Pr>
          <w:rFonts w:ascii="Times New Roman" w:hAnsi="Times New Roman" w:cs="Times New Roman"/>
          <w:b/>
          <w:bCs/>
          <w:shadow/>
          <w:color w:val="auto"/>
          <w:sz w:val="26"/>
          <w:szCs w:val="26"/>
          <w:lang w:val="pt-BR"/>
        </w:rPr>
        <w:t>TRIBUNAL PLENO</w:t>
      </w:r>
    </w:p>
    <w:p w:rsidR="00A00DEE" w:rsidRDefault="00A00DEE" w:rsidP="00BC54BC">
      <w:pPr>
        <w:pStyle w:val="Corpo"/>
        <w:spacing w:line="240" w:lineRule="auto"/>
        <w:ind w:firstLine="0"/>
        <w:rPr>
          <w:rFonts w:ascii="Times New Roman" w:hAnsi="Times New Roman"/>
          <w:sz w:val="20"/>
          <w:szCs w:val="20"/>
          <w:u w:val="single"/>
          <w:lang w:val="pt-BR"/>
        </w:rPr>
      </w:pPr>
    </w:p>
    <w:p w:rsidR="00A35218" w:rsidRDefault="00A35218" w:rsidP="00A35218">
      <w:pPr>
        <w:pStyle w:val="Corpo"/>
        <w:ind w:firstLine="0"/>
        <w:rPr>
          <w:rFonts w:ascii="Times New Roman" w:eastAsia="Calibri" w:hAnsi="Times New Roman" w:cs="Times New Roman"/>
          <w:b/>
          <w:i/>
          <w:color w:val="auto"/>
          <w:lang w:val="pt-BR" w:eastAsia="en-US"/>
        </w:rPr>
      </w:pPr>
      <w:r>
        <w:rPr>
          <w:rFonts w:ascii="Times New Roman" w:eastAsia="Calibri" w:hAnsi="Times New Roman" w:cs="Times New Roman"/>
          <w:b/>
          <w:i/>
          <w:color w:val="auto"/>
          <w:lang w:val="pt-BR" w:eastAsia="en-US"/>
        </w:rPr>
        <w:t>Dispensa imotivada.</w:t>
      </w:r>
      <w:r w:rsidRPr="002726B4">
        <w:rPr>
          <w:rFonts w:ascii="Times New Roman" w:eastAsia="Calibri" w:hAnsi="Times New Roman" w:cs="Times New Roman"/>
          <w:b/>
          <w:i/>
          <w:color w:val="auto"/>
          <w:lang w:val="pt-BR" w:eastAsia="en-US"/>
        </w:rPr>
        <w:t xml:space="preserve"> Decreto estadual n° 21.325/91.</w:t>
      </w:r>
      <w:r>
        <w:rPr>
          <w:rFonts w:ascii="Times New Roman" w:eastAsia="Calibri" w:hAnsi="Times New Roman" w:cs="Times New Roman"/>
          <w:b/>
          <w:i/>
          <w:color w:val="auto"/>
          <w:lang w:val="pt-BR" w:eastAsia="en-US"/>
        </w:rPr>
        <w:t xml:space="preserve"> </w:t>
      </w:r>
      <w:r w:rsidRPr="002726B4">
        <w:rPr>
          <w:rFonts w:ascii="Times New Roman" w:eastAsia="Calibri" w:hAnsi="Times New Roman" w:cs="Times New Roman"/>
          <w:b/>
          <w:i/>
          <w:color w:val="auto"/>
          <w:lang w:val="pt-BR" w:eastAsia="en-US"/>
        </w:rPr>
        <w:t>Sucessão do</w:t>
      </w:r>
      <w:r>
        <w:rPr>
          <w:rFonts w:ascii="Times New Roman" w:eastAsia="Calibri" w:hAnsi="Times New Roman" w:cs="Times New Roman"/>
          <w:b/>
          <w:i/>
          <w:color w:val="auto"/>
          <w:lang w:val="pt-BR" w:eastAsia="en-US"/>
        </w:rPr>
        <w:t xml:space="preserve"> BEC -</w:t>
      </w:r>
      <w:r w:rsidRPr="002726B4">
        <w:rPr>
          <w:rFonts w:ascii="Times New Roman" w:eastAsia="Calibri" w:hAnsi="Times New Roman" w:cs="Times New Roman"/>
          <w:b/>
          <w:i/>
          <w:color w:val="auto"/>
          <w:lang w:val="pt-BR" w:eastAsia="en-US"/>
        </w:rPr>
        <w:t xml:space="preserve"> </w:t>
      </w:r>
      <w:r>
        <w:rPr>
          <w:rFonts w:ascii="Times New Roman" w:eastAsia="Calibri" w:hAnsi="Times New Roman" w:cs="Times New Roman"/>
          <w:b/>
          <w:i/>
          <w:color w:val="auto"/>
          <w:lang w:val="pt-BR" w:eastAsia="en-US"/>
        </w:rPr>
        <w:t>B</w:t>
      </w:r>
      <w:r w:rsidRPr="002726B4">
        <w:rPr>
          <w:rFonts w:ascii="Times New Roman" w:eastAsia="Calibri" w:hAnsi="Times New Roman" w:cs="Times New Roman"/>
          <w:b/>
          <w:i/>
          <w:color w:val="auto"/>
          <w:lang w:val="pt-BR" w:eastAsia="en-US"/>
        </w:rPr>
        <w:t xml:space="preserve">anco do </w:t>
      </w:r>
      <w:r>
        <w:rPr>
          <w:rFonts w:ascii="Times New Roman" w:eastAsia="Calibri" w:hAnsi="Times New Roman" w:cs="Times New Roman"/>
          <w:b/>
          <w:i/>
          <w:color w:val="auto"/>
          <w:lang w:val="pt-BR" w:eastAsia="en-US"/>
        </w:rPr>
        <w:t>E</w:t>
      </w:r>
      <w:r w:rsidRPr="002726B4">
        <w:rPr>
          <w:rFonts w:ascii="Times New Roman" w:eastAsia="Calibri" w:hAnsi="Times New Roman" w:cs="Times New Roman"/>
          <w:b/>
          <w:i/>
          <w:color w:val="auto"/>
          <w:lang w:val="pt-BR" w:eastAsia="en-US"/>
        </w:rPr>
        <w:t xml:space="preserve">stado do </w:t>
      </w:r>
      <w:r>
        <w:rPr>
          <w:rFonts w:ascii="Times New Roman" w:eastAsia="Calibri" w:hAnsi="Times New Roman" w:cs="Times New Roman"/>
          <w:b/>
          <w:i/>
          <w:color w:val="auto"/>
          <w:lang w:val="pt-BR" w:eastAsia="en-US"/>
        </w:rPr>
        <w:t>C</w:t>
      </w:r>
      <w:r w:rsidRPr="002726B4">
        <w:rPr>
          <w:rFonts w:ascii="Times New Roman" w:eastAsia="Calibri" w:hAnsi="Times New Roman" w:cs="Times New Roman"/>
          <w:b/>
          <w:i/>
          <w:color w:val="auto"/>
          <w:lang w:val="pt-BR" w:eastAsia="en-US"/>
        </w:rPr>
        <w:t>eará</w:t>
      </w:r>
      <w:r>
        <w:rPr>
          <w:rFonts w:ascii="Times New Roman" w:eastAsia="Calibri" w:hAnsi="Times New Roman" w:cs="Times New Roman"/>
          <w:b/>
          <w:i/>
          <w:color w:val="auto"/>
          <w:lang w:val="pt-BR" w:eastAsia="en-US"/>
        </w:rPr>
        <w:t xml:space="preserve"> S/A</w:t>
      </w:r>
      <w:r w:rsidRPr="002726B4">
        <w:rPr>
          <w:rFonts w:ascii="Times New Roman" w:eastAsia="Calibri" w:hAnsi="Times New Roman" w:cs="Times New Roman"/>
          <w:b/>
          <w:i/>
          <w:color w:val="auto"/>
          <w:lang w:val="pt-BR" w:eastAsia="en-US"/>
        </w:rPr>
        <w:t xml:space="preserve"> pelo</w:t>
      </w:r>
      <w:r>
        <w:rPr>
          <w:rFonts w:ascii="Times New Roman" w:eastAsia="Calibri" w:hAnsi="Times New Roman" w:cs="Times New Roman"/>
          <w:b/>
          <w:i/>
          <w:color w:val="auto"/>
          <w:lang w:val="pt-BR" w:eastAsia="en-US"/>
        </w:rPr>
        <w:t xml:space="preserve"> Banco B</w:t>
      </w:r>
      <w:r w:rsidRPr="002726B4">
        <w:rPr>
          <w:rFonts w:ascii="Times New Roman" w:eastAsia="Calibri" w:hAnsi="Times New Roman" w:cs="Times New Roman"/>
          <w:b/>
          <w:i/>
          <w:color w:val="auto"/>
          <w:lang w:val="pt-BR" w:eastAsia="en-US"/>
        </w:rPr>
        <w:t>radesco</w:t>
      </w:r>
      <w:r>
        <w:rPr>
          <w:rFonts w:ascii="Times New Roman" w:eastAsia="Calibri" w:hAnsi="Times New Roman" w:cs="Times New Roman"/>
          <w:b/>
          <w:i/>
          <w:color w:val="auto"/>
          <w:lang w:val="pt-BR" w:eastAsia="en-US"/>
        </w:rPr>
        <w:t xml:space="preserve"> S/A</w:t>
      </w:r>
      <w:r w:rsidRPr="002726B4">
        <w:rPr>
          <w:rFonts w:ascii="Times New Roman" w:eastAsia="Calibri" w:hAnsi="Times New Roman" w:cs="Times New Roman"/>
          <w:b/>
          <w:i/>
          <w:color w:val="auto"/>
          <w:lang w:val="pt-BR" w:eastAsia="en-US"/>
        </w:rPr>
        <w:t xml:space="preserve">. </w:t>
      </w:r>
      <w:r>
        <w:rPr>
          <w:rFonts w:ascii="Times New Roman" w:eastAsia="Calibri" w:hAnsi="Times New Roman" w:cs="Times New Roman"/>
          <w:b/>
          <w:i/>
          <w:color w:val="auto"/>
          <w:lang w:val="pt-BR" w:eastAsia="en-US"/>
        </w:rPr>
        <w:t>Dever de motivação. Ilegalidade. Reintegração indevida.</w:t>
      </w:r>
    </w:p>
    <w:p w:rsidR="00A35218" w:rsidRPr="00A35218" w:rsidRDefault="00A35218" w:rsidP="00A35218">
      <w:pPr>
        <w:pStyle w:val="Corpo"/>
        <w:spacing w:line="240" w:lineRule="auto"/>
        <w:ind w:firstLine="0"/>
        <w:rPr>
          <w:rFonts w:ascii="Times New Roman" w:eastAsia="Calibri" w:hAnsi="Times New Roman" w:cs="Times New Roman"/>
          <w:color w:val="auto"/>
          <w:u w:val="single"/>
          <w:lang w:val="pt-BR" w:eastAsia="en-US"/>
        </w:rPr>
      </w:pPr>
      <w:r>
        <w:rPr>
          <w:rFonts w:ascii="Times New Roman" w:eastAsia="Calibri" w:hAnsi="Times New Roman" w:cs="Times New Roman"/>
          <w:color w:val="auto"/>
          <w:lang w:val="pt-BR" w:eastAsia="en-US"/>
        </w:rPr>
        <w:t>O Banco Bradesco S/A não tem obrigação de motivar a dispensa de ex-empregada admitida pelo extinto BEC - Banco do Estado do Ceará S/A antes da privatização. No caso, a e</w:t>
      </w:r>
      <w:r w:rsidRPr="005E3EEB">
        <w:rPr>
          <w:rFonts w:ascii="Times New Roman" w:eastAsia="Calibri" w:hAnsi="Times New Roman" w:cs="Times New Roman"/>
          <w:color w:val="auto"/>
          <w:lang w:val="pt-BR" w:eastAsia="en-US"/>
        </w:rPr>
        <w:t>mpregada</w:t>
      </w:r>
      <w:r>
        <w:rPr>
          <w:rFonts w:ascii="Times New Roman" w:eastAsia="Calibri" w:hAnsi="Times New Roman" w:cs="Times New Roman"/>
          <w:color w:val="auto"/>
          <w:lang w:val="pt-BR" w:eastAsia="en-US"/>
        </w:rPr>
        <w:t xml:space="preserve"> foi</w:t>
      </w:r>
      <w:r w:rsidRPr="005E3EEB">
        <w:rPr>
          <w:rFonts w:ascii="Times New Roman" w:eastAsia="Calibri" w:hAnsi="Times New Roman" w:cs="Times New Roman"/>
          <w:color w:val="auto"/>
          <w:lang w:val="pt-BR" w:eastAsia="en-US"/>
        </w:rPr>
        <w:t xml:space="preserve"> admitida antes da sucessão do </w:t>
      </w:r>
      <w:r>
        <w:rPr>
          <w:rFonts w:ascii="Times New Roman" w:eastAsia="Calibri" w:hAnsi="Times New Roman" w:cs="Times New Roman"/>
          <w:color w:val="auto"/>
          <w:lang w:val="pt-BR" w:eastAsia="en-US"/>
        </w:rPr>
        <w:t xml:space="preserve">extinto </w:t>
      </w:r>
      <w:r w:rsidRPr="005E3EEB">
        <w:rPr>
          <w:rFonts w:ascii="Times New Roman" w:eastAsia="Calibri" w:hAnsi="Times New Roman" w:cs="Times New Roman"/>
          <w:color w:val="auto"/>
          <w:lang w:val="pt-BR" w:eastAsia="en-US"/>
        </w:rPr>
        <w:t>BEC</w:t>
      </w:r>
      <w:r>
        <w:rPr>
          <w:rFonts w:ascii="Times New Roman" w:eastAsia="Calibri" w:hAnsi="Times New Roman" w:cs="Times New Roman"/>
          <w:color w:val="auto"/>
          <w:lang w:val="pt-BR" w:eastAsia="en-US"/>
        </w:rPr>
        <w:t xml:space="preserve"> </w:t>
      </w:r>
      <w:r w:rsidRPr="005E3EEB">
        <w:rPr>
          <w:rFonts w:ascii="Times New Roman" w:eastAsia="Calibri" w:hAnsi="Times New Roman" w:cs="Times New Roman"/>
          <w:color w:val="auto"/>
          <w:lang w:val="pt-BR" w:eastAsia="en-US"/>
        </w:rPr>
        <w:t>pelo</w:t>
      </w:r>
      <w:r>
        <w:rPr>
          <w:rFonts w:ascii="Times New Roman" w:eastAsia="Calibri" w:hAnsi="Times New Roman" w:cs="Times New Roman"/>
          <w:color w:val="auto"/>
          <w:lang w:val="pt-BR" w:eastAsia="en-US"/>
        </w:rPr>
        <w:t xml:space="preserve"> Banco</w:t>
      </w:r>
      <w:r w:rsidRPr="005E3EEB">
        <w:rPr>
          <w:rFonts w:ascii="Times New Roman" w:eastAsia="Calibri" w:hAnsi="Times New Roman" w:cs="Times New Roman"/>
          <w:color w:val="auto"/>
          <w:lang w:val="pt-BR" w:eastAsia="en-US"/>
        </w:rPr>
        <w:t xml:space="preserve"> Bradesco</w:t>
      </w:r>
      <w:r>
        <w:rPr>
          <w:rFonts w:ascii="Times New Roman" w:eastAsia="Calibri" w:hAnsi="Times New Roman" w:cs="Times New Roman"/>
          <w:color w:val="auto"/>
          <w:lang w:val="pt-BR" w:eastAsia="en-US"/>
        </w:rPr>
        <w:t xml:space="preserve"> S/A</w:t>
      </w:r>
      <w:r w:rsidRPr="005E3EEB">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e dispensada imotivadamente, inobservando o quanto disposto no Decreto estadual nº 21.325/91 - que estendia</w:t>
      </w:r>
      <w:r w:rsidRPr="00100B6C">
        <w:rPr>
          <w:rFonts w:ascii="Times New Roman" w:eastAsia="Calibri" w:hAnsi="Times New Roman" w:cs="Times New Roman"/>
          <w:color w:val="auto"/>
          <w:lang w:val="pt-BR" w:eastAsia="en-US"/>
        </w:rPr>
        <w:t xml:space="preserve"> aos entes da Administração Pública indireta</w:t>
      </w:r>
      <w:r>
        <w:rPr>
          <w:rFonts w:ascii="Times New Roman" w:eastAsia="Calibri" w:hAnsi="Times New Roman" w:cs="Times New Roman"/>
          <w:color w:val="auto"/>
          <w:lang w:val="pt-BR" w:eastAsia="en-US"/>
        </w:rPr>
        <w:t xml:space="preserve"> estadual</w:t>
      </w:r>
      <w:r w:rsidRPr="00100B6C">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o dever de motivar o ato de dispensa de seus empregados. Referido decreto afigura-se ilegal, pois não </w:t>
      </w:r>
      <w:r w:rsidRPr="0021224A">
        <w:rPr>
          <w:rFonts w:ascii="Times New Roman" w:eastAsia="Calibri" w:hAnsi="Times New Roman" w:cs="Times New Roman"/>
          <w:color w:val="auto"/>
          <w:lang w:val="pt-BR" w:eastAsia="en-US"/>
        </w:rPr>
        <w:t>pode</w:t>
      </w:r>
      <w:r>
        <w:rPr>
          <w:rFonts w:ascii="Times New Roman" w:eastAsia="Calibri" w:hAnsi="Times New Roman" w:cs="Times New Roman"/>
          <w:color w:val="auto"/>
          <w:lang w:val="pt-BR" w:eastAsia="en-US"/>
        </w:rPr>
        <w:t>ria</w:t>
      </w:r>
      <w:r w:rsidRPr="0021224A">
        <w:rPr>
          <w:rFonts w:ascii="Times New Roman" w:eastAsia="Calibri" w:hAnsi="Times New Roman" w:cs="Times New Roman"/>
          <w:color w:val="auto"/>
          <w:lang w:val="pt-BR" w:eastAsia="en-US"/>
        </w:rPr>
        <w:t xml:space="preserve"> o Estado</w:t>
      </w:r>
      <w:r>
        <w:rPr>
          <w:rFonts w:ascii="Times New Roman" w:eastAsia="Calibri" w:hAnsi="Times New Roman" w:cs="Times New Roman"/>
          <w:color w:val="auto"/>
          <w:lang w:val="pt-BR" w:eastAsia="en-US"/>
        </w:rPr>
        <w:t xml:space="preserve"> do Ceará</w:t>
      </w:r>
      <w:r w:rsidRPr="0021224A">
        <w:rPr>
          <w:rFonts w:ascii="Times New Roman" w:eastAsia="Calibri" w:hAnsi="Times New Roman" w:cs="Times New Roman"/>
          <w:color w:val="auto"/>
          <w:lang w:val="pt-BR" w:eastAsia="en-US"/>
        </w:rPr>
        <w:t>, unilateralmen</w:t>
      </w:r>
      <w:r>
        <w:rPr>
          <w:rFonts w:ascii="Times New Roman" w:eastAsia="Calibri" w:hAnsi="Times New Roman" w:cs="Times New Roman"/>
          <w:color w:val="auto"/>
          <w:lang w:val="pt-BR" w:eastAsia="en-US"/>
        </w:rPr>
        <w:t>te, exorbitando da condição de a</w:t>
      </w:r>
      <w:r w:rsidRPr="0021224A">
        <w:rPr>
          <w:rFonts w:ascii="Times New Roman" w:eastAsia="Calibri" w:hAnsi="Times New Roman" w:cs="Times New Roman"/>
          <w:color w:val="auto"/>
          <w:lang w:val="pt-BR" w:eastAsia="en-US"/>
        </w:rPr>
        <w:t xml:space="preserve">cionista </w:t>
      </w:r>
      <w:r>
        <w:rPr>
          <w:rFonts w:ascii="Times New Roman" w:eastAsia="Calibri" w:hAnsi="Times New Roman" w:cs="Times New Roman"/>
          <w:color w:val="auto"/>
          <w:lang w:val="pt-BR" w:eastAsia="en-US"/>
        </w:rPr>
        <w:t>c</w:t>
      </w:r>
      <w:r w:rsidRPr="0021224A">
        <w:rPr>
          <w:rFonts w:ascii="Times New Roman" w:eastAsia="Calibri" w:hAnsi="Times New Roman" w:cs="Times New Roman"/>
          <w:color w:val="auto"/>
          <w:lang w:val="pt-BR" w:eastAsia="en-US"/>
        </w:rPr>
        <w:t>ontrolador,</w:t>
      </w:r>
      <w:r>
        <w:rPr>
          <w:rFonts w:ascii="Times New Roman" w:eastAsia="Calibri" w:hAnsi="Times New Roman" w:cs="Times New Roman"/>
          <w:color w:val="auto"/>
          <w:lang w:val="pt-BR" w:eastAsia="en-US"/>
        </w:rPr>
        <w:t xml:space="preserve"> ao arrepio da Lei nº 6.404/76,</w:t>
      </w:r>
      <w:r w:rsidRPr="0021224A">
        <w:rPr>
          <w:rFonts w:ascii="Times New Roman" w:eastAsia="Calibri" w:hAnsi="Times New Roman" w:cs="Times New Roman"/>
          <w:color w:val="auto"/>
          <w:lang w:val="pt-BR" w:eastAsia="en-US"/>
        </w:rPr>
        <w:t xml:space="preserve"> sobrepor-se aos órgãos de administração da </w:t>
      </w:r>
      <w:r>
        <w:rPr>
          <w:rFonts w:ascii="Times New Roman" w:eastAsia="Calibri" w:hAnsi="Times New Roman" w:cs="Times New Roman"/>
          <w:color w:val="auto"/>
          <w:lang w:val="pt-BR" w:eastAsia="en-US"/>
        </w:rPr>
        <w:t>Sociedade Anônima</w:t>
      </w:r>
      <w:r w:rsidRPr="0021224A">
        <w:rPr>
          <w:rFonts w:ascii="Times New Roman" w:eastAsia="Calibri" w:hAnsi="Times New Roman" w:cs="Times New Roman"/>
          <w:color w:val="auto"/>
          <w:lang w:val="pt-BR" w:eastAsia="en-US"/>
        </w:rPr>
        <w:t xml:space="preserve"> e criar</w:t>
      </w:r>
      <w:r>
        <w:rPr>
          <w:rFonts w:ascii="Times New Roman" w:eastAsia="Calibri" w:hAnsi="Times New Roman" w:cs="Times New Roman"/>
          <w:color w:val="auto"/>
          <w:lang w:val="pt-BR" w:eastAsia="en-US"/>
        </w:rPr>
        <w:t>, mediante decreto,</w:t>
      </w:r>
      <w:r w:rsidRPr="0021224A">
        <w:rPr>
          <w:rFonts w:ascii="Times New Roman" w:eastAsia="Calibri" w:hAnsi="Times New Roman" w:cs="Times New Roman"/>
          <w:color w:val="auto"/>
          <w:lang w:val="pt-BR" w:eastAsia="en-US"/>
        </w:rPr>
        <w:t xml:space="preserve"> obrigação para</w:t>
      </w:r>
      <w:r>
        <w:rPr>
          <w:rFonts w:ascii="Times New Roman" w:eastAsia="Calibri" w:hAnsi="Times New Roman" w:cs="Times New Roman"/>
          <w:color w:val="auto"/>
          <w:lang w:val="pt-BR" w:eastAsia="en-US"/>
        </w:rPr>
        <w:t xml:space="preserve"> a</w:t>
      </w:r>
      <w:r w:rsidRPr="0021224A">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Companhia,</w:t>
      </w:r>
      <w:r w:rsidRPr="0021224A">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que detém personalidade jurídica própria. De outro lado, ainda que se desconsiderasse a manifesta ilegalidade, o decreto cuidava </w:t>
      </w:r>
      <w:r w:rsidRPr="00D93EC5">
        <w:rPr>
          <w:rFonts w:ascii="Times New Roman" w:eastAsia="Calibri" w:hAnsi="Times New Roman" w:cs="Times New Roman"/>
          <w:color w:val="auto"/>
          <w:lang w:val="pt-BR" w:eastAsia="en-US"/>
        </w:rPr>
        <w:t xml:space="preserve">de regra de </w:t>
      </w:r>
      <w:r>
        <w:rPr>
          <w:rFonts w:ascii="Times New Roman" w:eastAsia="Calibri" w:hAnsi="Times New Roman" w:cs="Times New Roman"/>
          <w:color w:val="auto"/>
          <w:lang w:val="pt-BR" w:eastAsia="en-US"/>
        </w:rPr>
        <w:t>D</w:t>
      </w:r>
      <w:r w:rsidRPr="00D93EC5">
        <w:rPr>
          <w:rFonts w:ascii="Times New Roman" w:eastAsia="Calibri" w:hAnsi="Times New Roman" w:cs="Times New Roman"/>
          <w:color w:val="auto"/>
          <w:lang w:val="pt-BR" w:eastAsia="en-US"/>
        </w:rPr>
        <w:t xml:space="preserve">ireito </w:t>
      </w:r>
      <w:r>
        <w:rPr>
          <w:rFonts w:ascii="Times New Roman" w:eastAsia="Calibri" w:hAnsi="Times New Roman" w:cs="Times New Roman"/>
          <w:color w:val="auto"/>
          <w:lang w:val="pt-BR" w:eastAsia="en-US"/>
        </w:rPr>
        <w:t>A</w:t>
      </w:r>
      <w:r w:rsidRPr="00D93EC5">
        <w:rPr>
          <w:rFonts w:ascii="Times New Roman" w:eastAsia="Calibri" w:hAnsi="Times New Roman" w:cs="Times New Roman"/>
          <w:color w:val="auto"/>
          <w:lang w:val="pt-BR" w:eastAsia="en-US"/>
        </w:rPr>
        <w:t>dministrativo por que dev</w:t>
      </w:r>
      <w:r>
        <w:rPr>
          <w:rFonts w:ascii="Times New Roman" w:eastAsia="Calibri" w:hAnsi="Times New Roman" w:cs="Times New Roman"/>
          <w:color w:val="auto"/>
          <w:lang w:val="pt-BR" w:eastAsia="en-US"/>
        </w:rPr>
        <w:t>eria</w:t>
      </w:r>
      <w:r w:rsidRPr="00D93EC5">
        <w:rPr>
          <w:rFonts w:ascii="Times New Roman" w:eastAsia="Calibri" w:hAnsi="Times New Roman" w:cs="Times New Roman"/>
          <w:color w:val="auto"/>
          <w:lang w:val="pt-BR" w:eastAsia="en-US"/>
        </w:rPr>
        <w:t xml:space="preserve"> pautar-se “órgão administrativo” que prati</w:t>
      </w:r>
      <w:r>
        <w:rPr>
          <w:rFonts w:ascii="Times New Roman" w:eastAsia="Calibri" w:hAnsi="Times New Roman" w:cs="Times New Roman"/>
          <w:color w:val="auto"/>
          <w:lang w:val="pt-BR" w:eastAsia="en-US"/>
        </w:rPr>
        <w:t>casse</w:t>
      </w:r>
      <w:r w:rsidRPr="00D93EC5">
        <w:rPr>
          <w:rFonts w:ascii="Times New Roman" w:eastAsia="Calibri" w:hAnsi="Times New Roman" w:cs="Times New Roman"/>
          <w:color w:val="auto"/>
          <w:lang w:val="pt-BR" w:eastAsia="en-US"/>
        </w:rPr>
        <w:t>, como tal, “atos administrativos”</w:t>
      </w:r>
      <w:r>
        <w:rPr>
          <w:rFonts w:ascii="Times New Roman" w:eastAsia="Calibri" w:hAnsi="Times New Roman" w:cs="Times New Roman"/>
          <w:color w:val="auto"/>
          <w:lang w:val="pt-BR" w:eastAsia="en-US"/>
        </w:rPr>
        <w:t xml:space="preserve">, não havendo como transpor para o banco privado sucessor obrigações decorrentes de tal regra. Ademais, todas as obrigações de índole trabalhista impostas ao ente público sucedido, nesta qualidade, mediante fonte heterônoma, mesmo impostas por lei, não se transmitem pela sucessão do empregador. Consumada a sucessão, dada a distinta natureza da personalidade jurídica do sucessor, rigorosamente o regime jurídico híbrido desaparece e sobrevém um empregador submetido a regime jurídico puramente privado. </w:t>
      </w:r>
      <w:r w:rsidRPr="00B214B5">
        <w:rPr>
          <w:rFonts w:ascii="Times New Roman" w:eastAsia="Calibri" w:hAnsi="Times New Roman" w:cs="Times New Roman"/>
          <w:color w:val="auto"/>
          <w:lang w:val="pt-BR" w:eastAsia="en-US"/>
        </w:rPr>
        <w:t>Sob esse entendimento,</w:t>
      </w:r>
      <w:r>
        <w:rPr>
          <w:rFonts w:ascii="Times New Roman" w:eastAsia="Calibri" w:hAnsi="Times New Roman" w:cs="Times New Roman"/>
          <w:color w:val="auto"/>
          <w:lang w:val="pt-BR" w:eastAsia="en-US"/>
        </w:rPr>
        <w:t xml:space="preserve"> decidiu</w:t>
      </w:r>
      <w:r w:rsidRPr="00B214B5">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o Tribunal Pleno, </w:t>
      </w:r>
      <w:r w:rsidRPr="006C2E99">
        <w:rPr>
          <w:rFonts w:ascii="Times New Roman" w:eastAsia="Calibri" w:hAnsi="Times New Roman" w:cs="Times New Roman"/>
          <w:color w:val="auto"/>
          <w:lang w:val="pt-BR" w:eastAsia="en-US"/>
        </w:rPr>
        <w:t xml:space="preserve">por unanimidade, conhecer do recurso de embargos, por divergência jurisprudencial, e, no mérito, por maioria, dar-lhe provimento para restabelecer o acórdão </w:t>
      </w:r>
      <w:r w:rsidRPr="001E1C67">
        <w:rPr>
          <w:rFonts w:ascii="Times New Roman" w:eastAsia="Calibri" w:hAnsi="Times New Roman" w:cs="Times New Roman"/>
          <w:color w:val="auto"/>
          <w:lang w:val="pt-BR" w:eastAsia="en-US"/>
        </w:rPr>
        <w:t xml:space="preserve">regional que </w:t>
      </w:r>
      <w:r>
        <w:rPr>
          <w:rFonts w:ascii="Times New Roman" w:eastAsia="Calibri" w:hAnsi="Times New Roman" w:cs="Times New Roman"/>
          <w:color w:val="auto"/>
          <w:lang w:val="pt-BR" w:eastAsia="en-US"/>
        </w:rPr>
        <w:t xml:space="preserve">rejeitou o pedido de </w:t>
      </w:r>
      <w:r w:rsidRPr="001E1C67">
        <w:rPr>
          <w:rFonts w:ascii="Times New Roman" w:eastAsia="Calibri" w:hAnsi="Times New Roman" w:cs="Times New Roman"/>
          <w:color w:val="auto"/>
          <w:lang w:val="pt-BR" w:eastAsia="en-US"/>
        </w:rPr>
        <w:t>reintegração</w:t>
      </w:r>
      <w:r>
        <w:rPr>
          <w:rFonts w:ascii="Times New Roman" w:eastAsia="Calibri" w:hAnsi="Times New Roman" w:cs="Times New Roman"/>
          <w:color w:val="auto"/>
          <w:lang w:val="pt-BR" w:eastAsia="en-US"/>
        </w:rPr>
        <w:t xml:space="preserve"> no emprego</w:t>
      </w:r>
      <w:r w:rsidRPr="001E1C67">
        <w:rPr>
          <w:rFonts w:ascii="Times New Roman" w:eastAsia="Calibri" w:hAnsi="Times New Roman" w:cs="Times New Roman"/>
          <w:color w:val="auto"/>
          <w:lang w:val="pt-BR" w:eastAsia="en-US"/>
        </w:rPr>
        <w:t>. Vencidos os Ministros Hugo Carlos Scheuerm</w:t>
      </w:r>
      <w:r w:rsidRPr="006C2E99">
        <w:rPr>
          <w:rFonts w:ascii="Times New Roman" w:eastAsia="Calibri" w:hAnsi="Times New Roman" w:cs="Times New Roman"/>
          <w:color w:val="auto"/>
          <w:lang w:val="pt-BR" w:eastAsia="en-US"/>
        </w:rPr>
        <w:t xml:space="preserve">ann, </w:t>
      </w:r>
      <w:r>
        <w:rPr>
          <w:rFonts w:ascii="Times New Roman" w:eastAsia="Calibri" w:hAnsi="Times New Roman" w:cs="Times New Roman"/>
          <w:color w:val="auto"/>
          <w:lang w:val="pt-BR" w:eastAsia="en-US"/>
        </w:rPr>
        <w:t>r</w:t>
      </w:r>
      <w:r w:rsidRPr="006C2E99">
        <w:rPr>
          <w:rFonts w:ascii="Times New Roman" w:eastAsia="Calibri" w:hAnsi="Times New Roman" w:cs="Times New Roman"/>
          <w:color w:val="auto"/>
          <w:lang w:val="pt-BR" w:eastAsia="en-US"/>
        </w:rPr>
        <w:t>elator, Maria Helena Mallmann, Maurício Godinho Delgado, Kátia Magalhães Arruda, Augusto César Leite de Carvalho, José Roberto Freire Pimenta, Delaíde Alves Miranda Arantes e Ives Gandra da Silva Martins Filho.</w:t>
      </w:r>
      <w:r>
        <w:rPr>
          <w:rFonts w:ascii="Times New Roman" w:eastAsia="Calibri" w:hAnsi="Times New Roman" w:cs="Times New Roman"/>
          <w:color w:val="auto"/>
          <w:lang w:val="pt-BR" w:eastAsia="en-US"/>
        </w:rPr>
        <w:t xml:space="preserve"> </w:t>
      </w:r>
      <w:hyperlink r:id="rId8" w:history="1">
        <w:r w:rsidRPr="008F2A15">
          <w:rPr>
            <w:rStyle w:val="Hyperlink"/>
            <w:rFonts w:ascii="Times New Roman" w:eastAsia="Calibri" w:hAnsi="Times New Roman"/>
            <w:lang w:val="pt-BR" w:eastAsia="en-US"/>
          </w:rPr>
          <w:t>TST-E-RR-44600-87.2008.5.07.0008</w:t>
        </w:r>
      </w:hyperlink>
      <w:r w:rsidRPr="00A35218">
        <w:rPr>
          <w:rFonts w:ascii="Times New Roman" w:eastAsia="Calibri" w:hAnsi="Times New Roman" w:cs="Times New Roman"/>
          <w:color w:val="auto"/>
          <w:u w:val="single"/>
          <w:lang w:val="pt-BR" w:eastAsia="en-US"/>
        </w:rPr>
        <w:t>, Tribunal Pleno, rel. Hugo Carlos Scheuermann, red. p/acórdão Min. João Oreste Dalazen, 25.8.2015</w:t>
      </w:r>
      <w:r>
        <w:rPr>
          <w:rFonts w:ascii="Times New Roman" w:eastAsia="Calibri" w:hAnsi="Times New Roman" w:cs="Times New Roman"/>
          <w:color w:val="auto"/>
          <w:u w:val="single"/>
          <w:lang w:val="pt-BR" w:eastAsia="en-US"/>
        </w:rPr>
        <w:t>.</w:t>
      </w:r>
    </w:p>
    <w:p w:rsidR="00B838C3" w:rsidRDefault="00B838C3" w:rsidP="00BC54BC">
      <w:pPr>
        <w:pStyle w:val="Corpo"/>
        <w:spacing w:line="240" w:lineRule="auto"/>
        <w:ind w:firstLine="0"/>
        <w:rPr>
          <w:rFonts w:ascii="Times New Roman" w:hAnsi="Times New Roman"/>
          <w:sz w:val="20"/>
          <w:szCs w:val="20"/>
          <w:u w:val="single"/>
          <w:lang w:val="pt-BR"/>
        </w:rPr>
      </w:pPr>
    </w:p>
    <w:p w:rsidR="00A00DEE" w:rsidRPr="00971E07" w:rsidRDefault="00A00DEE" w:rsidP="00A00DEE">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817AB1" w:rsidRDefault="00817AB1" w:rsidP="007D469A">
      <w:pPr>
        <w:pStyle w:val="Corpo"/>
        <w:spacing w:line="240" w:lineRule="auto"/>
        <w:ind w:firstLine="0"/>
        <w:rPr>
          <w:rFonts w:ascii="Times New Roman" w:hAnsi="Times New Roman"/>
          <w:u w:val="single"/>
          <w:lang w:val="pt-BR"/>
        </w:rPr>
      </w:pPr>
    </w:p>
    <w:p w:rsidR="00A35218" w:rsidRPr="00E02FB8" w:rsidRDefault="00A35218" w:rsidP="00A35218">
      <w:pPr>
        <w:jc w:val="both"/>
        <w:rPr>
          <w:b/>
          <w:i/>
          <w:sz w:val="24"/>
          <w:szCs w:val="24"/>
        </w:rPr>
      </w:pPr>
      <w:r w:rsidRPr="00E02FB8">
        <w:rPr>
          <w:b/>
          <w:i/>
          <w:sz w:val="24"/>
          <w:szCs w:val="24"/>
        </w:rPr>
        <w:t>SÚMULA Nº 422. NOVA REDAÇÃO ALCANCE E INTERPRETAÇÃO.</w:t>
      </w:r>
      <w:r>
        <w:rPr>
          <w:b/>
          <w:i/>
          <w:sz w:val="24"/>
          <w:szCs w:val="24"/>
        </w:rPr>
        <w:t xml:space="preserve"> </w:t>
      </w:r>
    </w:p>
    <w:p w:rsidR="00A35218" w:rsidRPr="00E02FB8" w:rsidRDefault="00A35218" w:rsidP="00A35218">
      <w:pPr>
        <w:jc w:val="both"/>
        <w:rPr>
          <w:rFonts w:eastAsia="Calibri"/>
          <w:sz w:val="24"/>
          <w:szCs w:val="24"/>
        </w:rPr>
      </w:pPr>
      <w:r w:rsidRPr="00E02FB8">
        <w:rPr>
          <w:rFonts w:eastAsia="Calibri"/>
          <w:sz w:val="24"/>
          <w:szCs w:val="24"/>
        </w:rPr>
        <w:t>A nova redação da Súmula nº 422 do T</w:t>
      </w:r>
      <w:r>
        <w:rPr>
          <w:rFonts w:eastAsia="Calibri"/>
          <w:sz w:val="24"/>
          <w:szCs w:val="24"/>
        </w:rPr>
        <w:t xml:space="preserve">ribunal </w:t>
      </w:r>
      <w:r w:rsidRPr="00E02FB8">
        <w:rPr>
          <w:rFonts w:eastAsia="Calibri"/>
          <w:sz w:val="24"/>
          <w:szCs w:val="24"/>
        </w:rPr>
        <w:t>S</w:t>
      </w:r>
      <w:r>
        <w:rPr>
          <w:rFonts w:eastAsia="Calibri"/>
          <w:sz w:val="24"/>
          <w:szCs w:val="24"/>
        </w:rPr>
        <w:t xml:space="preserve">uperior do </w:t>
      </w:r>
      <w:r w:rsidRPr="00E02FB8">
        <w:rPr>
          <w:rFonts w:eastAsia="Calibri"/>
          <w:sz w:val="24"/>
          <w:szCs w:val="24"/>
        </w:rPr>
        <w:t>T</w:t>
      </w:r>
      <w:r>
        <w:rPr>
          <w:rFonts w:eastAsia="Calibri"/>
          <w:sz w:val="24"/>
          <w:szCs w:val="24"/>
        </w:rPr>
        <w:t>rabalho</w:t>
      </w:r>
      <w:r w:rsidRPr="00E02FB8">
        <w:rPr>
          <w:rFonts w:eastAsia="Calibri"/>
          <w:sz w:val="24"/>
          <w:szCs w:val="24"/>
        </w:rPr>
        <w:t xml:space="preserve"> alinha-se aos princípios da celeridade e economia processual e do máximo aproveitamento dos atos processuais praticados, prestigia a garantia constitucional de acesso à justiça (art. 5º, XXXV, CF) e confere efetividade à outorga da prestação jurisdicional ao mitigar a exacerbação da forma em detrimento do alcance da jurisdição plena. </w:t>
      </w:r>
      <w:r>
        <w:rPr>
          <w:rFonts w:eastAsia="Calibri"/>
          <w:sz w:val="24"/>
          <w:szCs w:val="24"/>
        </w:rPr>
        <w:t>Assim</w:t>
      </w:r>
      <w:r w:rsidRPr="00E02FB8">
        <w:rPr>
          <w:rFonts w:eastAsia="Calibri"/>
          <w:sz w:val="24"/>
          <w:szCs w:val="24"/>
        </w:rPr>
        <w:t xml:space="preserve">, veio aclarar o real sentido da exigência de fundamentação, atrelando-a à efetiva </w:t>
      </w:r>
      <w:r w:rsidRPr="00550777">
        <w:rPr>
          <w:rFonts w:eastAsia="Calibri"/>
          <w:i/>
          <w:sz w:val="24"/>
          <w:szCs w:val="24"/>
        </w:rPr>
        <w:t>ratio decidendi</w:t>
      </w:r>
      <w:r w:rsidRPr="00E02FB8">
        <w:rPr>
          <w:rFonts w:eastAsia="Calibri"/>
          <w:sz w:val="24"/>
          <w:szCs w:val="24"/>
        </w:rPr>
        <w:t xml:space="preserve"> da decisão recorrida, dissociada de qualquer motivação secundária e/ou impertinente, afastando-se o rigor formalístico que visa obstaculizar o seguimento de recursos, sob a pecha de ausência de fundamentação, de forma indiscriminada e sem qualquer critério de razoabilidade. No caso, </w:t>
      </w:r>
      <w:r>
        <w:rPr>
          <w:rFonts w:eastAsia="Calibri"/>
          <w:sz w:val="24"/>
          <w:szCs w:val="24"/>
        </w:rPr>
        <w:t xml:space="preserve">a egrégia Sexta Turma do TST, ao reputar desfundamentado o agravo </w:t>
      </w:r>
      <w:r>
        <w:rPr>
          <w:rFonts w:eastAsia="Calibri"/>
          <w:sz w:val="24"/>
          <w:szCs w:val="24"/>
        </w:rPr>
        <w:lastRenderedPageBreak/>
        <w:t>interposto pelo reclamante, negou-lhe provimento sob o entendimento de que “</w:t>
      </w:r>
      <w:r w:rsidRPr="00923884">
        <w:rPr>
          <w:rFonts w:eastAsia="Calibri"/>
          <w:sz w:val="24"/>
          <w:szCs w:val="24"/>
        </w:rPr>
        <w:t>O reclamante não impugnou o fundamen</w:t>
      </w:r>
      <w:r>
        <w:rPr>
          <w:rFonts w:eastAsia="Calibri"/>
          <w:sz w:val="24"/>
          <w:szCs w:val="24"/>
        </w:rPr>
        <w:t>to da decisão agravada</w:t>
      </w:r>
      <w:r w:rsidRPr="00923884">
        <w:rPr>
          <w:rFonts w:eastAsia="Calibri"/>
          <w:sz w:val="24"/>
          <w:szCs w:val="24"/>
        </w:rPr>
        <w:t>, a qual determinou a remessa dos autos à 1ª Vara Empresarial do Rio de Janeiro em face da decisão proferida pelo STJ nos autos de conflito de competência nº 99.382/RJ, devidamente juntados às fls. 877-879 e fls. 893-893v.</w:t>
      </w:r>
      <w:r>
        <w:rPr>
          <w:rFonts w:eastAsia="Calibri"/>
          <w:sz w:val="24"/>
          <w:szCs w:val="24"/>
        </w:rPr>
        <w:t xml:space="preserve"> </w:t>
      </w:r>
      <w:r w:rsidRPr="00923884">
        <w:rPr>
          <w:rFonts w:eastAsia="Calibri"/>
          <w:sz w:val="24"/>
          <w:szCs w:val="24"/>
        </w:rPr>
        <w:t>Ao contrário, limita-se a articular que o Regional reconheceu ter ele trabalhado para a VRG Linhas Aéreas S.A., pois seu contrato de trabalho foi rescindido por aquela empresa, e não pela antiga Varig S.A. – Viação Aérea Rio-grandense. Não apresentou violação de dispositivos de lei ou constitucional, tampouco colacionou arestos para confronto jurisprudencial.</w:t>
      </w:r>
      <w:r>
        <w:rPr>
          <w:rFonts w:eastAsia="Calibri"/>
          <w:sz w:val="24"/>
          <w:szCs w:val="24"/>
        </w:rPr>
        <w:t xml:space="preserve"> Cabia ao agravante infirmar, de forma expressa, todos os fundamentos da decisão denegatória, de modo a apresentar argumentos os quais viabilizassem o processamento do recurso de revista, combatendo todos os fundamentos específicos da decisão agravada. A jurisprudência dominante desta Corte (Súmula 422) e a do STF (Súmula 283) são assentes em considerar inadmissível o recurso que não abrange todos os fundamentos da decisão recorrida. Assim, não preenchido o requisito fixado pelo art. 514, II, do CPC, o recurso não atende ao pressuposto extrínseco da adequação, nos termos da Súmula 422 do TST.” </w:t>
      </w:r>
      <w:r w:rsidRPr="00E02FB8">
        <w:rPr>
          <w:rFonts w:eastAsia="Calibri"/>
          <w:sz w:val="24"/>
          <w:szCs w:val="24"/>
        </w:rPr>
        <w:t xml:space="preserve">A SBDI-I, ao apreciar os embargos interpostos pelo reclamante, </w:t>
      </w:r>
      <w:r>
        <w:rPr>
          <w:rFonts w:eastAsia="Calibri"/>
          <w:sz w:val="24"/>
          <w:szCs w:val="24"/>
        </w:rPr>
        <w:t xml:space="preserve">concluiu que atende ao pressuposto extrínseco de admissibilidade concernente à fundamentação o agravo em que se infirma precisa e pontualmente o único motivo da decisão impugnada: </w:t>
      </w:r>
      <w:r w:rsidRPr="00923884">
        <w:rPr>
          <w:rFonts w:eastAsia="Calibri"/>
          <w:sz w:val="24"/>
          <w:szCs w:val="24"/>
        </w:rPr>
        <w:t>repercussão, no caso concreto, de superveniente decisão proferida no âmbito do Superior Tribunal de Justiça, em sede de Conflito de Competência, em favor da Justiça Comum estadual.</w:t>
      </w:r>
      <w:r>
        <w:rPr>
          <w:rFonts w:eastAsia="Calibri"/>
          <w:sz w:val="24"/>
          <w:szCs w:val="24"/>
        </w:rPr>
        <w:t xml:space="preserve"> </w:t>
      </w:r>
      <w:r w:rsidRPr="00E02FB8">
        <w:rPr>
          <w:rFonts w:eastAsia="Calibri"/>
          <w:sz w:val="24"/>
          <w:szCs w:val="24"/>
        </w:rPr>
        <w:t xml:space="preserve">Sob esses fundamentos, a SBDI-I, por unanimidade, conheceu dos embargos, por contrariedade à atual redação da Súmula nº 422, I, do TST, e, no mérito, deu-lhes provimento para determinar o retorno dos autos à Eg. Sexta Turma do TST, a fim de que, superada a ausência de fundamentação, julgue o agravo interposto pelo reclamante, como entender de direito. </w:t>
      </w:r>
      <w:hyperlink r:id="rId9" w:history="1">
        <w:r w:rsidRPr="009A6B20">
          <w:rPr>
            <w:rStyle w:val="Hyperlink"/>
            <w:rFonts w:eastAsia="Calibri"/>
            <w:sz w:val="24"/>
            <w:szCs w:val="24"/>
          </w:rPr>
          <w:t>TST-E-Ag-RR-125100-32.2006.5.01.0056</w:t>
        </w:r>
      </w:hyperlink>
      <w:r w:rsidRPr="009A6B20">
        <w:rPr>
          <w:rFonts w:eastAsia="Calibri"/>
          <w:sz w:val="24"/>
          <w:szCs w:val="24"/>
          <w:u w:val="single"/>
        </w:rPr>
        <w:t>, SBDI-I, rel. Min. João Oreste Dalazen, 27</w:t>
      </w:r>
      <w:r>
        <w:rPr>
          <w:rFonts w:eastAsia="Calibri"/>
          <w:sz w:val="24"/>
          <w:szCs w:val="24"/>
          <w:u w:val="single"/>
        </w:rPr>
        <w:t>.</w:t>
      </w:r>
      <w:r w:rsidRPr="009A6B20">
        <w:rPr>
          <w:rFonts w:eastAsia="Calibri"/>
          <w:sz w:val="24"/>
          <w:szCs w:val="24"/>
          <w:u w:val="single"/>
        </w:rPr>
        <w:t>8.2015</w:t>
      </w:r>
      <w:r w:rsidRPr="00E02FB8">
        <w:rPr>
          <w:rFonts w:eastAsia="Calibri"/>
          <w:sz w:val="24"/>
          <w:szCs w:val="24"/>
        </w:rPr>
        <w:t xml:space="preserve"> </w:t>
      </w:r>
    </w:p>
    <w:p w:rsidR="00CC6BEC" w:rsidRDefault="00CC6BEC" w:rsidP="007D469A">
      <w:pPr>
        <w:pStyle w:val="Corpo"/>
        <w:spacing w:line="240" w:lineRule="auto"/>
        <w:ind w:firstLine="0"/>
        <w:rPr>
          <w:rFonts w:ascii="Times New Roman" w:hAnsi="Times New Roman"/>
          <w:u w:val="single"/>
          <w:lang w:val="pt-BR"/>
        </w:rPr>
      </w:pPr>
    </w:p>
    <w:p w:rsidR="00A35218" w:rsidRDefault="00A35218" w:rsidP="00A35218">
      <w:pPr>
        <w:jc w:val="both"/>
        <w:rPr>
          <w:b/>
          <w:i/>
          <w:sz w:val="24"/>
          <w:szCs w:val="24"/>
        </w:rPr>
      </w:pPr>
      <w:r>
        <w:rPr>
          <w:b/>
          <w:i/>
          <w:sz w:val="24"/>
          <w:szCs w:val="24"/>
        </w:rPr>
        <w:t xml:space="preserve">Caixa Econômica Federal – CEF. Horas extraordinárias. Gerente bancário. Jornada de seis horas assegurada mediante norma interna. Alteração da jornada para oito horas por força do </w:t>
      </w:r>
      <w:r w:rsidRPr="00210A07">
        <w:rPr>
          <w:b/>
          <w:i/>
          <w:sz w:val="24"/>
          <w:szCs w:val="24"/>
        </w:rPr>
        <w:t xml:space="preserve">Plano de Cargos em Comissão de </w:t>
      </w:r>
      <w:r>
        <w:rPr>
          <w:b/>
          <w:i/>
          <w:sz w:val="24"/>
          <w:szCs w:val="24"/>
        </w:rPr>
        <w:t xml:space="preserve">1998. Prescrição parcial. </w:t>
      </w:r>
    </w:p>
    <w:p w:rsidR="00A35218" w:rsidRPr="00B2744E" w:rsidRDefault="00A35218" w:rsidP="00A35218">
      <w:pPr>
        <w:pStyle w:val="Corpo"/>
        <w:spacing w:line="240" w:lineRule="auto"/>
        <w:ind w:firstLine="0"/>
        <w:rPr>
          <w:rFonts w:ascii="Times New Roman" w:hAnsi="Times New Roman"/>
          <w:u w:val="single"/>
          <w:lang w:val="pt-BR"/>
        </w:rPr>
      </w:pPr>
      <w:r>
        <w:rPr>
          <w:rFonts w:ascii="Times New Roman" w:eastAsia="Calibri" w:hAnsi="Times New Roman" w:cs="Times New Roman"/>
          <w:color w:val="auto"/>
          <w:lang w:val="pt-BR" w:eastAsia="en-US"/>
        </w:rPr>
        <w:t xml:space="preserve">Incide a prescrição parcial, nos termos da parte final da Súmula nº 294 do Tribunal Superior do Trabalho, sobre a pretensão de horas extraordinárias decorrentes de alteração unilateral da jornada de trabalho aplicável aos bancários ocupantes de cargo de confiança (de seis para oito horas diárias) em virtude </w:t>
      </w:r>
      <w:r w:rsidRPr="00210A07">
        <w:rPr>
          <w:rFonts w:ascii="Times New Roman" w:eastAsia="Calibri" w:hAnsi="Times New Roman" w:cs="Times New Roman"/>
          <w:color w:val="auto"/>
          <w:lang w:val="pt-BR" w:eastAsia="en-US"/>
        </w:rPr>
        <w:t xml:space="preserve">do </w:t>
      </w:r>
      <w:r>
        <w:rPr>
          <w:rFonts w:ascii="Times New Roman" w:eastAsia="Calibri" w:hAnsi="Times New Roman" w:cs="Times New Roman"/>
          <w:color w:val="auto"/>
          <w:lang w:val="pt-BR" w:eastAsia="en-US"/>
        </w:rPr>
        <w:t xml:space="preserve">novo </w:t>
      </w:r>
      <w:r w:rsidRPr="00210A07">
        <w:rPr>
          <w:rFonts w:ascii="Times New Roman" w:eastAsia="Calibri" w:hAnsi="Times New Roman" w:cs="Times New Roman"/>
          <w:color w:val="auto"/>
          <w:lang w:val="pt-BR" w:eastAsia="en-US"/>
        </w:rPr>
        <w:t xml:space="preserve">Plano de Cargos em Comissão instituído pela Caixa Econômica Federal em 1998, pois configurada lesão de trato </w:t>
      </w:r>
      <w:r>
        <w:rPr>
          <w:rFonts w:ascii="Times New Roman" w:eastAsia="Calibri" w:hAnsi="Times New Roman" w:cs="Times New Roman"/>
          <w:color w:val="auto"/>
          <w:lang w:val="pt-BR" w:eastAsia="en-US"/>
        </w:rPr>
        <w:t>sucessivo a direito que está fundamentado em preceito de lei, qual seja jornada prevista no artigo 224 da CLT. Sob</w:t>
      </w:r>
      <w:r w:rsidRPr="00A46212">
        <w:rPr>
          <w:rFonts w:ascii="Times New Roman" w:hAnsi="Times New Roman"/>
          <w:lang w:val="pt-BR"/>
        </w:rPr>
        <w:t xml:space="preserve"> esses fundamentos, a SBDI-I, por unanimidade, conheceu dos embargos por contrariedade à Súmula nº 294 e, no mérito, por maioria, deu-lhes provimento para afastar a prescrição total, aplicando-se ao caso a prescrição parcial quanto ao pagamento de horas extraordinárias em razão da alteração do plano de cargos e comissões e determinar o retorno dos autos à egrégia 3ª Turma para que prossiga no julgamento dos recursos de revista, como entender de direito. </w:t>
      </w:r>
      <w:r w:rsidRPr="00955130">
        <w:rPr>
          <w:rFonts w:ascii="Times New Roman" w:hAnsi="Times New Roman"/>
          <w:lang w:val="pt-BR"/>
        </w:rPr>
        <w:t>Vencidos os Ministros João Oreste Dalazen, Ant</w:t>
      </w:r>
      <w:r>
        <w:rPr>
          <w:rFonts w:ascii="Times New Roman" w:hAnsi="Times New Roman"/>
          <w:lang w:val="pt-BR"/>
        </w:rPr>
        <w:t xml:space="preserve">onio José de </w:t>
      </w:r>
      <w:r w:rsidRPr="00955130">
        <w:rPr>
          <w:rFonts w:ascii="Times New Roman" w:hAnsi="Times New Roman"/>
          <w:lang w:val="pt-BR"/>
        </w:rPr>
        <w:t xml:space="preserve">Barros Levenhagen e Renato de Lacerda Paiva. </w:t>
      </w:r>
      <w:r w:rsidRPr="00B2744E">
        <w:rPr>
          <w:rFonts w:ascii="Times New Roman" w:hAnsi="Times New Roman"/>
          <w:lang w:val="pt-BR"/>
        </w:rPr>
        <w:t xml:space="preserve">Ressalva de entendimento do Ministro Márcio Eurico Vitral Amaro. </w:t>
      </w:r>
      <w:hyperlink r:id="rId10" w:history="1">
        <w:r w:rsidRPr="008F2A15">
          <w:rPr>
            <w:rStyle w:val="Hyperlink"/>
            <w:rFonts w:ascii="Times New Roman" w:hAnsi="Times New Roman" w:cs="Courier New"/>
            <w:lang w:val="pt-BR"/>
          </w:rPr>
          <w:t>TST-E-RR-33000-71.2008.5.04.0002</w:t>
        </w:r>
      </w:hyperlink>
      <w:r w:rsidRPr="00B2744E">
        <w:rPr>
          <w:rFonts w:ascii="Times New Roman" w:hAnsi="Times New Roman"/>
          <w:u w:val="single"/>
          <w:lang w:val="pt-BR"/>
        </w:rPr>
        <w:t>, SBDI-I, rel. Min. Caputo Bastos, 27.8.2015.</w:t>
      </w:r>
    </w:p>
    <w:p w:rsidR="00CC743B" w:rsidRDefault="00CC743B" w:rsidP="00D73575">
      <w:pPr>
        <w:pStyle w:val="Corpo"/>
        <w:spacing w:line="240" w:lineRule="auto"/>
        <w:ind w:firstLine="0"/>
        <w:rPr>
          <w:rFonts w:ascii="Times New Roman" w:hAnsi="Times New Roman" w:cs="Times New Roman"/>
          <w:u w:val="single"/>
          <w:lang w:val="pt-BR"/>
        </w:rPr>
      </w:pPr>
    </w:p>
    <w:p w:rsidR="00CC743B" w:rsidRDefault="00CC743B" w:rsidP="00D73575">
      <w:pPr>
        <w:pStyle w:val="Corpo"/>
        <w:spacing w:line="240" w:lineRule="auto"/>
        <w:ind w:firstLine="0"/>
        <w:rPr>
          <w:rFonts w:ascii="Times New Roman" w:hAnsi="Times New Roman" w:cs="Times New Roman"/>
          <w:u w:val="single"/>
          <w:lang w:val="pt-BR"/>
        </w:rPr>
      </w:pPr>
    </w:p>
    <w:p w:rsidR="00FB6188" w:rsidRPr="00971E07" w:rsidRDefault="00FB6188" w:rsidP="00FB6188">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CC743B" w:rsidRDefault="00CC743B" w:rsidP="00D73575">
      <w:pPr>
        <w:pStyle w:val="Corpo"/>
        <w:spacing w:line="240" w:lineRule="auto"/>
        <w:ind w:firstLine="0"/>
        <w:rPr>
          <w:rFonts w:ascii="Times New Roman" w:hAnsi="Times New Roman" w:cs="Times New Roman"/>
          <w:u w:val="single"/>
          <w:lang w:val="pt-BR"/>
        </w:rPr>
      </w:pPr>
    </w:p>
    <w:p w:rsidR="00CC6BEC" w:rsidRDefault="00CC6BEC" w:rsidP="00D73575">
      <w:pPr>
        <w:pStyle w:val="Corpo"/>
        <w:spacing w:line="240" w:lineRule="auto"/>
        <w:ind w:firstLine="0"/>
        <w:rPr>
          <w:rFonts w:ascii="Times New Roman" w:hAnsi="Times New Roman" w:cs="Times New Roman"/>
          <w:u w:val="single"/>
          <w:lang w:val="pt-BR"/>
        </w:rPr>
      </w:pPr>
    </w:p>
    <w:p w:rsidR="00A35218" w:rsidRPr="008F2A15" w:rsidRDefault="00A35218" w:rsidP="008F2A15">
      <w:pPr>
        <w:jc w:val="both"/>
        <w:rPr>
          <w:b/>
          <w:i/>
          <w:sz w:val="24"/>
          <w:szCs w:val="24"/>
        </w:rPr>
      </w:pPr>
      <w:r w:rsidRPr="008F2A15">
        <w:rPr>
          <w:b/>
          <w:i/>
          <w:sz w:val="24"/>
          <w:szCs w:val="24"/>
        </w:rPr>
        <w:t xml:space="preserve">Recurso ordinário em mandado de segurança. Antecipação de tutela. Reintegração ao emprego. Trabalhadora dispensada logo após retornar de afastamento previdenciário. Ato da empresa tido como tratamento discriminatório. Exercício abusivo do direito. Inexistência de direito líquido e certo à cassação da decisão antecipatória. </w:t>
      </w:r>
    </w:p>
    <w:p w:rsidR="00A35218" w:rsidRPr="008F2A15" w:rsidRDefault="00A35218" w:rsidP="008F2A15">
      <w:pPr>
        <w:pStyle w:val="Corpo"/>
        <w:spacing w:line="240" w:lineRule="auto"/>
        <w:ind w:firstLine="0"/>
        <w:rPr>
          <w:rFonts w:ascii="Times New Roman" w:eastAsia="Calibri" w:hAnsi="Times New Roman" w:cs="Times New Roman"/>
          <w:color w:val="auto"/>
          <w:u w:val="single"/>
          <w:lang w:val="pt-BR" w:eastAsia="en-US"/>
        </w:rPr>
      </w:pPr>
      <w:r>
        <w:rPr>
          <w:rFonts w:ascii="Times New Roman" w:eastAsia="Calibri" w:hAnsi="Times New Roman" w:cs="Times New Roman"/>
          <w:color w:val="auto"/>
          <w:lang w:val="pt-BR" w:eastAsia="en-US"/>
        </w:rPr>
        <w:lastRenderedPageBreak/>
        <w:t xml:space="preserve">Recurso ordinário em mandado de segurança impetrado contra decisão interlocutória de antecipação </w:t>
      </w:r>
      <w:r w:rsidRPr="00680429">
        <w:rPr>
          <w:rFonts w:ascii="Times New Roman" w:eastAsia="Calibri" w:hAnsi="Times New Roman" w:cs="Times New Roman"/>
          <w:color w:val="auto"/>
          <w:lang w:val="pt-BR" w:eastAsia="en-US"/>
        </w:rPr>
        <w:t>dos efeitos</w:t>
      </w:r>
      <w:r>
        <w:rPr>
          <w:rFonts w:ascii="Times New Roman" w:eastAsia="Calibri" w:hAnsi="Times New Roman" w:cs="Times New Roman"/>
          <w:color w:val="auto"/>
          <w:lang w:val="pt-BR" w:eastAsia="en-US"/>
        </w:rPr>
        <w:t xml:space="preserve"> da tutela, na qual determinada a reintegração de empregada dispensada sem justa causa vinte e um dias após retornar de licença para tratamento de saúde. </w:t>
      </w:r>
      <w:r w:rsidRPr="005114A5">
        <w:rPr>
          <w:rFonts w:ascii="Times New Roman" w:eastAsia="Calibri" w:hAnsi="Times New Roman" w:cs="Times New Roman"/>
          <w:color w:val="auto"/>
          <w:lang w:val="pt-BR" w:eastAsia="en-US"/>
        </w:rPr>
        <w:t xml:space="preserve">O </w:t>
      </w:r>
      <w:r>
        <w:rPr>
          <w:rFonts w:ascii="Times New Roman" w:eastAsia="Calibri" w:hAnsi="Times New Roman" w:cs="Times New Roman"/>
          <w:color w:val="auto"/>
          <w:lang w:val="pt-BR" w:eastAsia="en-US"/>
        </w:rPr>
        <w:t xml:space="preserve">ato tido como coator foi exarado com fundamento na possível conduta discriminatória da empresa, que rompeu o vínculo empregatício tão logo a empregada recebeu alta do INSS, após recuperação de suposto acidente sofrido nas dependências da empresa. A ideia central da dignidade da pessoa humana, tal como referida no Texto Constitucional, não se compadece com tratamentos discriminatórios. O exercício abusivo do direito de rescisão do contrato de trabalho, porque ilícito, não pode produzir efeitos válidos. Ademais, não obstante a empresa tenha de suportar as despesas com o pagamento dos salários até o julgamento final da causa, é certo que se beneficiará da prestação de serviços da empregada durante o período. Ressalte-se que a ruptura do vínculo de emprego traduz dano de difícil reparação para a trabalhadora, na medida em que o prejuízo financeiro sofrido renova-se e é agravado mês a mês, atingindo a subsistência da empregada e de sua família. Não há falar, portanto, em ofensa a direito líquido e certo da empresa à cassação da decisão antecipatória. </w:t>
      </w:r>
      <w:r w:rsidRPr="005114A5">
        <w:rPr>
          <w:rFonts w:ascii="Times New Roman" w:eastAsia="Calibri" w:hAnsi="Times New Roman" w:cs="Times New Roman"/>
          <w:color w:val="auto"/>
          <w:lang w:val="pt-BR" w:eastAsia="en-US"/>
        </w:rPr>
        <w:t>Sob esse entendimento, a SBDI-I</w:t>
      </w:r>
      <w:r>
        <w:rPr>
          <w:rFonts w:ascii="Times New Roman" w:eastAsia="Calibri" w:hAnsi="Times New Roman" w:cs="Times New Roman"/>
          <w:color w:val="auto"/>
          <w:lang w:val="pt-BR" w:eastAsia="en-US"/>
        </w:rPr>
        <w:t xml:space="preserve">I decidiu, </w:t>
      </w:r>
      <w:r w:rsidRPr="005114A5">
        <w:rPr>
          <w:rFonts w:ascii="Times New Roman" w:eastAsia="Calibri" w:hAnsi="Times New Roman" w:cs="Times New Roman"/>
          <w:color w:val="auto"/>
          <w:lang w:val="pt-BR" w:eastAsia="en-US"/>
        </w:rPr>
        <w:t xml:space="preserve">por </w:t>
      </w:r>
      <w:r>
        <w:rPr>
          <w:rFonts w:ascii="Times New Roman" w:eastAsia="Calibri" w:hAnsi="Times New Roman" w:cs="Times New Roman"/>
          <w:color w:val="auto"/>
          <w:lang w:val="pt-BR" w:eastAsia="en-US"/>
        </w:rPr>
        <w:t>maioria</w:t>
      </w:r>
      <w:r w:rsidRPr="005114A5">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vencido o Ministro Antonio José de Barros Levenhagen, conhecer do recurso ordinário e, no mérito, negar-lhe provimento. </w:t>
      </w:r>
      <w:hyperlink r:id="rId11" w:history="1">
        <w:r w:rsidRPr="008F2A15">
          <w:rPr>
            <w:rStyle w:val="Hyperlink"/>
            <w:rFonts w:ascii="Times New Roman" w:eastAsia="Calibri" w:hAnsi="Times New Roman"/>
            <w:lang w:val="pt-BR" w:eastAsia="en-US"/>
          </w:rPr>
          <w:t>TST-RO-5588-92.2013.5.15.0000</w:t>
        </w:r>
      </w:hyperlink>
      <w:r w:rsidRPr="008F2A15">
        <w:rPr>
          <w:rFonts w:ascii="Times New Roman" w:eastAsia="Calibri" w:hAnsi="Times New Roman" w:cs="Times New Roman"/>
          <w:color w:val="auto"/>
          <w:u w:val="single"/>
          <w:lang w:val="pt-BR" w:eastAsia="en-US"/>
        </w:rPr>
        <w:t>, SBDI-II, rel. Min. Douglas Alencar Rodrigues, 25.8.2015.</w:t>
      </w:r>
    </w:p>
    <w:p w:rsidR="00CC743B" w:rsidRDefault="00CC743B" w:rsidP="00D73575">
      <w:pPr>
        <w:pStyle w:val="Corpo"/>
        <w:spacing w:line="240" w:lineRule="auto"/>
        <w:ind w:firstLine="0"/>
        <w:rPr>
          <w:rFonts w:ascii="Times New Roman" w:hAnsi="Times New Roman" w:cs="Times New Roman"/>
          <w:u w:val="single"/>
          <w:lang w:val="pt-BR"/>
        </w:rPr>
      </w:pPr>
    </w:p>
    <w:p w:rsidR="00C87D5B" w:rsidRDefault="00C87D5B" w:rsidP="00D73575">
      <w:pPr>
        <w:pStyle w:val="Corpo"/>
        <w:spacing w:line="240" w:lineRule="auto"/>
        <w:ind w:firstLine="0"/>
        <w:rPr>
          <w:rFonts w:ascii="Times New Roman" w:hAnsi="Times New Roman" w:cs="Times New Roman"/>
          <w:u w:val="single"/>
          <w:lang w:val="pt-BR"/>
        </w:rPr>
      </w:pPr>
    </w:p>
    <w:p w:rsidR="00A35218" w:rsidRDefault="00A35218" w:rsidP="00D73575">
      <w:pPr>
        <w:pStyle w:val="Corpo"/>
        <w:spacing w:line="240" w:lineRule="auto"/>
        <w:ind w:firstLine="0"/>
        <w:rPr>
          <w:rFonts w:ascii="Times New Roman" w:hAnsi="Times New Roman" w:cs="Times New Roman"/>
          <w:u w:val="single"/>
          <w:lang w:val="pt-BR"/>
        </w:rPr>
      </w:pPr>
    </w:p>
    <w:p w:rsidR="00A35218" w:rsidRDefault="00A35218" w:rsidP="00D73575">
      <w:pPr>
        <w:pStyle w:val="Corpo"/>
        <w:spacing w:line="240" w:lineRule="auto"/>
        <w:ind w:firstLine="0"/>
        <w:rPr>
          <w:rFonts w:ascii="Times New Roman" w:hAnsi="Times New Roman" w:cs="Times New Roman"/>
          <w:u w:val="single"/>
          <w:lang w:val="pt-BR"/>
        </w:rPr>
      </w:pPr>
    </w:p>
    <w:p w:rsidR="00A35218" w:rsidRDefault="00A35218" w:rsidP="00D73575">
      <w:pPr>
        <w:pStyle w:val="Corpo"/>
        <w:spacing w:line="240" w:lineRule="auto"/>
        <w:ind w:firstLine="0"/>
        <w:rPr>
          <w:rFonts w:ascii="Times New Roman" w:hAnsi="Times New Roman" w:cs="Times New Roman"/>
          <w:u w:val="single"/>
          <w:lang w:val="pt-BR"/>
        </w:rPr>
      </w:pPr>
    </w:p>
    <w:p w:rsidR="00A35218" w:rsidRDefault="00A35218" w:rsidP="00D73575">
      <w:pPr>
        <w:pStyle w:val="Corpo"/>
        <w:spacing w:line="240" w:lineRule="auto"/>
        <w:ind w:firstLine="0"/>
        <w:rPr>
          <w:rFonts w:ascii="Times New Roman" w:hAnsi="Times New Roman" w:cs="Times New Roman"/>
          <w:u w:val="single"/>
          <w:lang w:val="pt-BR"/>
        </w:rPr>
      </w:pPr>
    </w:p>
    <w:p w:rsidR="00A35218" w:rsidRDefault="00A35218" w:rsidP="00D73575">
      <w:pPr>
        <w:pStyle w:val="Corpo"/>
        <w:spacing w:line="240" w:lineRule="auto"/>
        <w:ind w:firstLine="0"/>
        <w:rPr>
          <w:rFonts w:ascii="Times New Roman" w:hAnsi="Times New Roman" w:cs="Times New Roman"/>
          <w:u w:val="single"/>
          <w:lang w:val="pt-BR"/>
        </w:rPr>
      </w:pPr>
    </w:p>
    <w:p w:rsidR="00A35218" w:rsidRDefault="00A35218" w:rsidP="00D73575">
      <w:pPr>
        <w:pStyle w:val="Corpo"/>
        <w:spacing w:line="240" w:lineRule="auto"/>
        <w:ind w:firstLine="0"/>
        <w:rPr>
          <w:rFonts w:ascii="Times New Roman" w:hAnsi="Times New Roman" w:cs="Times New Roman"/>
          <w:u w:val="single"/>
          <w:lang w:val="pt-BR"/>
        </w:rPr>
      </w:pPr>
    </w:p>
    <w:p w:rsidR="00A35218" w:rsidRDefault="00A35218" w:rsidP="00D73575">
      <w:pPr>
        <w:pStyle w:val="Corpo"/>
        <w:spacing w:line="240" w:lineRule="auto"/>
        <w:ind w:firstLine="0"/>
        <w:rPr>
          <w:rFonts w:ascii="Times New Roman" w:hAnsi="Times New Roman" w:cs="Times New Roman"/>
          <w:u w:val="single"/>
          <w:lang w:val="pt-BR"/>
        </w:rPr>
      </w:pPr>
    </w:p>
    <w:p w:rsidR="00A35218" w:rsidRDefault="00A35218" w:rsidP="00D73575">
      <w:pPr>
        <w:pStyle w:val="Corpo"/>
        <w:spacing w:line="240" w:lineRule="auto"/>
        <w:ind w:firstLine="0"/>
        <w:rPr>
          <w:rFonts w:ascii="Times New Roman" w:hAnsi="Times New Roman" w:cs="Times New Roman"/>
          <w:u w:val="single"/>
          <w:lang w:val="pt-BR"/>
        </w:rPr>
      </w:pPr>
    </w:p>
    <w:p w:rsidR="00A35218" w:rsidRDefault="00A35218" w:rsidP="00D73575">
      <w:pPr>
        <w:pStyle w:val="Corpo"/>
        <w:spacing w:line="240" w:lineRule="auto"/>
        <w:ind w:firstLine="0"/>
        <w:rPr>
          <w:rFonts w:ascii="Times New Roman" w:hAnsi="Times New Roman" w:cs="Times New Roman"/>
          <w:u w:val="single"/>
          <w:lang w:val="pt-BR"/>
        </w:rPr>
      </w:pPr>
    </w:p>
    <w:p w:rsidR="00A35218" w:rsidRDefault="00A35218" w:rsidP="00D73575">
      <w:pPr>
        <w:pStyle w:val="Corpo"/>
        <w:spacing w:line="240" w:lineRule="auto"/>
        <w:ind w:firstLine="0"/>
        <w:rPr>
          <w:rFonts w:ascii="Times New Roman" w:hAnsi="Times New Roman" w:cs="Times New Roman"/>
          <w:u w:val="single"/>
          <w:lang w:val="pt-BR"/>
        </w:rPr>
      </w:pPr>
    </w:p>
    <w:p w:rsidR="00A35218" w:rsidRDefault="00A35218" w:rsidP="00D73575">
      <w:pPr>
        <w:pStyle w:val="Corpo"/>
        <w:spacing w:line="240" w:lineRule="auto"/>
        <w:ind w:firstLine="0"/>
        <w:rPr>
          <w:rFonts w:ascii="Times New Roman" w:hAnsi="Times New Roman" w:cs="Times New Roman"/>
          <w:u w:val="single"/>
          <w:lang w:val="pt-BR"/>
        </w:rPr>
      </w:pPr>
    </w:p>
    <w:p w:rsidR="00A35218" w:rsidRDefault="00A35218" w:rsidP="00D73575">
      <w:pPr>
        <w:pStyle w:val="Corpo"/>
        <w:spacing w:line="240" w:lineRule="auto"/>
        <w:ind w:firstLine="0"/>
        <w:rPr>
          <w:rFonts w:ascii="Times New Roman" w:hAnsi="Times New Roman" w:cs="Times New Roman"/>
          <w:u w:val="single"/>
          <w:lang w:val="pt-BR"/>
        </w:rPr>
      </w:pPr>
    </w:p>
    <w:p w:rsidR="00C87D5B" w:rsidRDefault="00C87D5B" w:rsidP="00D73575">
      <w:pPr>
        <w:pStyle w:val="Corpo"/>
        <w:spacing w:line="240" w:lineRule="auto"/>
        <w:ind w:firstLine="0"/>
        <w:rPr>
          <w:rFonts w:ascii="Times New Roman" w:hAnsi="Times New Roman" w:cs="Times New Roman"/>
          <w:u w:val="single"/>
          <w:lang w:val="pt-BR"/>
        </w:rPr>
      </w:pPr>
    </w:p>
    <w:p w:rsidR="004A5908" w:rsidRPr="00BC54BC" w:rsidRDefault="004A5908" w:rsidP="00C54185">
      <w:pPr>
        <w:jc w:val="both"/>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67" w:rsidRDefault="00771F67">
      <w:r>
        <w:separator/>
      </w:r>
    </w:p>
  </w:endnote>
  <w:endnote w:type="continuationSeparator" w:id="0">
    <w:p w:rsidR="00771F67" w:rsidRDefault="0077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88" w:rsidRDefault="00C5768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68DD">
      <w:rPr>
        <w:rStyle w:val="Nmerodepgina"/>
        <w:noProof/>
      </w:rPr>
      <w:t>3</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C068DD">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67" w:rsidRDefault="00771F67">
      <w:r>
        <w:separator/>
      </w:r>
    </w:p>
  </w:footnote>
  <w:footnote w:type="continuationSeparator" w:id="0">
    <w:p w:rsidR="00771F67" w:rsidRDefault="00771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88" w:rsidRDefault="00C5768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5A30AA">
      <w:rPr>
        <w:shadow/>
        <w:sz w:val="24"/>
        <w:szCs w:val="24"/>
      </w:rPr>
      <w:t>11</w:t>
    </w:r>
    <w:r w:rsidR="00EE0CFC">
      <w:rPr>
        <w:shadow/>
        <w:sz w:val="24"/>
        <w:szCs w:val="24"/>
      </w:rPr>
      <w:t>5</w:t>
    </w:r>
  </w:p>
  <w:p w:rsidR="003C0554" w:rsidRPr="003C0554" w:rsidRDefault="00187A37" w:rsidP="003C0554">
    <w:pPr>
      <w:pStyle w:val="Cabealho"/>
      <w:jc w:val="right"/>
    </w:pPr>
    <w:r w:rsidRPr="003C0554">
      <w:rPr>
        <w:noProof/>
      </w:rPr>
      <w:pict>
        <v:line id="_x0000_s2049" style="position:absolute;left:0;text-align:left;flip:x;z-index:251657216" from=".9pt,10.15pt" to="497.7pt,10.15pt" o:allowincell="f" strokecolor="#969696"/>
      </w:pict>
    </w:r>
    <w:r w:rsidR="00DB0223" w:rsidRPr="003C0554">
      <w:rPr>
        <w:iCs/>
      </w:rPr>
      <w:t xml:space="preserve"> </w:t>
    </w:r>
    <w:r w:rsidR="003C0554" w:rsidRPr="003C0554">
      <w:rPr>
        <w:iCs/>
      </w:rPr>
      <w:t xml:space="preserve">Período: </w:t>
    </w:r>
    <w:r w:rsidR="00EE0CFC">
      <w:rPr>
        <w:iCs/>
      </w:rPr>
      <w:t>24 a 28</w:t>
    </w:r>
    <w:r w:rsidR="003C0554" w:rsidRPr="003C0554">
      <w:rPr>
        <w:iCs/>
      </w:rPr>
      <w:t xml:space="preserve"> de agosto de 2015</w:t>
    </w:r>
  </w:p>
  <w:p w:rsidR="00DB0223" w:rsidRPr="00DB0223" w:rsidRDefault="00DB0223" w:rsidP="00DB0223">
    <w:pPr>
      <w:pStyle w:val="Cabealho"/>
      <w:jc w:val="right"/>
    </w:pPr>
  </w:p>
  <w:p w:rsidR="00FE00AD" w:rsidRDefault="00FE00AD">
    <w:pPr>
      <w:pStyle w:val="Ttulo6"/>
      <w:spacing w:line="360" w:lineRule="auto"/>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77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470EF8">
      <w:rPr>
        <w:b/>
        <w:sz w:val="40"/>
        <w:szCs w:val="40"/>
      </w:rPr>
      <w:t>11</w:t>
    </w:r>
    <w:r w:rsidR="00EE0CFC">
      <w:rPr>
        <w:b/>
        <w:sz w:val="40"/>
        <w:szCs w:val="40"/>
      </w:rPr>
      <w:t>5</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FE00AD" w:rsidRPr="005D1DE4">
      <w:rPr>
        <w:i/>
        <w:iCs/>
      </w:rPr>
      <w:t xml:space="preserve"> </w:t>
    </w:r>
    <w:r w:rsidR="00EE0CFC">
      <w:rPr>
        <w:i/>
        <w:iCs/>
      </w:rPr>
      <w:t>24 a 28</w:t>
    </w:r>
    <w:r w:rsidR="001E79B4">
      <w:rPr>
        <w:i/>
        <w:iCs/>
      </w:rPr>
      <w:t xml:space="preserve"> de agosto</w:t>
    </w:r>
    <w:r w:rsidR="00BC54BC">
      <w:rPr>
        <w:i/>
        <w:iCs/>
      </w:rPr>
      <w:t xml:space="preserve"> </w:t>
    </w:r>
    <w:r w:rsidR="004A094C">
      <w:rPr>
        <w:i/>
        <w:iCs/>
      </w:rPr>
      <w:t>de 201</w:t>
    </w:r>
    <w:r w:rsidR="00C54185">
      <w:rPr>
        <w:i/>
        <w:iCs/>
      </w:rPr>
      <w:t>5</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24CE9"/>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2973"/>
    <w:rsid w:val="000B4D41"/>
    <w:rsid w:val="000B67DF"/>
    <w:rsid w:val="000B7CDE"/>
    <w:rsid w:val="000C3022"/>
    <w:rsid w:val="000C58F4"/>
    <w:rsid w:val="000C5AC6"/>
    <w:rsid w:val="000C672B"/>
    <w:rsid w:val="000E0A91"/>
    <w:rsid w:val="000E1DC1"/>
    <w:rsid w:val="0011575C"/>
    <w:rsid w:val="0011692E"/>
    <w:rsid w:val="00137564"/>
    <w:rsid w:val="00137DC1"/>
    <w:rsid w:val="00142C28"/>
    <w:rsid w:val="0015612D"/>
    <w:rsid w:val="00161CDE"/>
    <w:rsid w:val="00163142"/>
    <w:rsid w:val="00176D15"/>
    <w:rsid w:val="00184590"/>
    <w:rsid w:val="00187A37"/>
    <w:rsid w:val="0019151D"/>
    <w:rsid w:val="00193208"/>
    <w:rsid w:val="00197B15"/>
    <w:rsid w:val="001C04D2"/>
    <w:rsid w:val="001C21FB"/>
    <w:rsid w:val="001C271F"/>
    <w:rsid w:val="001C6C93"/>
    <w:rsid w:val="001D4CF9"/>
    <w:rsid w:val="001D5AB0"/>
    <w:rsid w:val="001D757D"/>
    <w:rsid w:val="001E14A9"/>
    <w:rsid w:val="001E14BB"/>
    <w:rsid w:val="001E4B57"/>
    <w:rsid w:val="001E5BD1"/>
    <w:rsid w:val="001E713B"/>
    <w:rsid w:val="001E79B4"/>
    <w:rsid w:val="001F030F"/>
    <w:rsid w:val="001F45E0"/>
    <w:rsid w:val="001F5133"/>
    <w:rsid w:val="00206810"/>
    <w:rsid w:val="002168DE"/>
    <w:rsid w:val="00224AC2"/>
    <w:rsid w:val="0023559D"/>
    <w:rsid w:val="002402B0"/>
    <w:rsid w:val="002449F9"/>
    <w:rsid w:val="00257B4A"/>
    <w:rsid w:val="002635ED"/>
    <w:rsid w:val="002662BA"/>
    <w:rsid w:val="00266D49"/>
    <w:rsid w:val="00271C5C"/>
    <w:rsid w:val="00271E67"/>
    <w:rsid w:val="002730B5"/>
    <w:rsid w:val="00276EA0"/>
    <w:rsid w:val="00280594"/>
    <w:rsid w:val="00285064"/>
    <w:rsid w:val="002A219D"/>
    <w:rsid w:val="002A546D"/>
    <w:rsid w:val="002B4738"/>
    <w:rsid w:val="002B6377"/>
    <w:rsid w:val="002C2904"/>
    <w:rsid w:val="002E78CB"/>
    <w:rsid w:val="002F28E5"/>
    <w:rsid w:val="0033397A"/>
    <w:rsid w:val="00352B27"/>
    <w:rsid w:val="0035374D"/>
    <w:rsid w:val="00363255"/>
    <w:rsid w:val="0036325E"/>
    <w:rsid w:val="003671FE"/>
    <w:rsid w:val="003708FD"/>
    <w:rsid w:val="003745DE"/>
    <w:rsid w:val="0037667D"/>
    <w:rsid w:val="00380212"/>
    <w:rsid w:val="00383A89"/>
    <w:rsid w:val="00384075"/>
    <w:rsid w:val="003908C5"/>
    <w:rsid w:val="00396053"/>
    <w:rsid w:val="003A4086"/>
    <w:rsid w:val="003A5E5B"/>
    <w:rsid w:val="003B045C"/>
    <w:rsid w:val="003B0A59"/>
    <w:rsid w:val="003B3EB5"/>
    <w:rsid w:val="003B4E23"/>
    <w:rsid w:val="003B767E"/>
    <w:rsid w:val="003C0554"/>
    <w:rsid w:val="003C6FE7"/>
    <w:rsid w:val="003D032E"/>
    <w:rsid w:val="003D4205"/>
    <w:rsid w:val="003F2078"/>
    <w:rsid w:val="0042772A"/>
    <w:rsid w:val="004323B0"/>
    <w:rsid w:val="00444E88"/>
    <w:rsid w:val="004477EC"/>
    <w:rsid w:val="0045657C"/>
    <w:rsid w:val="004655CC"/>
    <w:rsid w:val="00466DB9"/>
    <w:rsid w:val="00470EF8"/>
    <w:rsid w:val="00486521"/>
    <w:rsid w:val="00486DFC"/>
    <w:rsid w:val="004922D6"/>
    <w:rsid w:val="004A094C"/>
    <w:rsid w:val="004A14FC"/>
    <w:rsid w:val="004A5264"/>
    <w:rsid w:val="004A5908"/>
    <w:rsid w:val="004B21AD"/>
    <w:rsid w:val="004C011C"/>
    <w:rsid w:val="004C14EA"/>
    <w:rsid w:val="004C2118"/>
    <w:rsid w:val="004C2612"/>
    <w:rsid w:val="004D6000"/>
    <w:rsid w:val="004D6415"/>
    <w:rsid w:val="004D71E8"/>
    <w:rsid w:val="004E393E"/>
    <w:rsid w:val="004E4507"/>
    <w:rsid w:val="004E4619"/>
    <w:rsid w:val="004F0A7D"/>
    <w:rsid w:val="00513789"/>
    <w:rsid w:val="0051538E"/>
    <w:rsid w:val="00517E01"/>
    <w:rsid w:val="00521EEC"/>
    <w:rsid w:val="00543B94"/>
    <w:rsid w:val="005460BD"/>
    <w:rsid w:val="005521C8"/>
    <w:rsid w:val="00553197"/>
    <w:rsid w:val="0055409E"/>
    <w:rsid w:val="00556367"/>
    <w:rsid w:val="00556B35"/>
    <w:rsid w:val="00573E13"/>
    <w:rsid w:val="005811A4"/>
    <w:rsid w:val="00584F82"/>
    <w:rsid w:val="00591DFA"/>
    <w:rsid w:val="005A30AA"/>
    <w:rsid w:val="005A5695"/>
    <w:rsid w:val="005B0A1C"/>
    <w:rsid w:val="005B2F00"/>
    <w:rsid w:val="005B3792"/>
    <w:rsid w:val="005B57DE"/>
    <w:rsid w:val="005C1886"/>
    <w:rsid w:val="005C761E"/>
    <w:rsid w:val="005D0E5F"/>
    <w:rsid w:val="005D1DE4"/>
    <w:rsid w:val="005E35BD"/>
    <w:rsid w:val="005E3D4D"/>
    <w:rsid w:val="005E7FD1"/>
    <w:rsid w:val="005F0545"/>
    <w:rsid w:val="005F2858"/>
    <w:rsid w:val="006002E3"/>
    <w:rsid w:val="006145AC"/>
    <w:rsid w:val="00615F98"/>
    <w:rsid w:val="006207F5"/>
    <w:rsid w:val="00621F9C"/>
    <w:rsid w:val="00631166"/>
    <w:rsid w:val="00631F1C"/>
    <w:rsid w:val="006366A4"/>
    <w:rsid w:val="00643B60"/>
    <w:rsid w:val="006456B1"/>
    <w:rsid w:val="006564EC"/>
    <w:rsid w:val="0066084C"/>
    <w:rsid w:val="00661B23"/>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F6C15"/>
    <w:rsid w:val="00700B1B"/>
    <w:rsid w:val="0070727E"/>
    <w:rsid w:val="00710D3A"/>
    <w:rsid w:val="0071315F"/>
    <w:rsid w:val="00721942"/>
    <w:rsid w:val="00722BE7"/>
    <w:rsid w:val="00732DF2"/>
    <w:rsid w:val="007614F1"/>
    <w:rsid w:val="007618C5"/>
    <w:rsid w:val="00764066"/>
    <w:rsid w:val="00766B7B"/>
    <w:rsid w:val="00771F67"/>
    <w:rsid w:val="00776118"/>
    <w:rsid w:val="007B0F83"/>
    <w:rsid w:val="007C0A4F"/>
    <w:rsid w:val="007D29A1"/>
    <w:rsid w:val="007D469A"/>
    <w:rsid w:val="007E0EA7"/>
    <w:rsid w:val="007E3F23"/>
    <w:rsid w:val="007F142E"/>
    <w:rsid w:val="007F66BC"/>
    <w:rsid w:val="007F7B5E"/>
    <w:rsid w:val="00802B1A"/>
    <w:rsid w:val="0080615C"/>
    <w:rsid w:val="0081027F"/>
    <w:rsid w:val="0081742D"/>
    <w:rsid w:val="00817AB1"/>
    <w:rsid w:val="00821F4D"/>
    <w:rsid w:val="00823906"/>
    <w:rsid w:val="008409D3"/>
    <w:rsid w:val="00845559"/>
    <w:rsid w:val="00854DB8"/>
    <w:rsid w:val="00854EF2"/>
    <w:rsid w:val="008627C6"/>
    <w:rsid w:val="00863B86"/>
    <w:rsid w:val="00871F69"/>
    <w:rsid w:val="008842D0"/>
    <w:rsid w:val="00884AC4"/>
    <w:rsid w:val="0088579D"/>
    <w:rsid w:val="008A7953"/>
    <w:rsid w:val="008B3081"/>
    <w:rsid w:val="008B32D4"/>
    <w:rsid w:val="008C7AD0"/>
    <w:rsid w:val="008D0020"/>
    <w:rsid w:val="008D3C38"/>
    <w:rsid w:val="008D6A05"/>
    <w:rsid w:val="008E2AE5"/>
    <w:rsid w:val="008E3F89"/>
    <w:rsid w:val="008F26CB"/>
    <w:rsid w:val="008F2A15"/>
    <w:rsid w:val="008F6509"/>
    <w:rsid w:val="008F79D9"/>
    <w:rsid w:val="009027C8"/>
    <w:rsid w:val="0093467A"/>
    <w:rsid w:val="009353F1"/>
    <w:rsid w:val="0094155C"/>
    <w:rsid w:val="00951531"/>
    <w:rsid w:val="00960A3B"/>
    <w:rsid w:val="00967DE0"/>
    <w:rsid w:val="00971E07"/>
    <w:rsid w:val="00980944"/>
    <w:rsid w:val="00986D77"/>
    <w:rsid w:val="00993A6E"/>
    <w:rsid w:val="009943EC"/>
    <w:rsid w:val="009A32D5"/>
    <w:rsid w:val="009B6012"/>
    <w:rsid w:val="009C102D"/>
    <w:rsid w:val="009C2A4F"/>
    <w:rsid w:val="009D4C59"/>
    <w:rsid w:val="009D7F91"/>
    <w:rsid w:val="009E20EF"/>
    <w:rsid w:val="009E26EE"/>
    <w:rsid w:val="009F21A2"/>
    <w:rsid w:val="00A00D70"/>
    <w:rsid w:val="00A00DEE"/>
    <w:rsid w:val="00A32FBF"/>
    <w:rsid w:val="00A35218"/>
    <w:rsid w:val="00A407EA"/>
    <w:rsid w:val="00A51749"/>
    <w:rsid w:val="00A521B6"/>
    <w:rsid w:val="00A56962"/>
    <w:rsid w:val="00A6412C"/>
    <w:rsid w:val="00A75419"/>
    <w:rsid w:val="00A76661"/>
    <w:rsid w:val="00A76D2A"/>
    <w:rsid w:val="00A82081"/>
    <w:rsid w:val="00A8557E"/>
    <w:rsid w:val="00A91181"/>
    <w:rsid w:val="00A935AC"/>
    <w:rsid w:val="00AA3DE0"/>
    <w:rsid w:val="00AB299E"/>
    <w:rsid w:val="00AB507C"/>
    <w:rsid w:val="00AD6E76"/>
    <w:rsid w:val="00AE3EAA"/>
    <w:rsid w:val="00AE5EDF"/>
    <w:rsid w:val="00AE758A"/>
    <w:rsid w:val="00B06261"/>
    <w:rsid w:val="00B14F7F"/>
    <w:rsid w:val="00B16EB9"/>
    <w:rsid w:val="00B22F24"/>
    <w:rsid w:val="00B22F53"/>
    <w:rsid w:val="00B24DBE"/>
    <w:rsid w:val="00B34EB2"/>
    <w:rsid w:val="00B4728A"/>
    <w:rsid w:val="00B517C3"/>
    <w:rsid w:val="00B518B2"/>
    <w:rsid w:val="00B526EA"/>
    <w:rsid w:val="00B536FE"/>
    <w:rsid w:val="00B73FFA"/>
    <w:rsid w:val="00B838C3"/>
    <w:rsid w:val="00B874F1"/>
    <w:rsid w:val="00BC1DE7"/>
    <w:rsid w:val="00BC2C67"/>
    <w:rsid w:val="00BC54BC"/>
    <w:rsid w:val="00BC5AEE"/>
    <w:rsid w:val="00BD6029"/>
    <w:rsid w:val="00BE0541"/>
    <w:rsid w:val="00BE1ADB"/>
    <w:rsid w:val="00BF0693"/>
    <w:rsid w:val="00C068DD"/>
    <w:rsid w:val="00C070DE"/>
    <w:rsid w:val="00C26DFB"/>
    <w:rsid w:val="00C273FA"/>
    <w:rsid w:val="00C30D06"/>
    <w:rsid w:val="00C42067"/>
    <w:rsid w:val="00C432D0"/>
    <w:rsid w:val="00C4398E"/>
    <w:rsid w:val="00C54185"/>
    <w:rsid w:val="00C57688"/>
    <w:rsid w:val="00C57E92"/>
    <w:rsid w:val="00C60B4A"/>
    <w:rsid w:val="00C65BDB"/>
    <w:rsid w:val="00C71A3B"/>
    <w:rsid w:val="00C76CFA"/>
    <w:rsid w:val="00C87D5B"/>
    <w:rsid w:val="00C963F8"/>
    <w:rsid w:val="00C96BB1"/>
    <w:rsid w:val="00CA2F80"/>
    <w:rsid w:val="00CB0C2A"/>
    <w:rsid w:val="00CC4B2B"/>
    <w:rsid w:val="00CC579C"/>
    <w:rsid w:val="00CC5F5F"/>
    <w:rsid w:val="00CC6BEC"/>
    <w:rsid w:val="00CC743B"/>
    <w:rsid w:val="00CD3460"/>
    <w:rsid w:val="00CD4B61"/>
    <w:rsid w:val="00CD5043"/>
    <w:rsid w:val="00CE2928"/>
    <w:rsid w:val="00CE314A"/>
    <w:rsid w:val="00CE5865"/>
    <w:rsid w:val="00CF3D9D"/>
    <w:rsid w:val="00D01C50"/>
    <w:rsid w:val="00D11B24"/>
    <w:rsid w:val="00D11C18"/>
    <w:rsid w:val="00D133C8"/>
    <w:rsid w:val="00D14DB8"/>
    <w:rsid w:val="00D17339"/>
    <w:rsid w:val="00D244D5"/>
    <w:rsid w:val="00D2776A"/>
    <w:rsid w:val="00D413DB"/>
    <w:rsid w:val="00D420E2"/>
    <w:rsid w:val="00D4459D"/>
    <w:rsid w:val="00D573F9"/>
    <w:rsid w:val="00D6058B"/>
    <w:rsid w:val="00D63EC5"/>
    <w:rsid w:val="00D64BC3"/>
    <w:rsid w:val="00D72C05"/>
    <w:rsid w:val="00D73575"/>
    <w:rsid w:val="00D735BF"/>
    <w:rsid w:val="00D77672"/>
    <w:rsid w:val="00D80222"/>
    <w:rsid w:val="00D847CF"/>
    <w:rsid w:val="00DA0A99"/>
    <w:rsid w:val="00DA0A9D"/>
    <w:rsid w:val="00DA7603"/>
    <w:rsid w:val="00DA7E39"/>
    <w:rsid w:val="00DA7EDE"/>
    <w:rsid w:val="00DB0223"/>
    <w:rsid w:val="00DB047C"/>
    <w:rsid w:val="00DC0AB5"/>
    <w:rsid w:val="00DC3451"/>
    <w:rsid w:val="00DC50EB"/>
    <w:rsid w:val="00DD19F4"/>
    <w:rsid w:val="00DD3FA0"/>
    <w:rsid w:val="00DE5B2D"/>
    <w:rsid w:val="00DE5CE9"/>
    <w:rsid w:val="00E03064"/>
    <w:rsid w:val="00E04BD5"/>
    <w:rsid w:val="00E070D2"/>
    <w:rsid w:val="00E1539C"/>
    <w:rsid w:val="00E162B6"/>
    <w:rsid w:val="00E16E01"/>
    <w:rsid w:val="00E24A50"/>
    <w:rsid w:val="00E31469"/>
    <w:rsid w:val="00E35639"/>
    <w:rsid w:val="00E432CC"/>
    <w:rsid w:val="00E50711"/>
    <w:rsid w:val="00E52522"/>
    <w:rsid w:val="00E60AD3"/>
    <w:rsid w:val="00E60EDA"/>
    <w:rsid w:val="00E62BBC"/>
    <w:rsid w:val="00E9503C"/>
    <w:rsid w:val="00E956D9"/>
    <w:rsid w:val="00EA1958"/>
    <w:rsid w:val="00EA29F5"/>
    <w:rsid w:val="00EA482D"/>
    <w:rsid w:val="00EB5FE6"/>
    <w:rsid w:val="00EB61A5"/>
    <w:rsid w:val="00EB6C1B"/>
    <w:rsid w:val="00EB7A09"/>
    <w:rsid w:val="00EC5AF4"/>
    <w:rsid w:val="00ED661C"/>
    <w:rsid w:val="00EE0CFC"/>
    <w:rsid w:val="00EE41B5"/>
    <w:rsid w:val="00EE66C9"/>
    <w:rsid w:val="00EF11A9"/>
    <w:rsid w:val="00EF38E1"/>
    <w:rsid w:val="00EF749A"/>
    <w:rsid w:val="00EF771E"/>
    <w:rsid w:val="00F02565"/>
    <w:rsid w:val="00F05542"/>
    <w:rsid w:val="00F06855"/>
    <w:rsid w:val="00F17A2C"/>
    <w:rsid w:val="00F21A70"/>
    <w:rsid w:val="00F26708"/>
    <w:rsid w:val="00F45608"/>
    <w:rsid w:val="00F511EE"/>
    <w:rsid w:val="00F558E7"/>
    <w:rsid w:val="00F62016"/>
    <w:rsid w:val="00F63F44"/>
    <w:rsid w:val="00F6746D"/>
    <w:rsid w:val="00F811CD"/>
    <w:rsid w:val="00F82D8F"/>
    <w:rsid w:val="00F83F62"/>
    <w:rsid w:val="00F9711D"/>
    <w:rsid w:val="00FA011F"/>
    <w:rsid w:val="00FA7544"/>
    <w:rsid w:val="00FA75E0"/>
    <w:rsid w:val="00FA7771"/>
    <w:rsid w:val="00FB20B1"/>
    <w:rsid w:val="00FB3AB4"/>
    <w:rsid w:val="00FB6188"/>
    <w:rsid w:val="00FC35EC"/>
    <w:rsid w:val="00FC56A4"/>
    <w:rsid w:val="00FD3D06"/>
    <w:rsid w:val="00FD5662"/>
    <w:rsid w:val="00FD72B6"/>
    <w:rsid w:val="00FE00AD"/>
    <w:rsid w:val="00FE206E"/>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plicacao4.tst.jus.br/consultaProcessual/consultaTstNumUnica.do?consulta=Consultar&amp;conscsjt=&amp;numeroTst=44600&amp;digitoTst=87&amp;anoTst=2008&amp;orgaoTst=5&amp;tribunalTst=07&amp;varaTst=000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licacao4.tst.jus.br/consultaProcessual/consultaTstNumUnica.do?consulta=Consultar&amp;conscsjt=&amp;numeroTst=5588&amp;digitoTst=92&amp;anoTst=2013&amp;orgaoTst=5&amp;tribunalTst=15&amp;varaTst=00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plicacao4.tst.jus.br/consultaProcessual/consultaTstNumUnica.do?consulta=Consultar&amp;conscsjt=&amp;numeroTst=33000&amp;digitoTst=71&amp;anoTst=2008&amp;orgaoTst=5&amp;tribunalTst=04&amp;varaTst=00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licacao4.tst.jus.br/consultaProcessual/consultaTstNumUnica.do?consulta=Consultar&amp;conscsjt=&amp;numeroTst=125100&amp;digitoTst=32&amp;anoTst=2006&amp;orgaoTst=5&amp;tribunalTst=01&amp;varaTst=0056"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B56D-454A-490C-80E4-E09E0F8D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1603</Words>
  <Characters>8660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10243</CharactersWithSpaces>
  <SharedDoc>false</SharedDoc>
  <HLinks>
    <vt:vector size="24" baseType="variant">
      <vt:variant>
        <vt:i4>2556027</vt:i4>
      </vt:variant>
      <vt:variant>
        <vt:i4>9</vt:i4>
      </vt:variant>
      <vt:variant>
        <vt:i4>0</vt:i4>
      </vt:variant>
      <vt:variant>
        <vt:i4>5</vt:i4>
      </vt:variant>
      <vt:variant>
        <vt:lpwstr>http://aplicacao4.tst.jus.br/consultaProcessual/consultaTstNumUnica.do?consulta=Consultar&amp;conscsjt=&amp;numeroTst=5588&amp;digitoTst=92&amp;anoTst=2013&amp;orgaoTst=5&amp;tribunalTst=15&amp;varaTst=0000</vt:lpwstr>
      </vt:variant>
      <vt:variant>
        <vt:lpwstr/>
      </vt:variant>
      <vt:variant>
        <vt:i4>6357050</vt:i4>
      </vt:variant>
      <vt:variant>
        <vt:i4>6</vt:i4>
      </vt:variant>
      <vt:variant>
        <vt:i4>0</vt:i4>
      </vt:variant>
      <vt:variant>
        <vt:i4>5</vt:i4>
      </vt:variant>
      <vt:variant>
        <vt:lpwstr>http://aplicacao4.tst.jus.br/consultaProcessual/consultaTstNumUnica.do?consulta=Consultar&amp;conscsjt=&amp;numeroTst=33000&amp;digitoTst=71&amp;anoTst=2008&amp;orgaoTst=5&amp;tribunalTst=04&amp;varaTst=0002</vt:lpwstr>
      </vt:variant>
      <vt:variant>
        <vt:lpwstr/>
      </vt:variant>
      <vt:variant>
        <vt:i4>1376326</vt:i4>
      </vt:variant>
      <vt:variant>
        <vt:i4>3</vt:i4>
      </vt:variant>
      <vt:variant>
        <vt:i4>0</vt:i4>
      </vt:variant>
      <vt:variant>
        <vt:i4>5</vt:i4>
      </vt:variant>
      <vt:variant>
        <vt:lpwstr>http://aplicacao4.tst.jus.br/consultaProcessual/consultaTstNumUnica.do?consulta=Consultar&amp;conscsjt=&amp;numeroTst=125100&amp;digitoTst=32&amp;anoTst=2006&amp;orgaoTst=5&amp;tribunalTst=01&amp;varaTst=0056</vt:lpwstr>
      </vt:variant>
      <vt:variant>
        <vt:lpwstr/>
      </vt:variant>
      <vt:variant>
        <vt:i4>6488116</vt:i4>
      </vt:variant>
      <vt:variant>
        <vt:i4>0</vt:i4>
      </vt:variant>
      <vt:variant>
        <vt:i4>0</vt:i4>
      </vt:variant>
      <vt:variant>
        <vt:i4>5</vt:i4>
      </vt:variant>
      <vt:variant>
        <vt:lpwstr>http://aplicacao4.tst.jus.br/consultaProcessual/consultaTstNumUnica.do?consulta=Consultar&amp;conscsjt=&amp;numeroTst=44600&amp;digitoTst=87&amp;anoTst=2008&amp;orgaoTst=5&amp;tribunalTst=07&amp;varaTst=0008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2015-09-03T19:13:00Z</cp:lastPrinted>
  <dcterms:created xsi:type="dcterms:W3CDTF">2018-06-27T21:49:00Z</dcterms:created>
  <dcterms:modified xsi:type="dcterms:W3CDTF">2018-06-27T21:49:00Z</dcterms:modified>
</cp:coreProperties>
</file>