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0B1" w:rsidRPr="00FB20B1" w:rsidRDefault="00FB20B1">
      <w:pPr>
        <w:rPr>
          <w:sz w:val="10"/>
          <w:szCs w:val="10"/>
        </w:rPr>
      </w:pPr>
      <w:bookmarkStart w:id="0" w:name="_GoBack"/>
      <w:bookmarkEnd w:id="0"/>
    </w:p>
    <w:tbl>
      <w:tblPr>
        <w:tblW w:w="9538" w:type="dxa"/>
        <w:tblInd w:w="70" w:type="dxa"/>
        <w:tblLayout w:type="fixed"/>
        <w:tblCellMar>
          <w:left w:w="70" w:type="dxa"/>
          <w:right w:w="70" w:type="dxa"/>
        </w:tblCellMar>
        <w:tblLook w:val="0000" w:firstRow="0" w:lastRow="0" w:firstColumn="0" w:lastColumn="0" w:noHBand="0" w:noVBand="0"/>
      </w:tblPr>
      <w:tblGrid>
        <w:gridCol w:w="9538"/>
      </w:tblGrid>
      <w:tr w:rsidR="00C26DFB" w:rsidRPr="00187A37" w:rsidTr="00FB20B1">
        <w:tblPrEx>
          <w:tblCellMar>
            <w:top w:w="0" w:type="dxa"/>
            <w:bottom w:w="0" w:type="dxa"/>
          </w:tblCellMar>
        </w:tblPrEx>
        <w:trPr>
          <w:trHeight w:val="537"/>
        </w:trPr>
        <w:tc>
          <w:tcPr>
            <w:tcW w:w="9538" w:type="dxa"/>
          </w:tcPr>
          <w:p w:rsidR="00C26DFB" w:rsidRPr="00187A37" w:rsidRDefault="00C26DFB" w:rsidP="00DC50EB">
            <w:pPr>
              <w:pStyle w:val="Cabealho"/>
              <w:tabs>
                <w:tab w:val="clear" w:pos="4419"/>
                <w:tab w:val="clear" w:pos="8838"/>
              </w:tabs>
              <w:jc w:val="both"/>
              <w:rPr>
                <w:sz w:val="10"/>
                <w:szCs w:val="10"/>
              </w:rPr>
            </w:pPr>
            <w:r w:rsidRPr="00187A37">
              <w:rPr>
                <w:sz w:val="16"/>
                <w:szCs w:val="16"/>
              </w:rPr>
              <w:t>Este Informativo, elaborado a partir de notas tomadas nas sessões de julgamentos, contém resumos não</w:t>
            </w:r>
            <w:r w:rsidR="00DC50EB" w:rsidRPr="00187A37">
              <w:rPr>
                <w:sz w:val="16"/>
                <w:szCs w:val="16"/>
              </w:rPr>
              <w:t xml:space="preserve"> </w:t>
            </w:r>
            <w:r w:rsidRPr="00187A37">
              <w:rPr>
                <w:sz w:val="16"/>
                <w:szCs w:val="16"/>
              </w:rPr>
              <w:t>oficiais de decisões proferidas pelo Tribunal. A fidelidade dos resumos ao conteúdo efetivo das decisões, embora seja uma das metas perseguidas neste trabalho, somente poderá ser aferida após a sua publicação no Diário</w:t>
            </w:r>
            <w:r w:rsidR="00980944" w:rsidRPr="00187A37">
              <w:rPr>
                <w:sz w:val="16"/>
                <w:szCs w:val="16"/>
              </w:rPr>
              <w:t xml:space="preserve"> Eletrônico </w:t>
            </w:r>
            <w:r w:rsidRPr="00187A37">
              <w:rPr>
                <w:sz w:val="16"/>
                <w:szCs w:val="16"/>
              </w:rPr>
              <w:t>da Justiça</w:t>
            </w:r>
            <w:r w:rsidR="00980944" w:rsidRPr="00187A37">
              <w:rPr>
                <w:sz w:val="16"/>
                <w:szCs w:val="16"/>
              </w:rPr>
              <w:t xml:space="preserve"> do Trabalho</w:t>
            </w:r>
            <w:r w:rsidRPr="00187A37">
              <w:rPr>
                <w:sz w:val="16"/>
                <w:szCs w:val="16"/>
              </w:rPr>
              <w:t>.</w:t>
            </w:r>
          </w:p>
        </w:tc>
      </w:tr>
    </w:tbl>
    <w:p w:rsidR="00E31469" w:rsidRDefault="00E31469" w:rsidP="00C54185">
      <w:pPr>
        <w:pStyle w:val="EXPLICAO"/>
        <w:spacing w:line="240" w:lineRule="auto"/>
        <w:ind w:left="0"/>
        <w:rPr>
          <w:rFonts w:ascii="Times New Roman" w:hAnsi="Times New Roman" w:cs="Times New Roman"/>
          <w:b/>
          <w:color w:val="auto"/>
          <w:sz w:val="20"/>
          <w:szCs w:val="20"/>
        </w:rPr>
      </w:pPr>
    </w:p>
    <w:p w:rsidR="004A5908" w:rsidRDefault="004A5908" w:rsidP="00BC54BC">
      <w:pPr>
        <w:pStyle w:val="Corpo"/>
        <w:spacing w:line="240" w:lineRule="auto"/>
        <w:ind w:firstLine="0"/>
        <w:rPr>
          <w:rFonts w:ascii="Times New Roman" w:hAnsi="Times New Roman"/>
          <w:sz w:val="20"/>
          <w:szCs w:val="20"/>
          <w:u w:val="single"/>
          <w:lang w:val="pt-BR"/>
        </w:rPr>
      </w:pPr>
    </w:p>
    <w:p w:rsidR="00A00DEE" w:rsidRPr="00971E07" w:rsidRDefault="00A00DEE" w:rsidP="00A00DEE">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shadow/>
          <w:color w:val="auto"/>
          <w:sz w:val="26"/>
          <w:szCs w:val="26"/>
          <w:lang w:val="pt-BR"/>
        </w:rPr>
      </w:pPr>
      <w:r>
        <w:rPr>
          <w:rFonts w:ascii="Times New Roman" w:hAnsi="Times New Roman" w:cs="Times New Roman"/>
          <w:b/>
          <w:bCs/>
          <w:shadow/>
          <w:color w:val="auto"/>
          <w:sz w:val="26"/>
          <w:szCs w:val="26"/>
          <w:lang w:val="pt-BR"/>
        </w:rPr>
        <w:t>TRIBUNAL PLENO</w:t>
      </w:r>
    </w:p>
    <w:p w:rsidR="00A00DEE" w:rsidRDefault="00A00DEE" w:rsidP="00BC54BC">
      <w:pPr>
        <w:pStyle w:val="Corpo"/>
        <w:spacing w:line="240" w:lineRule="auto"/>
        <w:ind w:firstLine="0"/>
        <w:rPr>
          <w:rFonts w:ascii="Times New Roman" w:hAnsi="Times New Roman"/>
          <w:sz w:val="20"/>
          <w:szCs w:val="20"/>
          <w:u w:val="single"/>
          <w:lang w:val="pt-BR"/>
        </w:rPr>
      </w:pPr>
    </w:p>
    <w:p w:rsidR="00B838C3" w:rsidRDefault="00B838C3" w:rsidP="00B838C3">
      <w:pPr>
        <w:pStyle w:val="Corpo"/>
        <w:spacing w:line="240" w:lineRule="auto"/>
        <w:ind w:firstLine="0"/>
        <w:rPr>
          <w:rFonts w:ascii="Times New Roman" w:eastAsia="Calibri" w:hAnsi="Times New Roman" w:cs="Times New Roman"/>
          <w:b/>
          <w:i/>
          <w:color w:val="auto"/>
          <w:lang w:val="pt-BR" w:eastAsia="en-US"/>
        </w:rPr>
      </w:pPr>
      <w:r w:rsidRPr="00AE583F">
        <w:rPr>
          <w:rFonts w:ascii="Times New Roman" w:eastAsia="Calibri" w:hAnsi="Times New Roman" w:cs="Times New Roman"/>
          <w:b/>
          <w:i/>
          <w:color w:val="auto"/>
          <w:lang w:val="pt-BR" w:eastAsia="en-US"/>
        </w:rPr>
        <w:t>Arguição de inconstitucionalidade.</w:t>
      </w:r>
      <w:r>
        <w:rPr>
          <w:rFonts w:ascii="Times New Roman" w:eastAsia="Calibri" w:hAnsi="Times New Roman" w:cs="Times New Roman"/>
          <w:b/>
          <w:i/>
          <w:color w:val="auto"/>
          <w:lang w:val="pt-BR" w:eastAsia="en-US"/>
        </w:rPr>
        <w:t xml:space="preserve"> Í</w:t>
      </w:r>
      <w:r w:rsidRPr="0024522D">
        <w:rPr>
          <w:rFonts w:ascii="Times New Roman" w:eastAsia="Calibri" w:hAnsi="Times New Roman" w:cs="Times New Roman"/>
          <w:b/>
          <w:i/>
          <w:color w:val="auto"/>
          <w:lang w:val="pt-BR" w:eastAsia="en-US"/>
        </w:rPr>
        <w:t>ndice de</w:t>
      </w:r>
      <w:r>
        <w:rPr>
          <w:rFonts w:ascii="Times New Roman" w:eastAsia="Calibri" w:hAnsi="Times New Roman" w:cs="Times New Roman"/>
          <w:b/>
          <w:i/>
          <w:color w:val="auto"/>
          <w:lang w:val="pt-BR" w:eastAsia="en-US"/>
        </w:rPr>
        <w:t xml:space="preserve"> </w:t>
      </w:r>
      <w:r w:rsidRPr="0024522D">
        <w:rPr>
          <w:rFonts w:ascii="Times New Roman" w:eastAsia="Calibri" w:hAnsi="Times New Roman" w:cs="Times New Roman"/>
          <w:b/>
          <w:i/>
          <w:color w:val="auto"/>
          <w:lang w:val="pt-BR" w:eastAsia="en-US"/>
        </w:rPr>
        <w:t>correção monetária aplicável aos créditos trabalhistas</w:t>
      </w:r>
      <w:r>
        <w:rPr>
          <w:rFonts w:ascii="Times New Roman" w:eastAsia="Calibri" w:hAnsi="Times New Roman" w:cs="Times New Roman"/>
          <w:b/>
          <w:i/>
          <w:color w:val="auto"/>
          <w:lang w:val="pt-BR" w:eastAsia="en-US"/>
        </w:rPr>
        <w:t>.</w:t>
      </w:r>
      <w:r w:rsidR="00CC6BEC">
        <w:rPr>
          <w:rFonts w:ascii="Times New Roman" w:eastAsia="Calibri" w:hAnsi="Times New Roman" w:cs="Times New Roman"/>
          <w:b/>
          <w:i/>
          <w:color w:val="auto"/>
          <w:lang w:val="pt-BR" w:eastAsia="en-US"/>
        </w:rPr>
        <w:t xml:space="preserve"> </w:t>
      </w:r>
      <w:r w:rsidRPr="00AE583F">
        <w:rPr>
          <w:rFonts w:ascii="Times New Roman" w:eastAsia="Calibri" w:hAnsi="Times New Roman" w:cs="Times New Roman"/>
          <w:b/>
          <w:i/>
          <w:color w:val="auto"/>
          <w:lang w:val="pt-BR" w:eastAsia="en-US"/>
        </w:rPr>
        <w:t xml:space="preserve">Expressão "equivalentes à TRD" contida no artigo 39 da lei nº 8.177/91. </w:t>
      </w:r>
      <w:r w:rsidRPr="0024522D">
        <w:rPr>
          <w:rFonts w:ascii="Times New Roman" w:eastAsia="Calibri" w:hAnsi="Times New Roman" w:cs="Times New Roman"/>
          <w:b/>
          <w:i/>
          <w:color w:val="auto"/>
          <w:lang w:val="pt-BR" w:eastAsia="en-US"/>
        </w:rPr>
        <w:t>Ratio decidendi definida pelo Supremo Tribunal Federal.</w:t>
      </w:r>
      <w:r>
        <w:rPr>
          <w:rFonts w:ascii="Times New Roman" w:eastAsia="Calibri" w:hAnsi="Times New Roman" w:cs="Times New Roman"/>
          <w:b/>
          <w:i/>
          <w:color w:val="auto"/>
          <w:lang w:val="pt-BR" w:eastAsia="en-US"/>
        </w:rPr>
        <w:t xml:space="preserve"> </w:t>
      </w:r>
      <w:r w:rsidRPr="00AE583F">
        <w:rPr>
          <w:rFonts w:ascii="Times New Roman" w:eastAsia="Calibri" w:hAnsi="Times New Roman" w:cs="Times New Roman"/>
          <w:b/>
          <w:i/>
          <w:color w:val="auto"/>
          <w:lang w:val="pt-BR" w:eastAsia="en-US"/>
        </w:rPr>
        <w:t>Declaração de inconstitucionalidade por arrastamento</w:t>
      </w:r>
      <w:r>
        <w:rPr>
          <w:rFonts w:ascii="Times New Roman" w:eastAsia="Calibri" w:hAnsi="Times New Roman" w:cs="Times New Roman"/>
          <w:b/>
          <w:i/>
          <w:color w:val="auto"/>
          <w:lang w:val="pt-BR" w:eastAsia="en-US"/>
        </w:rPr>
        <w:t xml:space="preserve">. </w:t>
      </w:r>
      <w:r w:rsidRPr="00AE583F">
        <w:rPr>
          <w:rFonts w:ascii="Times New Roman" w:eastAsia="Calibri" w:hAnsi="Times New Roman" w:cs="Times New Roman"/>
          <w:b/>
          <w:i/>
          <w:color w:val="auto"/>
          <w:lang w:val="pt-BR" w:eastAsia="en-US"/>
        </w:rPr>
        <w:t>Interp</w:t>
      </w:r>
      <w:r>
        <w:rPr>
          <w:rFonts w:ascii="Times New Roman" w:eastAsia="Calibri" w:hAnsi="Times New Roman" w:cs="Times New Roman"/>
          <w:b/>
          <w:i/>
          <w:color w:val="auto"/>
          <w:lang w:val="pt-BR" w:eastAsia="en-US"/>
        </w:rPr>
        <w:t>r</w:t>
      </w:r>
      <w:r w:rsidRPr="00AE583F">
        <w:rPr>
          <w:rFonts w:ascii="Times New Roman" w:eastAsia="Calibri" w:hAnsi="Times New Roman" w:cs="Times New Roman"/>
          <w:b/>
          <w:i/>
          <w:color w:val="auto"/>
          <w:lang w:val="pt-BR" w:eastAsia="en-US"/>
        </w:rPr>
        <w:t xml:space="preserve">etação conforme a </w:t>
      </w:r>
      <w:r>
        <w:rPr>
          <w:rFonts w:ascii="Times New Roman" w:eastAsia="Calibri" w:hAnsi="Times New Roman" w:cs="Times New Roman"/>
          <w:b/>
          <w:i/>
          <w:color w:val="auto"/>
          <w:lang w:val="pt-BR" w:eastAsia="en-US"/>
        </w:rPr>
        <w:t>C</w:t>
      </w:r>
      <w:r w:rsidRPr="00AE583F">
        <w:rPr>
          <w:rFonts w:ascii="Times New Roman" w:eastAsia="Calibri" w:hAnsi="Times New Roman" w:cs="Times New Roman"/>
          <w:b/>
          <w:i/>
          <w:color w:val="auto"/>
          <w:lang w:val="pt-BR" w:eastAsia="en-US"/>
        </w:rPr>
        <w:t>onstituição</w:t>
      </w:r>
      <w:r w:rsidRPr="00D01AF3">
        <w:rPr>
          <w:rFonts w:ascii="Times New Roman" w:eastAsia="Calibri" w:hAnsi="Times New Roman" w:cs="Times New Roman"/>
          <w:b/>
          <w:i/>
          <w:color w:val="auto"/>
          <w:lang w:val="pt-BR" w:eastAsia="en-US"/>
        </w:rPr>
        <w:t>.</w:t>
      </w:r>
      <w:r>
        <w:rPr>
          <w:rFonts w:ascii="Times New Roman" w:eastAsia="Calibri" w:hAnsi="Times New Roman" w:cs="Times New Roman"/>
          <w:b/>
          <w:i/>
          <w:color w:val="auto"/>
          <w:lang w:val="pt-BR" w:eastAsia="en-US"/>
        </w:rPr>
        <w:t xml:space="preserve"> </w:t>
      </w:r>
      <w:r w:rsidRPr="00AE583F">
        <w:rPr>
          <w:rFonts w:ascii="Times New Roman" w:eastAsia="Calibri" w:hAnsi="Times New Roman" w:cs="Times New Roman"/>
          <w:b/>
          <w:i/>
          <w:color w:val="auto"/>
          <w:lang w:val="pt-BR" w:eastAsia="en-US"/>
        </w:rPr>
        <w:t>Modulação de efeitos</w:t>
      </w:r>
      <w:r>
        <w:rPr>
          <w:rFonts w:ascii="Times New Roman" w:eastAsia="Calibri" w:hAnsi="Times New Roman" w:cs="Times New Roman"/>
          <w:b/>
          <w:i/>
          <w:color w:val="auto"/>
          <w:lang w:val="pt-BR" w:eastAsia="en-US"/>
        </w:rPr>
        <w:t>.</w:t>
      </w:r>
      <w:r w:rsidRPr="00AE583F">
        <w:rPr>
          <w:rFonts w:ascii="Times New Roman" w:eastAsia="Calibri" w:hAnsi="Times New Roman" w:cs="Times New Roman"/>
          <w:b/>
          <w:i/>
          <w:color w:val="auto"/>
          <w:lang w:val="pt-BR" w:eastAsia="en-US"/>
        </w:rPr>
        <w:t xml:space="preserve"> Respeito ao ato jurídico perfeito.</w:t>
      </w:r>
    </w:p>
    <w:p w:rsidR="00B838C3" w:rsidRPr="00895CC6" w:rsidRDefault="00B838C3" w:rsidP="00B838C3">
      <w:pPr>
        <w:pStyle w:val="Corpo"/>
        <w:spacing w:line="240" w:lineRule="auto"/>
        <w:ind w:firstLine="0"/>
        <w:rPr>
          <w:rFonts w:ascii="Times New Roman" w:eastAsia="Calibri" w:hAnsi="Times New Roman" w:cs="Times New Roman"/>
          <w:color w:val="auto"/>
          <w:lang w:val="pt-BR" w:eastAsia="en-US"/>
        </w:rPr>
      </w:pPr>
      <w:r>
        <w:rPr>
          <w:rFonts w:ascii="Times New Roman" w:eastAsia="Calibri" w:hAnsi="Times New Roman" w:cs="Times New Roman"/>
          <w:color w:val="auto"/>
          <w:lang w:val="pt-BR" w:eastAsia="en-US"/>
        </w:rPr>
        <w:t>É inconstitucional a</w:t>
      </w:r>
      <w:r w:rsidRPr="00AE583F">
        <w:rPr>
          <w:rFonts w:ascii="Times New Roman" w:eastAsia="Calibri" w:hAnsi="Times New Roman" w:cs="Times New Roman"/>
          <w:color w:val="auto"/>
          <w:lang w:val="pt-BR" w:eastAsia="en-US"/>
        </w:rPr>
        <w:t xml:space="preserve"> expressão "equivalentes à TRD"</w:t>
      </w:r>
      <w:r>
        <w:rPr>
          <w:rFonts w:ascii="Times New Roman" w:eastAsia="Calibri" w:hAnsi="Times New Roman" w:cs="Times New Roman"/>
          <w:color w:val="auto"/>
          <w:lang w:val="pt-BR" w:eastAsia="en-US"/>
        </w:rPr>
        <w:t>,</w:t>
      </w:r>
      <w:r w:rsidRPr="00AE583F">
        <w:rPr>
          <w:rFonts w:ascii="Times New Roman" w:eastAsia="Calibri" w:hAnsi="Times New Roman" w:cs="Times New Roman"/>
          <w:color w:val="auto"/>
          <w:lang w:val="pt-BR" w:eastAsia="en-US"/>
        </w:rPr>
        <w:t xml:space="preserve"> contida no artigo 39 da Lei n° 8.177/91, </w:t>
      </w:r>
      <w:r>
        <w:rPr>
          <w:rFonts w:ascii="Times New Roman" w:eastAsia="Calibri" w:hAnsi="Times New Roman" w:cs="Times New Roman"/>
          <w:color w:val="auto"/>
          <w:lang w:val="pt-BR" w:eastAsia="en-US"/>
        </w:rPr>
        <w:t>que define o</w:t>
      </w:r>
      <w:r w:rsidRPr="0026326E">
        <w:rPr>
          <w:rFonts w:ascii="Times New Roman" w:eastAsia="Calibri" w:hAnsi="Times New Roman" w:cs="Times New Roman"/>
          <w:color w:val="auto"/>
          <w:lang w:val="pt-BR" w:eastAsia="en-US"/>
        </w:rPr>
        <w:t xml:space="preserve"> índice de </w:t>
      </w:r>
      <w:r>
        <w:rPr>
          <w:rFonts w:ascii="Times New Roman" w:eastAsia="Calibri" w:hAnsi="Times New Roman" w:cs="Times New Roman"/>
          <w:color w:val="auto"/>
          <w:lang w:val="pt-BR" w:eastAsia="en-US"/>
        </w:rPr>
        <w:t>correção</w:t>
      </w:r>
      <w:r w:rsidRPr="0026326E">
        <w:rPr>
          <w:rFonts w:ascii="Times New Roman" w:eastAsia="Calibri" w:hAnsi="Times New Roman" w:cs="Times New Roman"/>
          <w:color w:val="auto"/>
          <w:lang w:val="pt-BR" w:eastAsia="en-US"/>
        </w:rPr>
        <w:t xml:space="preserve"> monetária</w:t>
      </w:r>
      <w:r>
        <w:rPr>
          <w:rFonts w:ascii="Times New Roman" w:eastAsia="Calibri" w:hAnsi="Times New Roman" w:cs="Times New Roman"/>
          <w:color w:val="auto"/>
          <w:lang w:val="pt-BR" w:eastAsia="en-US"/>
        </w:rPr>
        <w:t xml:space="preserve"> aplicável</w:t>
      </w:r>
      <w:r w:rsidRPr="0026326E">
        <w:rPr>
          <w:rFonts w:ascii="Times New Roman" w:eastAsia="Calibri" w:hAnsi="Times New Roman" w:cs="Times New Roman"/>
          <w:color w:val="auto"/>
          <w:lang w:val="pt-BR" w:eastAsia="en-US"/>
        </w:rPr>
        <w:t xml:space="preserve"> </w:t>
      </w:r>
      <w:r>
        <w:rPr>
          <w:rFonts w:ascii="Times New Roman" w:eastAsia="Calibri" w:hAnsi="Times New Roman" w:cs="Times New Roman"/>
          <w:color w:val="auto"/>
          <w:lang w:val="pt-BR" w:eastAsia="en-US"/>
        </w:rPr>
        <w:t>a</w:t>
      </w:r>
      <w:r w:rsidRPr="0026326E">
        <w:rPr>
          <w:rFonts w:ascii="Times New Roman" w:eastAsia="Calibri" w:hAnsi="Times New Roman" w:cs="Times New Roman"/>
          <w:color w:val="auto"/>
          <w:lang w:val="pt-BR" w:eastAsia="en-US"/>
        </w:rPr>
        <w:t>os créditos trabalhistas</w:t>
      </w:r>
      <w:r>
        <w:rPr>
          <w:rFonts w:ascii="Times New Roman" w:eastAsia="Calibri" w:hAnsi="Times New Roman" w:cs="Times New Roman"/>
          <w:color w:val="auto"/>
          <w:lang w:val="pt-BR" w:eastAsia="en-US"/>
        </w:rPr>
        <w:t xml:space="preserve">, porquanto o uso da aludida Taxa Referencial Diária (TRD), </w:t>
      </w:r>
      <w:r w:rsidRPr="00BE1118">
        <w:rPr>
          <w:rFonts w:ascii="Times New Roman" w:eastAsia="Calibri" w:hAnsi="Times New Roman" w:cs="Times New Roman"/>
          <w:color w:val="auto"/>
          <w:lang w:val="pt-BR" w:eastAsia="en-US"/>
        </w:rPr>
        <w:t>por não refletir a variação da taxa inflacionária</w:t>
      </w:r>
      <w:r>
        <w:rPr>
          <w:rFonts w:ascii="Times New Roman" w:eastAsia="Calibri" w:hAnsi="Times New Roman" w:cs="Times New Roman"/>
          <w:color w:val="auto"/>
          <w:lang w:val="pt-BR" w:eastAsia="en-US"/>
        </w:rPr>
        <w:t>,</w:t>
      </w:r>
      <w:r w:rsidRPr="00BE1118">
        <w:rPr>
          <w:rFonts w:ascii="Times New Roman" w:eastAsia="Calibri" w:hAnsi="Times New Roman" w:cs="Times New Roman"/>
          <w:color w:val="auto"/>
          <w:lang w:val="pt-BR" w:eastAsia="en-US"/>
        </w:rPr>
        <w:t xml:space="preserve"> </w:t>
      </w:r>
      <w:r>
        <w:rPr>
          <w:rFonts w:ascii="Times New Roman" w:eastAsia="Calibri" w:hAnsi="Times New Roman" w:cs="Times New Roman"/>
          <w:color w:val="auto"/>
          <w:lang w:val="pt-BR" w:eastAsia="en-US"/>
        </w:rPr>
        <w:t xml:space="preserve"> </w:t>
      </w:r>
      <w:r w:rsidRPr="000B578C">
        <w:rPr>
          <w:rFonts w:ascii="Times New Roman" w:eastAsia="Calibri" w:hAnsi="Times New Roman" w:cs="Times New Roman"/>
          <w:color w:val="auto"/>
          <w:lang w:val="pt-BR" w:eastAsia="en-US"/>
        </w:rPr>
        <w:t>impede o direito à recomposição integral do crédito reconhecido pela sentença transitada em julgado</w:t>
      </w:r>
      <w:r>
        <w:rPr>
          <w:rFonts w:ascii="Times New Roman" w:eastAsia="Calibri" w:hAnsi="Times New Roman" w:cs="Times New Roman"/>
          <w:color w:val="auto"/>
          <w:lang w:val="pt-BR" w:eastAsia="en-US"/>
        </w:rPr>
        <w:t xml:space="preserve">. No caso, declarou-se a inconstitucionalidade por arrastamento, baseando-se na </w:t>
      </w:r>
      <w:r w:rsidRPr="00B838C3">
        <w:rPr>
          <w:rFonts w:ascii="Times New Roman" w:eastAsia="Calibri" w:hAnsi="Times New Roman" w:cs="Times New Roman"/>
          <w:color w:val="auto"/>
          <w:lang w:val="pt-BR" w:eastAsia="en-US"/>
        </w:rPr>
        <w:t>ratio decidendi</w:t>
      </w:r>
      <w:r w:rsidRPr="003C593A">
        <w:rPr>
          <w:rFonts w:ascii="Times New Roman" w:eastAsia="Calibri" w:hAnsi="Times New Roman" w:cs="Times New Roman"/>
          <w:color w:val="auto"/>
          <w:lang w:val="pt-BR" w:eastAsia="en-US"/>
        </w:rPr>
        <w:t xml:space="preserve"> </w:t>
      </w:r>
      <w:r>
        <w:rPr>
          <w:rFonts w:ascii="Times New Roman" w:eastAsia="Calibri" w:hAnsi="Times New Roman" w:cs="Times New Roman"/>
          <w:color w:val="auto"/>
          <w:lang w:val="pt-BR" w:eastAsia="en-US"/>
        </w:rPr>
        <w:t>definida</w:t>
      </w:r>
      <w:r w:rsidRPr="003C593A">
        <w:rPr>
          <w:rFonts w:ascii="Times New Roman" w:eastAsia="Calibri" w:hAnsi="Times New Roman" w:cs="Times New Roman"/>
          <w:color w:val="auto"/>
          <w:lang w:val="pt-BR" w:eastAsia="en-US"/>
        </w:rPr>
        <w:t xml:space="preserve"> </w:t>
      </w:r>
      <w:r>
        <w:rPr>
          <w:rFonts w:ascii="Times New Roman" w:eastAsia="Calibri" w:hAnsi="Times New Roman" w:cs="Times New Roman"/>
          <w:color w:val="auto"/>
          <w:lang w:val="pt-BR" w:eastAsia="en-US"/>
        </w:rPr>
        <w:t>n</w:t>
      </w:r>
      <w:r w:rsidRPr="005824A5">
        <w:rPr>
          <w:rFonts w:ascii="Times New Roman" w:eastAsia="Calibri" w:hAnsi="Times New Roman" w:cs="Times New Roman"/>
          <w:color w:val="auto"/>
          <w:lang w:val="pt-BR" w:eastAsia="en-US"/>
        </w:rPr>
        <w:t>a</w:t>
      </w:r>
      <w:r>
        <w:rPr>
          <w:rFonts w:ascii="Times New Roman" w:eastAsia="Calibri" w:hAnsi="Times New Roman" w:cs="Times New Roman"/>
          <w:color w:val="auto"/>
          <w:lang w:val="pt-BR" w:eastAsia="en-US"/>
        </w:rPr>
        <w:t>s</w:t>
      </w:r>
      <w:r w:rsidRPr="005824A5">
        <w:rPr>
          <w:rFonts w:ascii="Times New Roman" w:eastAsia="Calibri" w:hAnsi="Times New Roman" w:cs="Times New Roman"/>
          <w:color w:val="auto"/>
          <w:lang w:val="pt-BR" w:eastAsia="en-US"/>
        </w:rPr>
        <w:t xml:space="preserve"> decis</w:t>
      </w:r>
      <w:r>
        <w:rPr>
          <w:rFonts w:ascii="Times New Roman" w:eastAsia="Calibri" w:hAnsi="Times New Roman" w:cs="Times New Roman"/>
          <w:color w:val="auto"/>
          <w:lang w:val="pt-BR" w:eastAsia="en-US"/>
        </w:rPr>
        <w:t>ões</w:t>
      </w:r>
      <w:r w:rsidRPr="005824A5">
        <w:rPr>
          <w:rFonts w:ascii="Times New Roman" w:eastAsia="Calibri" w:hAnsi="Times New Roman" w:cs="Times New Roman"/>
          <w:color w:val="auto"/>
          <w:lang w:val="pt-BR" w:eastAsia="en-US"/>
        </w:rPr>
        <w:t xml:space="preserve"> proferida</w:t>
      </w:r>
      <w:r>
        <w:rPr>
          <w:rFonts w:ascii="Times New Roman" w:eastAsia="Calibri" w:hAnsi="Times New Roman" w:cs="Times New Roman"/>
          <w:color w:val="auto"/>
          <w:lang w:val="pt-BR" w:eastAsia="en-US"/>
        </w:rPr>
        <w:t>s</w:t>
      </w:r>
      <w:r w:rsidRPr="005824A5">
        <w:rPr>
          <w:rFonts w:ascii="Times New Roman" w:eastAsia="Calibri" w:hAnsi="Times New Roman" w:cs="Times New Roman"/>
          <w:color w:val="auto"/>
          <w:lang w:val="pt-BR" w:eastAsia="en-US"/>
        </w:rPr>
        <w:t xml:space="preserve"> pelo Supremo Tribunal Federal nas ADIs n</w:t>
      </w:r>
      <w:r w:rsidRPr="00B838C3">
        <w:rPr>
          <w:rFonts w:ascii="Times New Roman" w:eastAsia="Calibri" w:hAnsi="Times New Roman" w:cs="Times New Roman"/>
          <w:color w:val="auto"/>
          <w:lang w:val="pt-BR" w:eastAsia="en-US"/>
        </w:rPr>
        <w:t>os</w:t>
      </w:r>
      <w:r w:rsidRPr="005824A5">
        <w:rPr>
          <w:rFonts w:ascii="Times New Roman" w:eastAsia="Calibri" w:hAnsi="Times New Roman" w:cs="Times New Roman"/>
          <w:color w:val="auto"/>
          <w:lang w:val="pt-BR" w:eastAsia="en-US"/>
        </w:rPr>
        <w:t xml:space="preserve"> 4.357, 4.372, 4.400 e 4</w:t>
      </w:r>
      <w:r>
        <w:rPr>
          <w:rFonts w:ascii="Times New Roman" w:eastAsia="Calibri" w:hAnsi="Times New Roman" w:cs="Times New Roman"/>
          <w:color w:val="auto"/>
          <w:lang w:val="pt-BR" w:eastAsia="en-US"/>
        </w:rPr>
        <w:t>.</w:t>
      </w:r>
      <w:r w:rsidRPr="005824A5">
        <w:rPr>
          <w:rFonts w:ascii="Times New Roman" w:eastAsia="Calibri" w:hAnsi="Times New Roman" w:cs="Times New Roman"/>
          <w:color w:val="auto"/>
          <w:lang w:val="pt-BR" w:eastAsia="en-US"/>
        </w:rPr>
        <w:t>425</w:t>
      </w:r>
      <w:r>
        <w:rPr>
          <w:rFonts w:ascii="Times New Roman" w:eastAsia="Calibri" w:hAnsi="Times New Roman" w:cs="Times New Roman"/>
          <w:color w:val="auto"/>
          <w:lang w:val="pt-BR" w:eastAsia="en-US"/>
        </w:rPr>
        <w:t xml:space="preserve">, bem como </w:t>
      </w:r>
      <w:r w:rsidRPr="005824A5">
        <w:rPr>
          <w:rFonts w:ascii="Times New Roman" w:eastAsia="Calibri" w:hAnsi="Times New Roman" w:cs="Times New Roman"/>
          <w:color w:val="auto"/>
          <w:lang w:val="pt-BR" w:eastAsia="en-US"/>
        </w:rPr>
        <w:t>nos autos da Ação Cautelar n° 3</w:t>
      </w:r>
      <w:r>
        <w:rPr>
          <w:rFonts w:ascii="Times New Roman" w:eastAsia="Calibri" w:hAnsi="Times New Roman" w:cs="Times New Roman"/>
          <w:color w:val="auto"/>
          <w:lang w:val="pt-BR" w:eastAsia="en-US"/>
        </w:rPr>
        <w:t>.</w:t>
      </w:r>
      <w:r w:rsidRPr="005824A5">
        <w:rPr>
          <w:rFonts w:ascii="Times New Roman" w:eastAsia="Calibri" w:hAnsi="Times New Roman" w:cs="Times New Roman"/>
          <w:color w:val="auto"/>
          <w:lang w:val="pt-BR" w:eastAsia="en-US"/>
        </w:rPr>
        <w:t>764 MC/DF</w:t>
      </w:r>
      <w:r w:rsidRPr="003C593A">
        <w:rPr>
          <w:rFonts w:ascii="Times New Roman" w:eastAsia="Calibri" w:hAnsi="Times New Roman" w:cs="Times New Roman"/>
          <w:color w:val="auto"/>
          <w:lang w:val="pt-BR" w:eastAsia="en-US"/>
        </w:rPr>
        <w:t>: a atualização monetária incidente sobre obrigações expressas em pecúnia constitui direito subjetivo do credor e deve refletir a exata recomposição do poder aquisitivo decorrente da inflação do período em que apurado</w:t>
      </w:r>
      <w:r>
        <w:rPr>
          <w:rFonts w:ascii="Times New Roman" w:eastAsia="Calibri" w:hAnsi="Times New Roman" w:cs="Times New Roman"/>
          <w:color w:val="auto"/>
          <w:lang w:val="pt-BR" w:eastAsia="en-US"/>
        </w:rPr>
        <w:t xml:space="preserve"> </w:t>
      </w:r>
      <w:r w:rsidRPr="0079400D">
        <w:rPr>
          <w:rFonts w:ascii="Times New Roman" w:eastAsia="Calibri" w:hAnsi="Times New Roman" w:cs="Times New Roman"/>
          <w:color w:val="auto"/>
          <w:lang w:val="pt-BR" w:eastAsia="en-US"/>
        </w:rPr>
        <w:t>-</w:t>
      </w:r>
      <w:r w:rsidRPr="00B838C3">
        <w:rPr>
          <w:rFonts w:ascii="Times New Roman" w:eastAsia="Calibri" w:hAnsi="Times New Roman" w:cs="Times New Roman"/>
          <w:color w:val="auto"/>
          <w:lang w:val="pt-BR" w:eastAsia="en-US"/>
        </w:rPr>
        <w:t xml:space="preserve"> </w:t>
      </w:r>
      <w:r w:rsidRPr="00D01AF3">
        <w:rPr>
          <w:rFonts w:ascii="Times New Roman" w:eastAsia="Calibri" w:hAnsi="Times New Roman" w:cs="Times New Roman"/>
          <w:color w:val="auto"/>
          <w:lang w:val="pt-BR" w:eastAsia="en-US"/>
        </w:rPr>
        <w:t xml:space="preserve">sob pena de violar o direito fundamental de propriedade do credor, a coisa julgada, a isonomia, o princípio da separação dos </w:t>
      </w:r>
      <w:r>
        <w:rPr>
          <w:rFonts w:ascii="Times New Roman" w:eastAsia="Calibri" w:hAnsi="Times New Roman" w:cs="Times New Roman"/>
          <w:color w:val="auto"/>
          <w:lang w:val="pt-BR" w:eastAsia="en-US"/>
        </w:rPr>
        <w:t>P</w:t>
      </w:r>
      <w:r w:rsidRPr="00D01AF3">
        <w:rPr>
          <w:rFonts w:ascii="Times New Roman" w:eastAsia="Calibri" w:hAnsi="Times New Roman" w:cs="Times New Roman"/>
          <w:color w:val="auto"/>
          <w:lang w:val="pt-BR" w:eastAsia="en-US"/>
        </w:rPr>
        <w:t>oderes</w:t>
      </w:r>
      <w:r>
        <w:rPr>
          <w:rFonts w:ascii="Times New Roman" w:eastAsia="Calibri" w:hAnsi="Times New Roman" w:cs="Times New Roman"/>
          <w:color w:val="auto"/>
          <w:lang w:val="pt-BR" w:eastAsia="en-US"/>
        </w:rPr>
        <w:t xml:space="preserve"> e</w:t>
      </w:r>
      <w:r w:rsidRPr="00D01AF3">
        <w:rPr>
          <w:rFonts w:ascii="Times New Roman" w:eastAsia="Calibri" w:hAnsi="Times New Roman" w:cs="Times New Roman"/>
          <w:color w:val="auto"/>
          <w:lang w:val="pt-BR" w:eastAsia="en-US"/>
        </w:rPr>
        <w:t xml:space="preserve"> o postulado da proporcionalidade, </w:t>
      </w:r>
      <w:r>
        <w:rPr>
          <w:rFonts w:ascii="Times New Roman" w:eastAsia="Calibri" w:hAnsi="Times New Roman" w:cs="Times New Roman"/>
          <w:color w:val="auto"/>
          <w:lang w:val="pt-BR" w:eastAsia="en-US"/>
        </w:rPr>
        <w:t>além d</w:t>
      </w:r>
      <w:r w:rsidRPr="00D01AF3">
        <w:rPr>
          <w:rFonts w:ascii="Times New Roman" w:eastAsia="Calibri" w:hAnsi="Times New Roman" w:cs="Times New Roman"/>
          <w:color w:val="auto"/>
          <w:lang w:val="pt-BR" w:eastAsia="en-US"/>
        </w:rPr>
        <w:t xml:space="preserve">a eficácia e efetividade do título judicial, </w:t>
      </w:r>
      <w:r>
        <w:rPr>
          <w:rFonts w:ascii="Times New Roman" w:eastAsia="Calibri" w:hAnsi="Times New Roman" w:cs="Times New Roman"/>
          <w:color w:val="auto"/>
          <w:lang w:val="pt-BR" w:eastAsia="en-US"/>
        </w:rPr>
        <w:t>a vedação</w:t>
      </w:r>
      <w:r w:rsidRPr="00D01AF3">
        <w:rPr>
          <w:rFonts w:ascii="Times New Roman" w:eastAsia="Calibri" w:hAnsi="Times New Roman" w:cs="Times New Roman"/>
          <w:color w:val="auto"/>
          <w:lang w:val="pt-BR" w:eastAsia="en-US"/>
        </w:rPr>
        <w:t xml:space="preserve"> </w:t>
      </w:r>
      <w:r>
        <w:rPr>
          <w:rFonts w:ascii="Times New Roman" w:eastAsia="Calibri" w:hAnsi="Times New Roman" w:cs="Times New Roman"/>
          <w:color w:val="auto"/>
          <w:lang w:val="pt-BR" w:eastAsia="en-US"/>
        </w:rPr>
        <w:t>a</w:t>
      </w:r>
      <w:r w:rsidRPr="00D01AF3">
        <w:rPr>
          <w:rFonts w:ascii="Times New Roman" w:eastAsia="Calibri" w:hAnsi="Times New Roman" w:cs="Times New Roman"/>
          <w:color w:val="auto"/>
          <w:lang w:val="pt-BR" w:eastAsia="en-US"/>
        </w:rPr>
        <w:t>o enriquecimento ilícito do devedor.</w:t>
      </w:r>
      <w:r w:rsidRPr="00B838C3">
        <w:rPr>
          <w:rFonts w:ascii="Times New Roman" w:eastAsia="Calibri" w:hAnsi="Times New Roman" w:cs="Times New Roman"/>
          <w:color w:val="auto"/>
          <w:lang w:val="pt-BR" w:eastAsia="en-US"/>
        </w:rPr>
        <w:t xml:space="preserve"> </w:t>
      </w:r>
      <w:r w:rsidRPr="00B214B5">
        <w:rPr>
          <w:rFonts w:ascii="Times New Roman" w:eastAsia="Calibri" w:hAnsi="Times New Roman" w:cs="Times New Roman"/>
          <w:color w:val="auto"/>
          <w:lang w:val="pt-BR" w:eastAsia="en-US"/>
        </w:rPr>
        <w:t>Sob esse entendimento,</w:t>
      </w:r>
      <w:r>
        <w:rPr>
          <w:rFonts w:ascii="Times New Roman" w:eastAsia="Calibri" w:hAnsi="Times New Roman" w:cs="Times New Roman"/>
          <w:color w:val="auto"/>
          <w:lang w:val="pt-BR" w:eastAsia="en-US"/>
        </w:rPr>
        <w:t xml:space="preserve"> decidiu</w:t>
      </w:r>
      <w:r w:rsidRPr="00B214B5">
        <w:rPr>
          <w:rFonts w:ascii="Times New Roman" w:eastAsia="Calibri" w:hAnsi="Times New Roman" w:cs="Times New Roman"/>
          <w:color w:val="auto"/>
          <w:lang w:val="pt-BR" w:eastAsia="en-US"/>
        </w:rPr>
        <w:t xml:space="preserve"> </w:t>
      </w:r>
      <w:r>
        <w:rPr>
          <w:rFonts w:ascii="Times New Roman" w:eastAsia="Calibri" w:hAnsi="Times New Roman" w:cs="Times New Roman"/>
          <w:color w:val="auto"/>
          <w:lang w:val="pt-BR" w:eastAsia="en-US"/>
        </w:rPr>
        <w:t xml:space="preserve">o Tribunal Pleno, </w:t>
      </w:r>
      <w:r w:rsidRPr="00B214B5">
        <w:rPr>
          <w:rFonts w:ascii="Times New Roman" w:eastAsia="Calibri" w:hAnsi="Times New Roman" w:cs="Times New Roman"/>
          <w:color w:val="auto"/>
          <w:lang w:val="pt-BR" w:eastAsia="en-US"/>
        </w:rPr>
        <w:t>I) por unanimidade: a) acolher o incidente de inconstitucionalidade suscitado pela</w:t>
      </w:r>
      <w:r>
        <w:rPr>
          <w:rFonts w:ascii="Times New Roman" w:eastAsia="Calibri" w:hAnsi="Times New Roman" w:cs="Times New Roman"/>
          <w:color w:val="auto"/>
          <w:lang w:val="pt-BR" w:eastAsia="en-US"/>
        </w:rPr>
        <w:t xml:space="preserve"> </w:t>
      </w:r>
      <w:r w:rsidRPr="00B214B5">
        <w:rPr>
          <w:rFonts w:ascii="Times New Roman" w:eastAsia="Calibri" w:hAnsi="Times New Roman" w:cs="Times New Roman"/>
          <w:color w:val="auto"/>
          <w:lang w:val="pt-BR" w:eastAsia="en-US"/>
        </w:rPr>
        <w:t>7ª Turma e, em consequência, declarar a inconstitucionalidade por arrastamento da expressão "equivalentes à TRD", contida no "caput" do artigo 39 da Lei n° 8.177/91; b) adotar a técnica de interpretação conforme a Constituição para o texto remanescente do dispositivo impugnado, a preservar o direito à atualização monetária dos créditos trabalhistas; c) definir a variação do Índice de Preços ao Consumidor Amplo Especial (IPCA-E) como fator de atualização a ser utilizado na tabela de atualização monetária dos débitos trabalhistas na Justiça do Trabalho; II) por maioria, atribuir efeitos mod</w:t>
      </w:r>
      <w:r>
        <w:rPr>
          <w:rFonts w:ascii="Times New Roman" w:eastAsia="Calibri" w:hAnsi="Times New Roman" w:cs="Times New Roman"/>
          <w:color w:val="auto"/>
          <w:lang w:val="pt-BR" w:eastAsia="en-US"/>
        </w:rPr>
        <w:t>ulatórios à decisão, que deverá</w:t>
      </w:r>
      <w:r w:rsidRPr="00B214B5">
        <w:rPr>
          <w:rFonts w:ascii="Times New Roman" w:eastAsia="Calibri" w:hAnsi="Times New Roman" w:cs="Times New Roman"/>
          <w:color w:val="auto"/>
          <w:lang w:val="pt-BR" w:eastAsia="en-US"/>
        </w:rPr>
        <w:t xml:space="preserve"> prevalecer a partir de 30 de junho de 2009</w:t>
      </w:r>
      <w:r>
        <w:rPr>
          <w:rFonts w:ascii="Times New Roman" w:eastAsia="Calibri" w:hAnsi="Times New Roman" w:cs="Times New Roman"/>
          <w:color w:val="auto"/>
          <w:lang w:val="pt-BR" w:eastAsia="en-US"/>
        </w:rPr>
        <w:t xml:space="preserve"> </w:t>
      </w:r>
      <w:r w:rsidRPr="00182B16">
        <w:rPr>
          <w:rFonts w:ascii="Times New Roman" w:eastAsia="Calibri" w:hAnsi="Times New Roman" w:cs="Times New Roman"/>
          <w:color w:val="auto"/>
          <w:lang w:val="pt-BR" w:eastAsia="en-US"/>
        </w:rPr>
        <w:t>(data de vigência da Lei nº 11.960/2009, que acresceu o artigo 1º-F à Lei nº 9.494/1997, declarado inconstitucional pelo STF), obse</w:t>
      </w:r>
      <w:r w:rsidRPr="00B214B5">
        <w:rPr>
          <w:rFonts w:ascii="Times New Roman" w:eastAsia="Calibri" w:hAnsi="Times New Roman" w:cs="Times New Roman"/>
          <w:color w:val="auto"/>
          <w:lang w:val="pt-BR" w:eastAsia="en-US"/>
        </w:rPr>
        <w:t>rvada, porém, a preservação das situações jurídicas consolidadas resultantes dos pagamentos efetuados nos processos judiciais, em andamento ou extintos, em virtude dos quais foi adimplida e extinta a obrigação, ainda que parcialmente, sobretudo em decorrência da proteção ao ato jurídico perfeito (artigos 5º, XXXVI, da Constituição e 6º da Lei de Introdução ao Direito Brasileiro - LIDB), vencida a Ministra Dora Maria da Costa, que aplicava a modulação dos efeitos da decisão a contar de 26 de março de 2015; III) por unanimidade, determinar: a) o retorno dos autos à 7ª Turma desta Corte para prosseguir no julgamento do recurso de revista, observado o quanto ora decidido; b) a expedição de ofício ao Ministro Presidente do Conselho Superior da Justiça do Trabalho a fim de que determine a retificação da tabela de atualização monetária da Justiça do Trabalho (tabela única); c) o encaminhamento do acórdão à Comissão de Jurisprudência e de Precedentes Normativos para emissão de parecer acerca da Orienta</w:t>
      </w:r>
      <w:r>
        <w:rPr>
          <w:rFonts w:ascii="Times New Roman" w:eastAsia="Calibri" w:hAnsi="Times New Roman" w:cs="Times New Roman"/>
          <w:color w:val="auto"/>
          <w:lang w:val="pt-BR" w:eastAsia="en-US"/>
        </w:rPr>
        <w:t>ção Jurisprudencial nº 300 da SB</w:t>
      </w:r>
      <w:r w:rsidRPr="00B214B5">
        <w:rPr>
          <w:rFonts w:ascii="Times New Roman" w:eastAsia="Calibri" w:hAnsi="Times New Roman" w:cs="Times New Roman"/>
          <w:color w:val="auto"/>
          <w:lang w:val="pt-BR" w:eastAsia="en-US"/>
        </w:rPr>
        <w:t>DI-</w:t>
      </w:r>
      <w:r>
        <w:rPr>
          <w:rFonts w:ascii="Times New Roman" w:eastAsia="Calibri" w:hAnsi="Times New Roman" w:cs="Times New Roman"/>
          <w:color w:val="auto"/>
          <w:lang w:val="pt-BR" w:eastAsia="en-US"/>
        </w:rPr>
        <w:t>I</w:t>
      </w:r>
      <w:r w:rsidRPr="00B214B5">
        <w:rPr>
          <w:rFonts w:ascii="Times New Roman" w:eastAsia="Calibri" w:hAnsi="Times New Roman" w:cs="Times New Roman"/>
          <w:color w:val="auto"/>
          <w:lang w:val="pt-BR" w:eastAsia="en-US"/>
        </w:rPr>
        <w:t xml:space="preserve">. </w:t>
      </w:r>
      <w:r>
        <w:rPr>
          <w:rFonts w:ascii="Times New Roman" w:eastAsia="Calibri" w:hAnsi="Times New Roman" w:cs="Times New Roman"/>
          <w:color w:val="auto"/>
          <w:lang w:val="pt-BR" w:eastAsia="en-US"/>
        </w:rPr>
        <w:t>Com ressalva de</w:t>
      </w:r>
      <w:r w:rsidRPr="00B214B5">
        <w:rPr>
          <w:rFonts w:ascii="Times New Roman" w:eastAsia="Calibri" w:hAnsi="Times New Roman" w:cs="Times New Roman"/>
          <w:color w:val="auto"/>
          <w:lang w:val="pt-BR" w:eastAsia="en-US"/>
        </w:rPr>
        <w:t xml:space="preserve"> entendimento </w:t>
      </w:r>
      <w:r>
        <w:rPr>
          <w:rFonts w:ascii="Times New Roman" w:eastAsia="Calibri" w:hAnsi="Times New Roman" w:cs="Times New Roman"/>
          <w:color w:val="auto"/>
          <w:lang w:val="pt-BR" w:eastAsia="en-US"/>
        </w:rPr>
        <w:t>d</w:t>
      </w:r>
      <w:r w:rsidRPr="00B214B5">
        <w:rPr>
          <w:rFonts w:ascii="Times New Roman" w:eastAsia="Calibri" w:hAnsi="Times New Roman" w:cs="Times New Roman"/>
          <w:color w:val="auto"/>
          <w:lang w:val="pt-BR" w:eastAsia="en-US"/>
        </w:rPr>
        <w:t xml:space="preserve">os Ministros Guilherme Augusto Caputo Bastos, Alexandre de Souza Agra Belmonte e Maria Helena Mallmann. </w:t>
      </w:r>
      <w:hyperlink r:id="rId8" w:history="1">
        <w:r w:rsidRPr="001F45E0">
          <w:rPr>
            <w:rStyle w:val="Hyperlink"/>
            <w:rFonts w:ascii="Times New Roman" w:eastAsia="Calibri" w:hAnsi="Times New Roman"/>
            <w:lang w:val="pt-BR" w:eastAsia="en-US"/>
          </w:rPr>
          <w:t>TST-ArgInc-479-60.2011.5.04.0231</w:t>
        </w:r>
      </w:hyperlink>
      <w:r w:rsidRPr="00B838C3">
        <w:rPr>
          <w:rFonts w:ascii="Times New Roman" w:eastAsia="Calibri" w:hAnsi="Times New Roman" w:cs="Times New Roman"/>
          <w:color w:val="auto"/>
          <w:u w:val="single"/>
          <w:lang w:val="pt-BR" w:eastAsia="en-US"/>
        </w:rPr>
        <w:t>, Tribunal Pleno, rel. Min. Cláudio Mascarenhas Brandão, 4.8.2015.</w:t>
      </w:r>
    </w:p>
    <w:p w:rsidR="004A5908" w:rsidRDefault="004A5908" w:rsidP="00BC54BC">
      <w:pPr>
        <w:pStyle w:val="Corpo"/>
        <w:spacing w:line="240" w:lineRule="auto"/>
        <w:ind w:firstLine="0"/>
        <w:rPr>
          <w:rFonts w:ascii="Times New Roman" w:hAnsi="Times New Roman"/>
          <w:sz w:val="20"/>
          <w:szCs w:val="20"/>
          <w:u w:val="single"/>
          <w:lang w:val="pt-BR"/>
        </w:rPr>
      </w:pPr>
    </w:p>
    <w:p w:rsidR="00B838C3" w:rsidRDefault="00B838C3" w:rsidP="00BC54BC">
      <w:pPr>
        <w:pStyle w:val="Corpo"/>
        <w:spacing w:line="240" w:lineRule="auto"/>
        <w:ind w:firstLine="0"/>
        <w:rPr>
          <w:rFonts w:ascii="Times New Roman" w:hAnsi="Times New Roman"/>
          <w:sz w:val="20"/>
          <w:szCs w:val="20"/>
          <w:u w:val="single"/>
          <w:lang w:val="pt-BR"/>
        </w:rPr>
      </w:pPr>
    </w:p>
    <w:p w:rsidR="00A00DEE" w:rsidRPr="00971E07" w:rsidRDefault="00A00DEE" w:rsidP="00A00DEE">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shadow/>
          <w:color w:val="auto"/>
          <w:sz w:val="26"/>
          <w:szCs w:val="26"/>
          <w:lang w:val="pt-BR"/>
        </w:rPr>
      </w:pPr>
      <w:r w:rsidRPr="00971E07">
        <w:rPr>
          <w:rFonts w:ascii="Times New Roman" w:hAnsi="Times New Roman" w:cs="Times New Roman"/>
          <w:b/>
          <w:bCs/>
          <w:shadow/>
          <w:color w:val="auto"/>
          <w:sz w:val="26"/>
          <w:szCs w:val="26"/>
          <w:lang w:val="pt-BR"/>
        </w:rPr>
        <w:t>S</w:t>
      </w:r>
      <w:r>
        <w:rPr>
          <w:rFonts w:ascii="Times New Roman" w:hAnsi="Times New Roman" w:cs="Times New Roman"/>
          <w:b/>
          <w:bCs/>
          <w:shadow/>
          <w:color w:val="auto"/>
          <w:sz w:val="26"/>
          <w:szCs w:val="26"/>
          <w:lang w:val="pt-BR"/>
        </w:rPr>
        <w:t xml:space="preserve">UBSEÇÃO I </w:t>
      </w:r>
      <w:r w:rsidRPr="00971E07">
        <w:rPr>
          <w:rFonts w:ascii="Times New Roman" w:hAnsi="Times New Roman" w:cs="Times New Roman"/>
          <w:b/>
          <w:bCs/>
          <w:shadow/>
          <w:color w:val="auto"/>
          <w:sz w:val="26"/>
          <w:szCs w:val="26"/>
          <w:lang w:val="pt-BR"/>
        </w:rPr>
        <w:t xml:space="preserve">ESPECIALIZADA EM DISSÍDIOS </w:t>
      </w:r>
      <w:r>
        <w:rPr>
          <w:rFonts w:ascii="Times New Roman" w:hAnsi="Times New Roman" w:cs="Times New Roman"/>
          <w:b/>
          <w:bCs/>
          <w:shadow/>
          <w:color w:val="auto"/>
          <w:sz w:val="26"/>
          <w:szCs w:val="26"/>
          <w:lang w:val="pt-BR"/>
        </w:rPr>
        <w:t>INDIVIDUAIS</w:t>
      </w:r>
    </w:p>
    <w:p w:rsidR="00817AB1" w:rsidRDefault="00817AB1" w:rsidP="007D469A">
      <w:pPr>
        <w:pStyle w:val="Corpo"/>
        <w:spacing w:line="240" w:lineRule="auto"/>
        <w:ind w:firstLine="0"/>
        <w:rPr>
          <w:rFonts w:ascii="Times New Roman" w:hAnsi="Times New Roman"/>
          <w:u w:val="single"/>
          <w:lang w:val="pt-BR"/>
        </w:rPr>
      </w:pPr>
    </w:p>
    <w:p w:rsidR="00CC6BEC" w:rsidRDefault="00CC6BEC" w:rsidP="007D469A">
      <w:pPr>
        <w:pStyle w:val="Corpo"/>
        <w:spacing w:line="240" w:lineRule="auto"/>
        <w:ind w:firstLine="0"/>
        <w:rPr>
          <w:rFonts w:ascii="Times New Roman" w:hAnsi="Times New Roman"/>
          <w:u w:val="single"/>
          <w:lang w:val="pt-BR"/>
        </w:rPr>
      </w:pPr>
    </w:p>
    <w:p w:rsidR="00FA7771" w:rsidRDefault="00FA7771" w:rsidP="00FA7771">
      <w:pPr>
        <w:jc w:val="both"/>
        <w:rPr>
          <w:b/>
          <w:i/>
          <w:sz w:val="24"/>
          <w:szCs w:val="24"/>
        </w:rPr>
      </w:pPr>
      <w:r>
        <w:rPr>
          <w:b/>
          <w:i/>
          <w:sz w:val="24"/>
          <w:szCs w:val="24"/>
        </w:rPr>
        <w:t>Adicional de periculosidade. Transporte de combustível inflamável. Tanque reserva para consumo próprio. Armazenamento superior ao limite mínimo estabelecido na NR-16 da Portaria nº 3.214/1978 do Ministério do Trabalho. Adicional devido.</w:t>
      </w:r>
    </w:p>
    <w:p w:rsidR="00FA7771" w:rsidRDefault="00FA7771" w:rsidP="00FA7771">
      <w:pPr>
        <w:pStyle w:val="Corpo"/>
        <w:spacing w:line="240" w:lineRule="auto"/>
        <w:ind w:firstLine="0"/>
        <w:rPr>
          <w:rFonts w:ascii="Times New Roman" w:hAnsi="Times New Roman"/>
          <w:u w:val="single"/>
          <w:lang w:val="pt-BR"/>
        </w:rPr>
      </w:pPr>
      <w:r>
        <w:rPr>
          <w:rFonts w:ascii="Times New Roman" w:eastAsia="Calibri" w:hAnsi="Times New Roman" w:cs="Times New Roman"/>
          <w:color w:val="auto"/>
          <w:lang w:val="pt-BR" w:eastAsia="en-US"/>
        </w:rPr>
        <w:t>O</w:t>
      </w:r>
      <w:r w:rsidRPr="00C7089A">
        <w:rPr>
          <w:rFonts w:ascii="Times New Roman" w:eastAsia="Calibri" w:hAnsi="Times New Roman" w:cs="Times New Roman"/>
          <w:color w:val="auto"/>
          <w:lang w:val="pt-BR" w:eastAsia="en-US"/>
        </w:rPr>
        <w:t xml:space="preserve"> armazenamento de combustível em tanque reserva de caminhão, se, somada </w:t>
      </w:r>
      <w:r>
        <w:rPr>
          <w:rFonts w:ascii="Times New Roman" w:eastAsia="Calibri" w:hAnsi="Times New Roman" w:cs="Times New Roman"/>
          <w:color w:val="auto"/>
          <w:lang w:val="pt-BR" w:eastAsia="en-US"/>
        </w:rPr>
        <w:t>à</w:t>
      </w:r>
      <w:r w:rsidRPr="00C7089A">
        <w:rPr>
          <w:rFonts w:ascii="Times New Roman" w:eastAsia="Calibri" w:hAnsi="Times New Roman" w:cs="Times New Roman"/>
          <w:color w:val="auto"/>
          <w:lang w:val="pt-BR" w:eastAsia="en-US"/>
        </w:rPr>
        <w:t xml:space="preserve"> capacidade do tanque principal, ultrapassa</w:t>
      </w:r>
      <w:r>
        <w:rPr>
          <w:rFonts w:ascii="Times New Roman" w:eastAsia="Calibri" w:hAnsi="Times New Roman" w:cs="Times New Roman"/>
          <w:color w:val="auto"/>
          <w:lang w:val="pt-BR" w:eastAsia="en-US"/>
        </w:rPr>
        <w:t>r</w:t>
      </w:r>
      <w:r w:rsidRPr="00C7089A">
        <w:rPr>
          <w:rFonts w:ascii="Times New Roman" w:eastAsia="Calibri" w:hAnsi="Times New Roman" w:cs="Times New Roman"/>
          <w:color w:val="auto"/>
          <w:lang w:val="pt-BR" w:eastAsia="en-US"/>
        </w:rPr>
        <w:t xml:space="preserve"> os limites mínimos estabelecidos na NR 16</w:t>
      </w:r>
      <w:r>
        <w:rPr>
          <w:rFonts w:ascii="Times New Roman" w:eastAsia="Calibri" w:hAnsi="Times New Roman" w:cs="Times New Roman"/>
          <w:color w:val="auto"/>
          <w:lang w:val="pt-BR" w:eastAsia="en-US"/>
        </w:rPr>
        <w:t xml:space="preserve"> da Portaria nº 3.214/1978 do Ministério do Trabalho (</w:t>
      </w:r>
      <w:r w:rsidRPr="00C7089A">
        <w:rPr>
          <w:rFonts w:ascii="Times New Roman" w:eastAsia="Calibri" w:hAnsi="Times New Roman" w:cs="Times New Roman"/>
          <w:color w:val="auto"/>
          <w:lang w:val="pt-BR" w:eastAsia="en-US"/>
        </w:rPr>
        <w:t>200 litros</w:t>
      </w:r>
      <w:r>
        <w:rPr>
          <w:rFonts w:ascii="Times New Roman" w:eastAsia="Calibri" w:hAnsi="Times New Roman" w:cs="Times New Roman"/>
          <w:color w:val="auto"/>
          <w:lang w:val="pt-BR" w:eastAsia="en-US"/>
        </w:rPr>
        <w:t>)</w:t>
      </w:r>
      <w:r w:rsidRPr="00C7089A">
        <w:rPr>
          <w:rFonts w:ascii="Times New Roman" w:eastAsia="Calibri" w:hAnsi="Times New Roman" w:cs="Times New Roman"/>
          <w:color w:val="auto"/>
          <w:lang w:val="pt-BR" w:eastAsia="en-US"/>
        </w:rPr>
        <w:t>, gera direito ao pagamento de adicional de periculosidade ao empregado condutor do veículo</w:t>
      </w:r>
      <w:r w:rsidRPr="00830C1D">
        <w:rPr>
          <w:rFonts w:ascii="Times New Roman" w:eastAsia="Calibri" w:hAnsi="Times New Roman" w:cs="Times New Roman"/>
          <w:color w:val="auto"/>
          <w:lang w:val="pt-BR" w:eastAsia="en-US"/>
        </w:rPr>
        <w:t xml:space="preserve">. </w:t>
      </w:r>
      <w:r>
        <w:rPr>
          <w:rFonts w:ascii="Times New Roman" w:eastAsia="Calibri" w:hAnsi="Times New Roman" w:cs="Times New Roman"/>
          <w:color w:val="auto"/>
          <w:lang w:val="pt-BR" w:eastAsia="en-US"/>
        </w:rPr>
        <w:t xml:space="preserve">No caso, entendeu-se que a situação descrita nos autos não se equipara à exceção contida no item 16.6.1 da NR 16, </w:t>
      </w:r>
      <w:r w:rsidRPr="00C7089A">
        <w:rPr>
          <w:rFonts w:ascii="Times New Roman" w:eastAsia="Calibri" w:hAnsi="Times New Roman" w:cs="Times New Roman"/>
          <w:color w:val="auto"/>
          <w:lang w:val="pt-BR" w:eastAsia="en-US"/>
        </w:rPr>
        <w:t>segundo o qual “as quantidades de inflamáveis, contidas nos tanques de consumo próprio dos veículos, não serão consideradas para efeito desta norma”</w:t>
      </w:r>
      <w:r>
        <w:rPr>
          <w:rFonts w:ascii="Times New Roman" w:eastAsia="Calibri" w:hAnsi="Times New Roman" w:cs="Times New Roman"/>
          <w:color w:val="auto"/>
          <w:lang w:val="pt-BR" w:eastAsia="en-US"/>
        </w:rPr>
        <w:t xml:space="preserve">, porquanto comprovado que o reclamante, </w:t>
      </w:r>
      <w:r w:rsidRPr="00C7089A">
        <w:rPr>
          <w:rFonts w:ascii="Times New Roman" w:eastAsia="Calibri" w:hAnsi="Times New Roman" w:cs="Times New Roman"/>
          <w:color w:val="auto"/>
          <w:lang w:val="pt-BR" w:eastAsia="en-US"/>
        </w:rPr>
        <w:t>no exercício da função de motorista de caminhão, transportava cerca de 1.250 litros de combustível inflamável, somadas as quantidades presentes no tanque principal e no tanque suplementar</w:t>
      </w:r>
      <w:r w:rsidRPr="00276F6E">
        <w:rPr>
          <w:rFonts w:ascii="Times New Roman" w:eastAsia="Calibri" w:hAnsi="Times New Roman" w:cs="Times New Roman"/>
          <w:color w:val="auto"/>
          <w:lang w:val="pt-BR" w:eastAsia="en-US"/>
        </w:rPr>
        <w:t>.</w:t>
      </w:r>
      <w:r>
        <w:rPr>
          <w:rFonts w:ascii="Times New Roman" w:eastAsia="Calibri" w:hAnsi="Times New Roman" w:cs="Times New Roman"/>
          <w:color w:val="auto"/>
          <w:lang w:val="pt-BR" w:eastAsia="en-US"/>
        </w:rPr>
        <w:t xml:space="preserve"> Sob</w:t>
      </w:r>
      <w:r w:rsidRPr="009C5D63">
        <w:rPr>
          <w:rFonts w:ascii="Times New Roman" w:eastAsia="Calibri" w:hAnsi="Times New Roman" w:cs="Times New Roman"/>
          <w:color w:val="auto"/>
          <w:lang w:val="pt-BR" w:eastAsia="en-US"/>
        </w:rPr>
        <w:t xml:space="preserve"> esse </w:t>
      </w:r>
      <w:r>
        <w:rPr>
          <w:rFonts w:ascii="Times New Roman" w:eastAsia="Calibri" w:hAnsi="Times New Roman" w:cs="Times New Roman"/>
          <w:color w:val="auto"/>
          <w:lang w:val="pt-BR" w:eastAsia="en-US"/>
        </w:rPr>
        <w:t>fundamento</w:t>
      </w:r>
      <w:r w:rsidRPr="009C5D63">
        <w:rPr>
          <w:rFonts w:ascii="Times New Roman" w:eastAsia="Calibri" w:hAnsi="Times New Roman" w:cs="Times New Roman"/>
          <w:color w:val="auto"/>
          <w:lang w:val="pt-BR" w:eastAsia="en-US"/>
        </w:rPr>
        <w:t xml:space="preserve">, a SBDI-I, </w:t>
      </w:r>
      <w:r>
        <w:rPr>
          <w:rFonts w:ascii="Times New Roman" w:eastAsia="Calibri" w:hAnsi="Times New Roman" w:cs="Times New Roman"/>
          <w:color w:val="auto"/>
          <w:lang w:val="pt-BR" w:eastAsia="en-US"/>
        </w:rPr>
        <w:t>por maioria</w:t>
      </w:r>
      <w:r w:rsidRPr="009C5D63">
        <w:rPr>
          <w:rFonts w:ascii="Times New Roman" w:eastAsia="Calibri" w:hAnsi="Times New Roman" w:cs="Times New Roman"/>
          <w:color w:val="auto"/>
          <w:lang w:val="pt-BR" w:eastAsia="en-US"/>
        </w:rPr>
        <w:t xml:space="preserve">, </w:t>
      </w:r>
      <w:r>
        <w:rPr>
          <w:rFonts w:ascii="Times New Roman" w:eastAsia="Calibri" w:hAnsi="Times New Roman" w:cs="Times New Roman"/>
          <w:color w:val="auto"/>
          <w:lang w:val="pt-BR" w:eastAsia="en-US"/>
        </w:rPr>
        <w:t xml:space="preserve">vencido o Ministro Antonio José de Barros Levenhagen, </w:t>
      </w:r>
      <w:r w:rsidRPr="009C5D63">
        <w:rPr>
          <w:rFonts w:ascii="Times New Roman" w:eastAsia="Calibri" w:hAnsi="Times New Roman" w:cs="Times New Roman"/>
          <w:color w:val="auto"/>
          <w:lang w:val="pt-BR" w:eastAsia="en-US"/>
        </w:rPr>
        <w:t>conheceu dos embargos interpostos pel</w:t>
      </w:r>
      <w:r>
        <w:rPr>
          <w:rFonts w:ascii="Times New Roman" w:eastAsia="Calibri" w:hAnsi="Times New Roman" w:cs="Times New Roman"/>
          <w:color w:val="auto"/>
          <w:lang w:val="pt-BR" w:eastAsia="en-US"/>
        </w:rPr>
        <w:t>o reclamante</w:t>
      </w:r>
      <w:r w:rsidRPr="009C5D63">
        <w:rPr>
          <w:rFonts w:ascii="Times New Roman" w:eastAsia="Calibri" w:hAnsi="Times New Roman" w:cs="Times New Roman"/>
          <w:color w:val="auto"/>
          <w:lang w:val="pt-BR" w:eastAsia="en-US"/>
        </w:rPr>
        <w:t xml:space="preserve">, por </w:t>
      </w:r>
      <w:r>
        <w:rPr>
          <w:rFonts w:ascii="Times New Roman" w:eastAsia="Calibri" w:hAnsi="Times New Roman" w:cs="Times New Roman"/>
          <w:color w:val="auto"/>
          <w:lang w:val="pt-BR" w:eastAsia="en-US"/>
        </w:rPr>
        <w:t>divergência jurisprudencial</w:t>
      </w:r>
      <w:r w:rsidRPr="009C5D63">
        <w:rPr>
          <w:rFonts w:ascii="Times New Roman" w:eastAsia="Calibri" w:hAnsi="Times New Roman" w:cs="Times New Roman"/>
          <w:color w:val="auto"/>
          <w:lang w:val="pt-BR" w:eastAsia="en-US"/>
        </w:rPr>
        <w:t>, e, no mérito,</w:t>
      </w:r>
      <w:r>
        <w:rPr>
          <w:rFonts w:ascii="Times New Roman" w:eastAsia="Calibri" w:hAnsi="Times New Roman" w:cs="Times New Roman"/>
          <w:color w:val="auto"/>
          <w:lang w:val="pt-BR" w:eastAsia="en-US"/>
        </w:rPr>
        <w:t xml:space="preserve"> por maioria, deu</w:t>
      </w:r>
      <w:r w:rsidRPr="009C5D63">
        <w:rPr>
          <w:rFonts w:ascii="Times New Roman" w:eastAsia="Calibri" w:hAnsi="Times New Roman" w:cs="Times New Roman"/>
          <w:color w:val="auto"/>
          <w:lang w:val="pt-BR" w:eastAsia="en-US"/>
        </w:rPr>
        <w:t>-lhes provimento</w:t>
      </w:r>
      <w:r>
        <w:rPr>
          <w:rFonts w:ascii="Times New Roman" w:eastAsia="Calibri" w:hAnsi="Times New Roman" w:cs="Times New Roman"/>
          <w:color w:val="auto"/>
          <w:lang w:val="pt-BR" w:eastAsia="en-US"/>
        </w:rPr>
        <w:t xml:space="preserve"> </w:t>
      </w:r>
      <w:r w:rsidRPr="004F5DEA">
        <w:rPr>
          <w:rFonts w:ascii="Times New Roman" w:eastAsia="Calibri" w:hAnsi="Times New Roman" w:cs="Times New Roman"/>
          <w:color w:val="auto"/>
          <w:lang w:val="pt-BR" w:eastAsia="en-US"/>
        </w:rPr>
        <w:t>para julgar procedente o pedido de pagamento do adicional de periculosidade</w:t>
      </w:r>
      <w:r>
        <w:rPr>
          <w:rFonts w:ascii="Times New Roman" w:eastAsia="Calibri" w:hAnsi="Times New Roman" w:cs="Times New Roman"/>
          <w:color w:val="auto"/>
          <w:lang w:val="pt-BR" w:eastAsia="en-US"/>
        </w:rPr>
        <w:t xml:space="preserve">, com os reflexos postulados nas prestações contratuais vinculadas ao salário, vencidos os Ministros </w:t>
      </w:r>
      <w:r w:rsidRPr="004F5DEA">
        <w:rPr>
          <w:rFonts w:ascii="Times New Roman" w:eastAsia="Calibri" w:hAnsi="Times New Roman" w:cs="Times New Roman"/>
          <w:color w:val="auto"/>
          <w:lang w:val="pt-BR" w:eastAsia="en-US"/>
        </w:rPr>
        <w:t>Aloysio Corrêa da Veiga, Renato de Lacerda Paiva, Guilherme Augusto Caputo Bastos e A</w:t>
      </w:r>
      <w:r>
        <w:rPr>
          <w:rFonts w:ascii="Times New Roman" w:eastAsia="Calibri" w:hAnsi="Times New Roman" w:cs="Times New Roman"/>
          <w:color w:val="auto"/>
          <w:lang w:val="pt-BR" w:eastAsia="en-US"/>
        </w:rPr>
        <w:t xml:space="preserve">lexandre de Souza Agra Belmonte. </w:t>
      </w:r>
      <w:hyperlink r:id="rId9" w:history="1">
        <w:r w:rsidRPr="001F45E0">
          <w:rPr>
            <w:rStyle w:val="Hyperlink"/>
            <w:rFonts w:ascii="Times New Roman" w:hAnsi="Times New Roman" w:cs="Courier New"/>
            <w:lang w:val="pt-BR"/>
          </w:rPr>
          <w:t>TST-E-RR-981-70.2011.5.23.0004</w:t>
        </w:r>
      </w:hyperlink>
      <w:r>
        <w:rPr>
          <w:rFonts w:ascii="Times New Roman" w:hAnsi="Times New Roman"/>
          <w:u w:val="single"/>
          <w:lang w:val="pt-BR"/>
        </w:rPr>
        <w:t xml:space="preserve">, SBDI-I, rel. Min. </w:t>
      </w:r>
      <w:r w:rsidRPr="004F5DEA">
        <w:rPr>
          <w:rFonts w:ascii="Times New Roman" w:hAnsi="Times New Roman"/>
          <w:u w:val="single"/>
          <w:lang w:val="pt-BR"/>
        </w:rPr>
        <w:t>João Oreste Dalazen</w:t>
      </w:r>
      <w:r w:rsidRPr="009C5D63">
        <w:rPr>
          <w:rFonts w:ascii="Times New Roman" w:hAnsi="Times New Roman"/>
          <w:u w:val="single"/>
          <w:lang w:val="pt-BR"/>
        </w:rPr>
        <w:t xml:space="preserve">, </w:t>
      </w:r>
      <w:r>
        <w:rPr>
          <w:rFonts w:ascii="Times New Roman" w:hAnsi="Times New Roman"/>
          <w:u w:val="single"/>
          <w:lang w:val="pt-BR"/>
        </w:rPr>
        <w:t>6</w:t>
      </w:r>
      <w:r w:rsidRPr="009C5D63">
        <w:rPr>
          <w:rFonts w:ascii="Times New Roman" w:hAnsi="Times New Roman"/>
          <w:u w:val="single"/>
          <w:lang w:val="pt-BR"/>
        </w:rPr>
        <w:t>.</w:t>
      </w:r>
      <w:r>
        <w:rPr>
          <w:rFonts w:ascii="Times New Roman" w:hAnsi="Times New Roman"/>
          <w:u w:val="single"/>
          <w:lang w:val="pt-BR"/>
        </w:rPr>
        <w:t>8.2015</w:t>
      </w:r>
      <w:r w:rsidRPr="009C5D63">
        <w:rPr>
          <w:rFonts w:ascii="Times New Roman" w:hAnsi="Times New Roman"/>
          <w:u w:val="single"/>
          <w:lang w:val="pt-BR"/>
        </w:rPr>
        <w:t>.</w:t>
      </w:r>
    </w:p>
    <w:p w:rsidR="00C87D5B" w:rsidRDefault="00C87D5B" w:rsidP="007D469A">
      <w:pPr>
        <w:pStyle w:val="Corpo"/>
        <w:spacing w:line="240" w:lineRule="auto"/>
        <w:ind w:firstLine="0"/>
        <w:rPr>
          <w:rFonts w:ascii="Times New Roman" w:hAnsi="Times New Roman"/>
          <w:u w:val="single"/>
          <w:lang w:val="pt-BR"/>
        </w:rPr>
      </w:pPr>
    </w:p>
    <w:p w:rsidR="002F28E5" w:rsidRPr="00895CC6" w:rsidRDefault="002F28E5" w:rsidP="002F28E5">
      <w:pPr>
        <w:jc w:val="both"/>
        <w:rPr>
          <w:b/>
          <w:i/>
          <w:sz w:val="24"/>
          <w:szCs w:val="24"/>
        </w:rPr>
      </w:pPr>
      <w:r>
        <w:rPr>
          <w:b/>
          <w:i/>
          <w:sz w:val="24"/>
          <w:szCs w:val="24"/>
        </w:rPr>
        <w:t>Reajustes salariais fixados por resoluções do Conselho de Reitores das Universidades do Estado de São Paulo (CRUESP) aos servidores das Universidades Estaduais Paulistas. Extensão aos servidores do Centro Estadual de Educação Tecnológica Paula Souza (CEETEPS). Impossibilidade.  Necessidade de lei específica.</w:t>
      </w:r>
      <w:r w:rsidRPr="00895CC6">
        <w:rPr>
          <w:b/>
          <w:i/>
          <w:sz w:val="24"/>
          <w:szCs w:val="24"/>
        </w:rPr>
        <w:t xml:space="preserve"> </w:t>
      </w:r>
    </w:p>
    <w:p w:rsidR="00C87D5B" w:rsidRDefault="002F28E5" w:rsidP="002F28E5">
      <w:pPr>
        <w:pStyle w:val="Corpo"/>
        <w:spacing w:line="240" w:lineRule="auto"/>
        <w:ind w:firstLine="0"/>
        <w:rPr>
          <w:rFonts w:ascii="Times New Roman" w:hAnsi="Times New Roman" w:cs="Times New Roman"/>
          <w:u w:val="single"/>
          <w:lang w:val="pt-BR"/>
        </w:rPr>
      </w:pPr>
      <w:r>
        <w:rPr>
          <w:rFonts w:ascii="Times New Roman" w:eastAsia="Calibri" w:hAnsi="Times New Roman" w:cs="Times New Roman"/>
          <w:color w:val="auto"/>
          <w:lang w:val="pt-BR" w:eastAsia="en-US"/>
        </w:rPr>
        <w:t xml:space="preserve">As normas salariais aprovadas pelo CRUESP (Conselho de Reitores das Universidades do Estado de São Paulo) para as Universidades do Estado de São Paulo não podem ser estendidas aos servidores do CEETEPS (Centro Estadual de Educação Tecnológica Paula Souza), por se tratarem de pessoas jurídicas distintas, inclusive no que concerne aos respectivos planos de carreiras e remuneração de seus servidores. O CEETEPS é autarquia estadual de regime especial, possuindo autonomia administrativa e financeira, além de patrimônio próprio, não se confundindo com as Universidades Estaduais, que têm autonomia assegurada pelo artigo 207 da Constituição Federal. Sendo assim, o reajuste salarial concedido por um dos entes não pode implicar ônus para o outro ente. No caso, o reclamante, servidor do CEETEPS, busca o recebimento de diferenças salariais decorrentes dos reajustes concedidos aos servidores das Universidades Estatuais Paulistas (UNESP). Ocorre que, não obstante os atos normativos de criação do CEETEPS, de sua vinculação à UNESP, bem como de autorização para que a política salarial das Universidades Estaduais seja estabelecida por Resoluções do CRUESP, tenham emanado do Poder Legislativo Estadual, a Constituição Federal (arts. 37, X e XIII e 207) não permite a concessão de aumentos remuneratórios de servidores públicos autárquicos sem lei específica. Além desses argumentos, ao Poder Judiciário não seria permitido proceder ao reajuste de salários e benefícios, pois tal fato implicaria a substituição de função do Poder Legislativo, a quem caberia editar lei própria alterando a forma de remuneração de servidores autárquicos em observância ao princípio da legalidade e ao disposto no art. 37, incisos X e XIII, da Constituição Federal. Sob esses fundamentos, a SBDI-1, por unanimidade, conheceu dos embargos, por divergência jurisprudencial e, no mérito, negou-lhes </w:t>
      </w:r>
      <w:r>
        <w:rPr>
          <w:rFonts w:ascii="Times New Roman" w:eastAsia="Calibri" w:hAnsi="Times New Roman" w:cs="Times New Roman"/>
          <w:color w:val="auto"/>
          <w:lang w:val="pt-BR" w:eastAsia="en-US"/>
        </w:rPr>
        <w:lastRenderedPageBreak/>
        <w:t xml:space="preserve">provimento. </w:t>
      </w:r>
      <w:hyperlink r:id="rId10" w:history="1">
        <w:r w:rsidRPr="001F45E0">
          <w:rPr>
            <w:rStyle w:val="Hyperlink"/>
            <w:rFonts w:ascii="Times New Roman" w:hAnsi="Times New Roman" w:cs="Courier New"/>
            <w:lang w:val="pt-BR"/>
          </w:rPr>
          <w:t>TST-E-RR-172400-28.2008.5.15.0024</w:t>
        </w:r>
      </w:hyperlink>
      <w:r w:rsidRPr="00895CC6">
        <w:rPr>
          <w:rFonts w:ascii="Times New Roman" w:hAnsi="Times New Roman"/>
          <w:u w:val="single"/>
          <w:lang w:val="pt-BR"/>
        </w:rPr>
        <w:t xml:space="preserve">, SBDI-I, rel. Min. </w:t>
      </w:r>
      <w:r>
        <w:rPr>
          <w:rFonts w:ascii="Times New Roman" w:hAnsi="Times New Roman"/>
          <w:u w:val="single"/>
          <w:lang w:val="pt-BR"/>
        </w:rPr>
        <w:t>Renato de Lacerda Paiva</w:t>
      </w:r>
      <w:r w:rsidRPr="00895CC6">
        <w:rPr>
          <w:rFonts w:ascii="Times New Roman" w:hAnsi="Times New Roman"/>
          <w:u w:val="single"/>
          <w:lang w:val="pt-BR"/>
        </w:rPr>
        <w:t xml:space="preserve">, </w:t>
      </w:r>
      <w:r>
        <w:rPr>
          <w:rFonts w:ascii="Times New Roman" w:hAnsi="Times New Roman"/>
          <w:u w:val="single"/>
          <w:lang w:val="pt-BR"/>
        </w:rPr>
        <w:t>6</w:t>
      </w:r>
      <w:r w:rsidRPr="00895CC6">
        <w:rPr>
          <w:rFonts w:ascii="Times New Roman" w:hAnsi="Times New Roman"/>
          <w:u w:val="single"/>
          <w:lang w:val="pt-BR"/>
        </w:rPr>
        <w:t>.</w:t>
      </w:r>
      <w:r>
        <w:rPr>
          <w:rFonts w:ascii="Times New Roman" w:hAnsi="Times New Roman"/>
          <w:u w:val="single"/>
          <w:lang w:val="pt-BR"/>
        </w:rPr>
        <w:t>8</w:t>
      </w:r>
      <w:r w:rsidRPr="00895CC6">
        <w:rPr>
          <w:rFonts w:ascii="Times New Roman" w:hAnsi="Times New Roman"/>
          <w:u w:val="single"/>
          <w:lang w:val="pt-BR"/>
        </w:rPr>
        <w:t>.201</w:t>
      </w:r>
      <w:r>
        <w:rPr>
          <w:rFonts w:ascii="Times New Roman" w:hAnsi="Times New Roman"/>
          <w:u w:val="single"/>
          <w:lang w:val="pt-BR"/>
        </w:rPr>
        <w:t>5</w:t>
      </w:r>
      <w:r w:rsidR="00766B7B">
        <w:rPr>
          <w:rFonts w:ascii="Times New Roman" w:hAnsi="Times New Roman"/>
          <w:u w:val="single"/>
          <w:lang w:val="pt-BR"/>
        </w:rPr>
        <w:t>.</w:t>
      </w:r>
    </w:p>
    <w:p w:rsidR="00C87D5B" w:rsidRDefault="00C87D5B" w:rsidP="00D73575">
      <w:pPr>
        <w:pStyle w:val="Corpo"/>
        <w:spacing w:line="240" w:lineRule="auto"/>
        <w:ind w:firstLine="0"/>
        <w:rPr>
          <w:rFonts w:ascii="Times New Roman" w:hAnsi="Times New Roman" w:cs="Times New Roman"/>
          <w:u w:val="single"/>
          <w:lang w:val="pt-BR"/>
        </w:rPr>
      </w:pPr>
    </w:p>
    <w:p w:rsidR="00766B7B" w:rsidRDefault="00766B7B" w:rsidP="00766B7B">
      <w:pPr>
        <w:jc w:val="both"/>
        <w:rPr>
          <w:b/>
          <w:i/>
          <w:sz w:val="24"/>
          <w:szCs w:val="24"/>
        </w:rPr>
      </w:pPr>
      <w:r>
        <w:rPr>
          <w:b/>
          <w:i/>
          <w:sz w:val="24"/>
          <w:szCs w:val="24"/>
        </w:rPr>
        <w:t>Bancário</w:t>
      </w:r>
      <w:r w:rsidRPr="00895CC6">
        <w:rPr>
          <w:b/>
          <w:i/>
          <w:sz w:val="24"/>
          <w:szCs w:val="24"/>
        </w:rPr>
        <w:t xml:space="preserve">. </w:t>
      </w:r>
      <w:r>
        <w:rPr>
          <w:b/>
          <w:i/>
          <w:sz w:val="24"/>
          <w:szCs w:val="24"/>
        </w:rPr>
        <w:t>Transporte de valores</w:t>
      </w:r>
      <w:r w:rsidRPr="00895CC6">
        <w:rPr>
          <w:b/>
          <w:i/>
          <w:sz w:val="24"/>
          <w:szCs w:val="24"/>
        </w:rPr>
        <w:t xml:space="preserve">.  </w:t>
      </w:r>
      <w:r>
        <w:rPr>
          <w:b/>
          <w:i/>
          <w:sz w:val="24"/>
          <w:szCs w:val="24"/>
        </w:rPr>
        <w:t xml:space="preserve">Desvio de função. Adicional de risco indevido. Ausência de previsão na </w:t>
      </w:r>
      <w:r w:rsidRPr="00134EC7">
        <w:rPr>
          <w:b/>
          <w:i/>
          <w:sz w:val="24"/>
          <w:szCs w:val="24"/>
        </w:rPr>
        <w:t>Lei n° 7.102/83.</w:t>
      </w:r>
    </w:p>
    <w:p w:rsidR="00766B7B" w:rsidRPr="00CC6BEC" w:rsidRDefault="00766B7B" w:rsidP="00766B7B">
      <w:pPr>
        <w:pStyle w:val="Corpo"/>
        <w:spacing w:line="240" w:lineRule="auto"/>
        <w:ind w:firstLine="0"/>
        <w:rPr>
          <w:rFonts w:ascii="Times New Roman" w:eastAsia="Calibri" w:hAnsi="Times New Roman" w:cs="Times New Roman"/>
          <w:color w:val="auto"/>
          <w:u w:val="single"/>
          <w:lang w:val="pt-BR" w:eastAsia="en-US"/>
        </w:rPr>
      </w:pPr>
      <w:r w:rsidRPr="00766B7B">
        <w:rPr>
          <w:rFonts w:ascii="Times New Roman" w:eastAsia="Calibri" w:hAnsi="Times New Roman"/>
          <w:color w:val="auto"/>
          <w:lang w:eastAsia="en-US"/>
        </w:rPr>
        <w:t>Consoante o artigo 3º da Lei nº 7.102/83, os serviços de transporte de valores serão executados por empresa especializada contratada ou pelo próprio estabelecimento financeiro, caso em que deverá haver a contratação de pessoal próprio, treinado para tanto. Tal norma parte do pressuposto de que a alegada atividade é de risco e, portanto, deve ser executada por funcionários aprovados em curso de formação de vigilante autorizado pelo Ministério da Justiça. A consequência do descumprimento da norma, por parte do estabelecimento bancário, é a imposição de advertência, multa ou interdição do estabelecimento. Não há qualquer previsão na Lei nº 7.102/83 de concessão de adicional de risco ao trabalhador ante o descumprimento de seus preceitos. Sob esses fundamentos, a SBDI-1,</w:t>
      </w:r>
      <w:r w:rsidRPr="00766B7B">
        <w:rPr>
          <w:rFonts w:ascii="Times New Roman" w:eastAsia="Calibri" w:hAnsi="Times New Roman" w:cs="Times New Roman"/>
          <w:color w:val="auto"/>
          <w:lang w:val="pt-BR" w:eastAsia="en-US"/>
        </w:rPr>
        <w:t xml:space="preserve"> </w:t>
      </w:r>
      <w:r w:rsidRPr="00766B7B">
        <w:rPr>
          <w:rFonts w:ascii="Times New Roman" w:eastAsia="Calibri" w:hAnsi="Times New Roman"/>
          <w:color w:val="auto"/>
          <w:lang w:eastAsia="en-US"/>
        </w:rPr>
        <w:t xml:space="preserve">por unanimidade, conheceu do recurso de embargos, por divergência jurisprudencial, e, no mérito, por maioria, deu-lhe provimento para restabelecer o acórdão do Regional, que </w:t>
      </w:r>
      <w:r w:rsidRPr="00766B7B">
        <w:rPr>
          <w:rFonts w:ascii="Times New Roman" w:eastAsia="Calibri" w:hAnsi="Times New Roman" w:cs="Times New Roman"/>
          <w:color w:val="auto"/>
          <w:lang w:val="pt-BR" w:eastAsia="en-US"/>
        </w:rPr>
        <w:t>indeferiu o pedido de pagamento do adicional de risco com esteio na falta de previsão legal e no fato de que o autor realizou o transporte de valores de forma meramente esporádica.</w:t>
      </w:r>
      <w:r w:rsidRPr="00766B7B">
        <w:rPr>
          <w:rFonts w:ascii="Times New Roman" w:eastAsia="Calibri" w:hAnsi="Times New Roman"/>
          <w:color w:val="auto"/>
          <w:lang w:eastAsia="en-US"/>
        </w:rPr>
        <w:t xml:space="preserve"> </w:t>
      </w:r>
      <w:r w:rsidRPr="00CC6BEC">
        <w:rPr>
          <w:rFonts w:ascii="Times New Roman" w:eastAsia="Calibri" w:hAnsi="Times New Roman"/>
          <w:color w:val="auto"/>
          <w:lang w:val="pt-BR" w:eastAsia="en-US"/>
        </w:rPr>
        <w:t>Vencidos os Ministros Augusto César Leite de Carvalho, Walmir Oliveira da Costa, Hugo Carlos Scheuermann e Cláudio Mascarenhas Brandão.</w:t>
      </w:r>
      <w:r w:rsidRPr="00766B7B">
        <w:rPr>
          <w:rFonts w:ascii="Times New Roman" w:eastAsia="Calibri" w:hAnsi="Times New Roman" w:cs="Times New Roman"/>
          <w:color w:val="auto"/>
          <w:lang w:val="pt-BR" w:eastAsia="en-US"/>
        </w:rPr>
        <w:t xml:space="preserve"> </w:t>
      </w:r>
      <w:hyperlink r:id="rId11" w:history="1">
        <w:r w:rsidRPr="001F45E0">
          <w:rPr>
            <w:rStyle w:val="Hyperlink"/>
            <w:rFonts w:ascii="Times New Roman" w:eastAsia="Calibri" w:hAnsi="Times New Roman"/>
            <w:lang w:val="pt-BR" w:eastAsia="en-US"/>
          </w:rPr>
          <w:t>TST-E-RR-157300-17.2008.5.12.0024</w:t>
        </w:r>
      </w:hyperlink>
      <w:r w:rsidRPr="00CC6BEC">
        <w:rPr>
          <w:rFonts w:ascii="Times New Roman" w:eastAsia="Calibri" w:hAnsi="Times New Roman" w:cs="Times New Roman"/>
          <w:color w:val="auto"/>
          <w:u w:val="single"/>
          <w:lang w:val="pt-BR" w:eastAsia="en-US"/>
        </w:rPr>
        <w:t>, SBDI-I, rel. Min. Renato de Lacerda Paiva, 6.8.2015.</w:t>
      </w:r>
    </w:p>
    <w:p w:rsidR="00CC743B" w:rsidRDefault="00CC743B" w:rsidP="00D73575">
      <w:pPr>
        <w:pStyle w:val="Corpo"/>
        <w:spacing w:line="240" w:lineRule="auto"/>
        <w:ind w:firstLine="0"/>
        <w:rPr>
          <w:rFonts w:ascii="Times New Roman" w:hAnsi="Times New Roman" w:cs="Times New Roman"/>
          <w:u w:val="single"/>
          <w:lang w:val="pt-BR"/>
        </w:rPr>
      </w:pPr>
    </w:p>
    <w:p w:rsidR="00CC743B" w:rsidRDefault="00CC743B" w:rsidP="00D73575">
      <w:pPr>
        <w:pStyle w:val="Corpo"/>
        <w:spacing w:line="240" w:lineRule="auto"/>
        <w:ind w:firstLine="0"/>
        <w:rPr>
          <w:rFonts w:ascii="Times New Roman" w:hAnsi="Times New Roman" w:cs="Times New Roman"/>
          <w:u w:val="single"/>
          <w:lang w:val="pt-BR"/>
        </w:rPr>
      </w:pPr>
    </w:p>
    <w:p w:rsidR="00FB6188" w:rsidRPr="00971E07" w:rsidRDefault="00FB6188" w:rsidP="00FB6188">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shadow/>
          <w:color w:val="auto"/>
          <w:sz w:val="26"/>
          <w:szCs w:val="26"/>
          <w:lang w:val="pt-BR"/>
        </w:rPr>
      </w:pPr>
      <w:r w:rsidRPr="00971E07">
        <w:rPr>
          <w:rFonts w:ascii="Times New Roman" w:hAnsi="Times New Roman" w:cs="Times New Roman"/>
          <w:b/>
          <w:bCs/>
          <w:shadow/>
          <w:color w:val="auto"/>
          <w:sz w:val="26"/>
          <w:szCs w:val="26"/>
          <w:lang w:val="pt-BR"/>
        </w:rPr>
        <w:t>S</w:t>
      </w:r>
      <w:r>
        <w:rPr>
          <w:rFonts w:ascii="Times New Roman" w:hAnsi="Times New Roman" w:cs="Times New Roman"/>
          <w:b/>
          <w:bCs/>
          <w:shadow/>
          <w:color w:val="auto"/>
          <w:sz w:val="26"/>
          <w:szCs w:val="26"/>
          <w:lang w:val="pt-BR"/>
        </w:rPr>
        <w:t xml:space="preserve">UBSEÇÃO II </w:t>
      </w:r>
      <w:r w:rsidRPr="00971E07">
        <w:rPr>
          <w:rFonts w:ascii="Times New Roman" w:hAnsi="Times New Roman" w:cs="Times New Roman"/>
          <w:b/>
          <w:bCs/>
          <w:shadow/>
          <w:color w:val="auto"/>
          <w:sz w:val="26"/>
          <w:szCs w:val="26"/>
          <w:lang w:val="pt-BR"/>
        </w:rPr>
        <w:t xml:space="preserve">ESPECIALIZADA EM DISSÍDIOS </w:t>
      </w:r>
      <w:r>
        <w:rPr>
          <w:rFonts w:ascii="Times New Roman" w:hAnsi="Times New Roman" w:cs="Times New Roman"/>
          <w:b/>
          <w:bCs/>
          <w:shadow/>
          <w:color w:val="auto"/>
          <w:sz w:val="26"/>
          <w:szCs w:val="26"/>
          <w:lang w:val="pt-BR"/>
        </w:rPr>
        <w:t>INDIVIDUAIS</w:t>
      </w:r>
    </w:p>
    <w:p w:rsidR="00CC743B" w:rsidRDefault="00CC743B" w:rsidP="00D73575">
      <w:pPr>
        <w:pStyle w:val="Corpo"/>
        <w:spacing w:line="240" w:lineRule="auto"/>
        <w:ind w:firstLine="0"/>
        <w:rPr>
          <w:rFonts w:ascii="Times New Roman" w:hAnsi="Times New Roman" w:cs="Times New Roman"/>
          <w:u w:val="single"/>
          <w:lang w:val="pt-BR"/>
        </w:rPr>
      </w:pPr>
    </w:p>
    <w:p w:rsidR="00CC6BEC" w:rsidRDefault="00CC6BEC" w:rsidP="00D73575">
      <w:pPr>
        <w:pStyle w:val="Corpo"/>
        <w:spacing w:line="240" w:lineRule="auto"/>
        <w:ind w:firstLine="0"/>
        <w:rPr>
          <w:rFonts w:ascii="Times New Roman" w:hAnsi="Times New Roman" w:cs="Times New Roman"/>
          <w:u w:val="single"/>
          <w:lang w:val="pt-BR"/>
        </w:rPr>
      </w:pPr>
    </w:p>
    <w:p w:rsidR="00FB6188" w:rsidRPr="00895CC6" w:rsidRDefault="00FB6188" w:rsidP="00FB6188">
      <w:pPr>
        <w:jc w:val="both"/>
        <w:rPr>
          <w:b/>
          <w:i/>
          <w:sz w:val="24"/>
          <w:szCs w:val="24"/>
        </w:rPr>
      </w:pPr>
      <w:r>
        <w:rPr>
          <w:b/>
          <w:i/>
          <w:sz w:val="24"/>
          <w:szCs w:val="24"/>
        </w:rPr>
        <w:t>Ação rescisória. Pretensão de inclusão de novos valores em cálculos já homologados. Preclusão consumativa. Questão meramente processual.</w:t>
      </w:r>
      <w:r w:rsidRPr="00895CC6">
        <w:rPr>
          <w:b/>
          <w:i/>
          <w:sz w:val="24"/>
          <w:szCs w:val="24"/>
        </w:rPr>
        <w:t xml:space="preserve"> </w:t>
      </w:r>
      <w:r>
        <w:rPr>
          <w:b/>
          <w:i/>
          <w:sz w:val="24"/>
          <w:szCs w:val="24"/>
        </w:rPr>
        <w:t xml:space="preserve">Coisa julgada formal. Impossibilidade de corte rescisório. Art. 485, </w:t>
      </w:r>
      <w:r>
        <w:rPr>
          <w:b/>
          <w:sz w:val="24"/>
          <w:szCs w:val="24"/>
        </w:rPr>
        <w:t>caput</w:t>
      </w:r>
      <w:r>
        <w:rPr>
          <w:b/>
          <w:i/>
          <w:sz w:val="24"/>
          <w:szCs w:val="24"/>
        </w:rPr>
        <w:t>, do CPC. Extinção do feito sem resolução de mérito.</w:t>
      </w:r>
    </w:p>
    <w:p w:rsidR="00FB6188" w:rsidRPr="00B4123C" w:rsidRDefault="00FB6188" w:rsidP="00FB6188">
      <w:pPr>
        <w:pStyle w:val="Corpo"/>
        <w:spacing w:line="240" w:lineRule="auto"/>
        <w:ind w:firstLine="0"/>
        <w:rPr>
          <w:rFonts w:ascii="Times New Roman" w:eastAsia="Calibri" w:hAnsi="Times New Roman" w:cs="Times New Roman"/>
          <w:color w:val="auto"/>
          <w:lang w:val="pt-BR" w:eastAsia="en-US"/>
        </w:rPr>
      </w:pPr>
      <w:r>
        <w:rPr>
          <w:rFonts w:ascii="Times New Roman" w:eastAsia="Calibri" w:hAnsi="Times New Roman" w:cs="Times New Roman"/>
          <w:color w:val="auto"/>
          <w:lang w:val="pt-BR" w:eastAsia="en-US"/>
        </w:rPr>
        <w:t xml:space="preserve">É juridicamente impossível o pedido de rescisão de acórdão em que se julgou preclusa a pretensão de inclusão de novos valores em cálculos já homologados judicialmente. A decisão rescindenda não enfrenta o mérito da lide, pois se fundamenta em questão meramente processual, a saber, a preclusão consumativa. Assim, gera apenas coisa julgada formal, não sujeita a corte rescisório, nos termos do art. 485, </w:t>
      </w:r>
      <w:r>
        <w:rPr>
          <w:rFonts w:ascii="Times New Roman" w:eastAsia="Calibri" w:hAnsi="Times New Roman" w:cs="Times New Roman"/>
          <w:i/>
          <w:color w:val="auto"/>
          <w:lang w:val="pt-BR" w:eastAsia="en-US"/>
        </w:rPr>
        <w:t>caput</w:t>
      </w:r>
      <w:r>
        <w:rPr>
          <w:rFonts w:ascii="Times New Roman" w:eastAsia="Calibri" w:hAnsi="Times New Roman" w:cs="Times New Roman"/>
          <w:color w:val="auto"/>
          <w:lang w:val="pt-BR" w:eastAsia="en-US"/>
        </w:rPr>
        <w:t xml:space="preserve">, do CPC. Sob esses fundamentos, a SBDI-2, por unanimidade, conheceu do recurso ordinário e, no mérito, negou-lhe provimento. </w:t>
      </w:r>
      <w:hyperlink r:id="rId12" w:history="1">
        <w:r w:rsidRPr="001F45E0">
          <w:rPr>
            <w:rStyle w:val="Hyperlink"/>
            <w:rFonts w:ascii="Times New Roman" w:hAnsi="Times New Roman" w:cs="Courier New"/>
            <w:lang w:val="pt-BR"/>
          </w:rPr>
          <w:t>TST-RO-100017-94.2013.5.17.0000</w:t>
        </w:r>
      </w:hyperlink>
      <w:r w:rsidRPr="00895CC6">
        <w:rPr>
          <w:rFonts w:ascii="Times New Roman" w:hAnsi="Times New Roman"/>
          <w:u w:val="single"/>
          <w:lang w:val="pt-BR"/>
        </w:rPr>
        <w:t>, SBDI-</w:t>
      </w:r>
      <w:r>
        <w:rPr>
          <w:rFonts w:ascii="Times New Roman" w:hAnsi="Times New Roman"/>
          <w:u w:val="single"/>
          <w:lang w:val="pt-BR"/>
        </w:rPr>
        <w:t>II</w:t>
      </w:r>
      <w:r w:rsidRPr="00895CC6">
        <w:rPr>
          <w:rFonts w:ascii="Times New Roman" w:hAnsi="Times New Roman"/>
          <w:u w:val="single"/>
          <w:lang w:val="pt-BR"/>
        </w:rPr>
        <w:t xml:space="preserve">, rel. Min. </w:t>
      </w:r>
      <w:r>
        <w:rPr>
          <w:rFonts w:ascii="Times New Roman" w:hAnsi="Times New Roman"/>
          <w:u w:val="single"/>
          <w:lang w:val="pt-BR"/>
        </w:rPr>
        <w:t>Luiz Philippe Vieira de Mello Filho</w:t>
      </w:r>
      <w:r w:rsidRPr="00895CC6">
        <w:rPr>
          <w:rFonts w:ascii="Times New Roman" w:hAnsi="Times New Roman"/>
          <w:u w:val="single"/>
          <w:lang w:val="pt-BR"/>
        </w:rPr>
        <w:t xml:space="preserve">, </w:t>
      </w:r>
      <w:r>
        <w:rPr>
          <w:rFonts w:ascii="Times New Roman" w:hAnsi="Times New Roman"/>
          <w:u w:val="single"/>
          <w:lang w:val="pt-BR"/>
        </w:rPr>
        <w:t>4</w:t>
      </w:r>
      <w:r w:rsidRPr="00895CC6">
        <w:rPr>
          <w:rFonts w:ascii="Times New Roman" w:hAnsi="Times New Roman"/>
          <w:u w:val="single"/>
          <w:lang w:val="pt-BR"/>
        </w:rPr>
        <w:t>.</w:t>
      </w:r>
      <w:r>
        <w:rPr>
          <w:rFonts w:ascii="Times New Roman" w:hAnsi="Times New Roman"/>
          <w:u w:val="single"/>
          <w:lang w:val="pt-BR"/>
        </w:rPr>
        <w:t>8</w:t>
      </w:r>
      <w:r w:rsidRPr="00895CC6">
        <w:rPr>
          <w:rFonts w:ascii="Times New Roman" w:hAnsi="Times New Roman"/>
          <w:u w:val="single"/>
          <w:lang w:val="pt-BR"/>
        </w:rPr>
        <w:t>.201</w:t>
      </w:r>
      <w:r>
        <w:rPr>
          <w:rFonts w:ascii="Times New Roman" w:hAnsi="Times New Roman"/>
          <w:u w:val="single"/>
          <w:lang w:val="pt-BR"/>
        </w:rPr>
        <w:t>5.</w:t>
      </w:r>
    </w:p>
    <w:p w:rsidR="00CC743B" w:rsidRDefault="00CC743B" w:rsidP="00D73575">
      <w:pPr>
        <w:pStyle w:val="Corpo"/>
        <w:spacing w:line="240" w:lineRule="auto"/>
        <w:ind w:firstLine="0"/>
        <w:rPr>
          <w:rFonts w:ascii="Times New Roman" w:hAnsi="Times New Roman" w:cs="Times New Roman"/>
          <w:u w:val="single"/>
          <w:lang w:val="pt-BR"/>
        </w:rPr>
      </w:pPr>
    </w:p>
    <w:p w:rsidR="00C87D5B" w:rsidRDefault="00C87D5B" w:rsidP="00D73575">
      <w:pPr>
        <w:pStyle w:val="Corpo"/>
        <w:spacing w:line="240" w:lineRule="auto"/>
        <w:ind w:firstLine="0"/>
        <w:rPr>
          <w:rFonts w:ascii="Times New Roman" w:hAnsi="Times New Roman" w:cs="Times New Roman"/>
          <w:u w:val="single"/>
          <w:lang w:val="pt-BR"/>
        </w:rPr>
      </w:pPr>
    </w:p>
    <w:p w:rsidR="00C87D5B" w:rsidRDefault="00C87D5B" w:rsidP="00D73575">
      <w:pPr>
        <w:pStyle w:val="Corpo"/>
        <w:spacing w:line="240" w:lineRule="auto"/>
        <w:ind w:firstLine="0"/>
        <w:rPr>
          <w:rFonts w:ascii="Times New Roman" w:hAnsi="Times New Roman" w:cs="Times New Roman"/>
          <w:u w:val="single"/>
          <w:lang w:val="pt-BR"/>
        </w:rPr>
      </w:pPr>
    </w:p>
    <w:p w:rsidR="004A5908" w:rsidRPr="00BC54BC" w:rsidRDefault="004A5908" w:rsidP="00C54185">
      <w:pPr>
        <w:jc w:val="both"/>
      </w:pPr>
    </w:p>
    <w:p w:rsidR="00184590" w:rsidRPr="005D1DE4"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outlineLvl w:val="0"/>
        <w:rPr>
          <w:b w:val="0"/>
          <w:bCs w:val="0"/>
          <w:snapToGrid w:val="0"/>
          <w:sz w:val="20"/>
          <w:szCs w:val="20"/>
        </w:rPr>
      </w:pPr>
      <w:r w:rsidRPr="005D1DE4">
        <w:rPr>
          <w:b w:val="0"/>
          <w:bCs w:val="0"/>
          <w:snapToGrid w:val="0"/>
          <w:sz w:val="20"/>
          <w:szCs w:val="20"/>
        </w:rPr>
        <w:t xml:space="preserve">Informativo TST é mantido pela </w:t>
      </w:r>
    </w:p>
    <w:p w:rsidR="00184590" w:rsidRPr="005D1DE4"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rPr>
          <w:b w:val="0"/>
          <w:bCs w:val="0"/>
          <w:snapToGrid w:val="0"/>
          <w:sz w:val="20"/>
          <w:szCs w:val="20"/>
        </w:rPr>
      </w:pPr>
      <w:r w:rsidRPr="005D1DE4">
        <w:rPr>
          <w:b w:val="0"/>
          <w:bCs w:val="0"/>
          <w:snapToGrid w:val="0"/>
          <w:sz w:val="20"/>
          <w:szCs w:val="20"/>
        </w:rPr>
        <w:t>Coordenadoria de Jurisprudência – CJUR</w:t>
      </w:r>
    </w:p>
    <w:p w:rsidR="00184590" w:rsidRPr="005D1DE4"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rPr>
      </w:pPr>
      <w:r w:rsidRPr="005D1DE4">
        <w:rPr>
          <w:snapToGrid w:val="0"/>
        </w:rPr>
        <w:t>Informações/Sugestões/Críticas</w:t>
      </w:r>
      <w:r w:rsidRPr="005D1DE4">
        <w:rPr>
          <w:snapToGrid w:val="0"/>
          <w:sz w:val="22"/>
          <w:szCs w:val="22"/>
        </w:rPr>
        <w:t xml:space="preserve">: </w:t>
      </w:r>
      <w:r w:rsidRPr="005D1DE4">
        <w:rPr>
          <w:snapToGrid w:val="0"/>
        </w:rPr>
        <w:t>(61)3043</w:t>
      </w:r>
      <w:r w:rsidR="00352B27">
        <w:rPr>
          <w:snapToGrid w:val="0"/>
        </w:rPr>
        <w:t>-</w:t>
      </w:r>
      <w:r w:rsidRPr="005D1DE4">
        <w:rPr>
          <w:snapToGrid w:val="0"/>
        </w:rPr>
        <w:t>4</w:t>
      </w:r>
      <w:r w:rsidR="00D72C05" w:rsidRPr="005D1DE4">
        <w:rPr>
          <w:snapToGrid w:val="0"/>
        </w:rPr>
        <w:t>417</w:t>
      </w:r>
    </w:p>
    <w:p w:rsidR="007614F1" w:rsidRPr="005D1DE4"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2"/>
          <w:szCs w:val="22"/>
        </w:rPr>
      </w:pPr>
      <w:r w:rsidRPr="005D1DE4">
        <w:rPr>
          <w:snapToGrid w:val="0"/>
        </w:rPr>
        <w:t>cjur@tst.jus.br</w:t>
      </w:r>
    </w:p>
    <w:sectPr w:rsidR="007614F1" w:rsidRPr="005D1DE4" w:rsidSect="00D11B24">
      <w:headerReference w:type="default" r:id="rId13"/>
      <w:footerReference w:type="default" r:id="rId14"/>
      <w:headerReference w:type="first" r:id="rId15"/>
      <w:footerReference w:type="first" r:id="rId16"/>
      <w:type w:val="continuous"/>
      <w:pgSz w:w="11907" w:h="16839" w:code="9"/>
      <w:pgMar w:top="1304" w:right="1134" w:bottom="851" w:left="1134" w:header="709" w:footer="709"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3F1" w:rsidRDefault="009353F1">
      <w:r>
        <w:separator/>
      </w:r>
    </w:p>
  </w:endnote>
  <w:endnote w:type="continuationSeparator" w:id="0">
    <w:p w:rsidR="009353F1" w:rsidRDefault="00935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Default="00FE00AD">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14567">
      <w:rPr>
        <w:rStyle w:val="Nmerodepgina"/>
        <w:noProof/>
      </w:rPr>
      <w:t>3</w:t>
    </w:r>
    <w:r>
      <w:rPr>
        <w:rStyle w:val="Nmerodepgina"/>
      </w:rPr>
      <w:fldChar w:fldCharType="end"/>
    </w:r>
  </w:p>
  <w:p w:rsidR="00FE00AD" w:rsidRDefault="00187A37">
    <w:pPr>
      <w:pStyle w:val="Rodap"/>
      <w:ind w:right="360"/>
    </w:pPr>
    <w:r>
      <w:rPr>
        <w:noProof/>
      </w:rPr>
      <w:pict>
        <v:line id="_x0000_s2050" style="position:absolute;z-index:251658240" from=".9pt,-3.55pt" to="497.7pt,-3.55pt" o:allowincell="f" strokecolor="#969696"/>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Default="00187A37">
    <w:pPr>
      <w:pStyle w:val="Rodap"/>
      <w:jc w:val="right"/>
    </w:pPr>
    <w:r>
      <w:rPr>
        <w:noProof/>
      </w:rPr>
      <w:pict>
        <v:line id="_x0000_s2054" style="position:absolute;left:0;text-align:left;flip:y;z-index:251659264" from=".9pt,-3.55pt" to="497.7pt,-3.4pt" o:allowincell="f" strokecolor="#969696"/>
      </w:pict>
    </w:r>
    <w:r w:rsidR="00FE00AD">
      <w:rPr>
        <w:rStyle w:val="Nmerodepgina"/>
      </w:rPr>
      <w:fldChar w:fldCharType="begin"/>
    </w:r>
    <w:r w:rsidR="00FE00AD">
      <w:rPr>
        <w:rStyle w:val="Nmerodepgina"/>
      </w:rPr>
      <w:instrText xml:space="preserve"> PAGE </w:instrText>
    </w:r>
    <w:r w:rsidR="00FE00AD">
      <w:rPr>
        <w:rStyle w:val="Nmerodepgina"/>
      </w:rPr>
      <w:fldChar w:fldCharType="separate"/>
    </w:r>
    <w:r w:rsidR="00B14567">
      <w:rPr>
        <w:rStyle w:val="Nmerodepgina"/>
        <w:noProof/>
      </w:rPr>
      <w:t>1</w:t>
    </w:r>
    <w:r w:rsidR="00FE00AD">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3F1" w:rsidRDefault="009353F1">
      <w:r>
        <w:separator/>
      </w:r>
    </w:p>
  </w:footnote>
  <w:footnote w:type="continuationSeparator" w:id="0">
    <w:p w:rsidR="009353F1" w:rsidRDefault="009353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Pr="00971E07" w:rsidRDefault="00FE00AD">
    <w:pPr>
      <w:pStyle w:val="Corpodetexto"/>
      <w:jc w:val="right"/>
      <w:rPr>
        <w:shadow/>
        <w:sz w:val="24"/>
        <w:szCs w:val="24"/>
      </w:rPr>
    </w:pPr>
    <w:r w:rsidRPr="00971E07">
      <w:rPr>
        <w:shadow/>
        <w:sz w:val="24"/>
        <w:szCs w:val="24"/>
      </w:rPr>
      <w:t xml:space="preserve">Informativo TST - </w:t>
    </w:r>
    <w:r w:rsidR="00986D77">
      <w:rPr>
        <w:shadow/>
        <w:sz w:val="24"/>
        <w:szCs w:val="24"/>
      </w:rPr>
      <w:t>n</w:t>
    </w:r>
    <w:r w:rsidRPr="00971E07">
      <w:rPr>
        <w:shadow/>
        <w:sz w:val="24"/>
        <w:szCs w:val="24"/>
      </w:rPr>
      <w:t xml:space="preserve">º </w:t>
    </w:r>
    <w:r w:rsidR="005A30AA">
      <w:rPr>
        <w:shadow/>
        <w:sz w:val="24"/>
        <w:szCs w:val="24"/>
      </w:rPr>
      <w:t>11</w:t>
    </w:r>
    <w:r w:rsidR="003C0554">
      <w:rPr>
        <w:shadow/>
        <w:sz w:val="24"/>
        <w:szCs w:val="24"/>
      </w:rPr>
      <w:t>3</w:t>
    </w:r>
  </w:p>
  <w:p w:rsidR="003C0554" w:rsidRPr="003C0554" w:rsidRDefault="00187A37" w:rsidP="003C0554">
    <w:pPr>
      <w:pStyle w:val="Cabealho"/>
      <w:jc w:val="right"/>
    </w:pPr>
    <w:r w:rsidRPr="003C0554">
      <w:rPr>
        <w:noProof/>
      </w:rPr>
      <w:pict>
        <v:line id="_x0000_s2049" style="position:absolute;left:0;text-align:left;flip:x;z-index:251657216" from=".9pt,10.15pt" to="497.7pt,10.15pt" o:allowincell="f" strokecolor="#969696"/>
      </w:pict>
    </w:r>
    <w:r w:rsidR="00DB0223" w:rsidRPr="003C0554">
      <w:rPr>
        <w:iCs/>
      </w:rPr>
      <w:t xml:space="preserve"> </w:t>
    </w:r>
    <w:r w:rsidR="003C0554" w:rsidRPr="003C0554">
      <w:rPr>
        <w:iCs/>
      </w:rPr>
      <w:t>Período: 4 a 17 de agosto de 2015</w:t>
    </w:r>
  </w:p>
  <w:p w:rsidR="00DB0223" w:rsidRPr="00DB0223" w:rsidRDefault="00DB0223" w:rsidP="00DB0223">
    <w:pPr>
      <w:pStyle w:val="Cabealho"/>
      <w:jc w:val="right"/>
    </w:pPr>
  </w:p>
  <w:p w:rsidR="00FE00AD" w:rsidRDefault="00FE00AD">
    <w:pPr>
      <w:pStyle w:val="Ttulo6"/>
      <w:spacing w:line="360" w:lineRule="auto"/>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AD" w:rsidRDefault="00075BDB">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65.7pt;margin-top:25pt;width:381.6pt;height:36pt;z-index:251656192" o:allowincell="f" fillcolor="black">
          <v:shadow color="#868686"/>
          <v:textpath style="font-family:&quot;Times New Roman&quot;;v-text-kern:t" trim="t" fitpath="t" string="INFORMATIVO TST"/>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3pt;height:77pt">
          <v:imagedata r:id="rId1" o:title="TST LOGO"/>
        </v:shape>
      </w:pict>
    </w:r>
  </w:p>
  <w:p w:rsidR="00FE00AD" w:rsidRPr="002168DE" w:rsidRDefault="00A51749" w:rsidP="00075BDB">
    <w:pPr>
      <w:pStyle w:val="Cabealho"/>
      <w:tabs>
        <w:tab w:val="clear" w:pos="4419"/>
        <w:tab w:val="clear" w:pos="8838"/>
        <w:tab w:val="left" w:pos="2793"/>
      </w:tabs>
      <w:jc w:val="right"/>
      <w:rPr>
        <w:b/>
        <w:sz w:val="40"/>
        <w:szCs w:val="40"/>
      </w:rPr>
    </w:pPr>
    <w:r>
      <w:tab/>
    </w:r>
    <w:r w:rsidR="00075BDB">
      <w:tab/>
    </w:r>
    <w:r w:rsidR="00075BDB">
      <w:tab/>
    </w:r>
    <w:r w:rsidR="00075BDB">
      <w:tab/>
    </w:r>
    <w:r w:rsidR="00075BDB">
      <w:tab/>
    </w:r>
    <w:r w:rsidR="00075BDB">
      <w:tab/>
    </w:r>
    <w:r w:rsidR="00FE00AD" w:rsidRPr="002168DE">
      <w:rPr>
        <w:b/>
        <w:sz w:val="40"/>
        <w:szCs w:val="40"/>
      </w:rPr>
      <w:t xml:space="preserve">Nº </w:t>
    </w:r>
    <w:r w:rsidR="00470EF8">
      <w:rPr>
        <w:b/>
        <w:sz w:val="40"/>
        <w:szCs w:val="40"/>
      </w:rPr>
      <w:t>11</w:t>
    </w:r>
    <w:r w:rsidR="00543B94">
      <w:rPr>
        <w:b/>
        <w:sz w:val="40"/>
        <w:szCs w:val="40"/>
      </w:rPr>
      <w:t>3</w:t>
    </w:r>
  </w:p>
  <w:p w:rsidR="00FE00AD" w:rsidRPr="005D1DE4" w:rsidRDefault="00FE00AD">
    <w:pPr>
      <w:pStyle w:val="Cabealho"/>
      <w:jc w:val="right"/>
      <w:rPr>
        <w:i/>
        <w:iCs/>
        <w:sz w:val="10"/>
        <w:szCs w:val="10"/>
      </w:rPr>
    </w:pPr>
  </w:p>
  <w:p w:rsidR="00FE00AD" w:rsidRPr="005D1DE4" w:rsidRDefault="002168DE">
    <w:pPr>
      <w:pStyle w:val="Cabealho"/>
      <w:jc w:val="right"/>
    </w:pPr>
    <w:r>
      <w:rPr>
        <w:i/>
        <w:iCs/>
      </w:rPr>
      <w:t>Período:</w:t>
    </w:r>
    <w:r w:rsidR="00FE00AD" w:rsidRPr="005D1DE4">
      <w:rPr>
        <w:i/>
        <w:iCs/>
      </w:rPr>
      <w:t xml:space="preserve"> </w:t>
    </w:r>
    <w:r w:rsidR="00543B94">
      <w:rPr>
        <w:i/>
        <w:iCs/>
      </w:rPr>
      <w:t>4 a 17</w:t>
    </w:r>
    <w:r w:rsidR="001E79B4">
      <w:rPr>
        <w:i/>
        <w:iCs/>
      </w:rPr>
      <w:t xml:space="preserve"> de agosto</w:t>
    </w:r>
    <w:r w:rsidR="00BC54BC">
      <w:rPr>
        <w:i/>
        <w:iCs/>
      </w:rPr>
      <w:t xml:space="preserve"> </w:t>
    </w:r>
    <w:r w:rsidR="004A094C">
      <w:rPr>
        <w:i/>
        <w:iCs/>
      </w:rPr>
      <w:t>de 201</w:t>
    </w:r>
    <w:r w:rsidR="00C54185">
      <w:rPr>
        <w:i/>
        <w:iCs/>
      </w:rPr>
      <w:t>5</w:t>
    </w:r>
  </w:p>
  <w:p w:rsidR="00FE00AD" w:rsidRDefault="00FE00AD" w:rsidP="00631F1C">
    <w:pPr>
      <w:pStyle w:val="Cabealho"/>
      <w:pBdr>
        <w:bottom w:val="single" w:sz="4" w:space="1" w:color="auto"/>
      </w:pBdr>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908C3"/>
    <w:multiLevelType w:val="multilevel"/>
    <w:tmpl w:val="1292BA3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41C61C72"/>
    <w:multiLevelType w:val="multilevel"/>
    <w:tmpl w:val="E452BD52"/>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5986985"/>
    <w:multiLevelType w:val="multilevel"/>
    <w:tmpl w:val="D854AEF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6FE"/>
    <w:rsid w:val="00004C36"/>
    <w:rsid w:val="000228E6"/>
    <w:rsid w:val="00024CE9"/>
    <w:rsid w:val="00032056"/>
    <w:rsid w:val="000322FB"/>
    <w:rsid w:val="000425FC"/>
    <w:rsid w:val="00050E85"/>
    <w:rsid w:val="00056752"/>
    <w:rsid w:val="00057B87"/>
    <w:rsid w:val="0006020E"/>
    <w:rsid w:val="000733B4"/>
    <w:rsid w:val="00073880"/>
    <w:rsid w:val="00075BDB"/>
    <w:rsid w:val="00080F10"/>
    <w:rsid w:val="0009237D"/>
    <w:rsid w:val="00093AE9"/>
    <w:rsid w:val="00093BA8"/>
    <w:rsid w:val="000A04E6"/>
    <w:rsid w:val="000B2973"/>
    <w:rsid w:val="000B4D41"/>
    <w:rsid w:val="000B67DF"/>
    <w:rsid w:val="000B7CDE"/>
    <w:rsid w:val="000C3022"/>
    <w:rsid w:val="000C58F4"/>
    <w:rsid w:val="000C5AC6"/>
    <w:rsid w:val="000C672B"/>
    <w:rsid w:val="000E0A91"/>
    <w:rsid w:val="000E1DC1"/>
    <w:rsid w:val="0011575C"/>
    <w:rsid w:val="0011692E"/>
    <w:rsid w:val="00137564"/>
    <w:rsid w:val="00137DC1"/>
    <w:rsid w:val="00142C28"/>
    <w:rsid w:val="0015612D"/>
    <w:rsid w:val="00161CDE"/>
    <w:rsid w:val="00163142"/>
    <w:rsid w:val="00176D15"/>
    <w:rsid w:val="00184590"/>
    <w:rsid w:val="00187A37"/>
    <w:rsid w:val="0019151D"/>
    <w:rsid w:val="00193208"/>
    <w:rsid w:val="00197B15"/>
    <w:rsid w:val="001C04D2"/>
    <w:rsid w:val="001C21FB"/>
    <w:rsid w:val="001C271F"/>
    <w:rsid w:val="001C6C93"/>
    <w:rsid w:val="001D4CF9"/>
    <w:rsid w:val="001D5AB0"/>
    <w:rsid w:val="001D757D"/>
    <w:rsid w:val="001E14A9"/>
    <w:rsid w:val="001E14BB"/>
    <w:rsid w:val="001E4B57"/>
    <w:rsid w:val="001E5BD1"/>
    <w:rsid w:val="001E713B"/>
    <w:rsid w:val="001E79B4"/>
    <w:rsid w:val="001F030F"/>
    <w:rsid w:val="001F45E0"/>
    <w:rsid w:val="00206810"/>
    <w:rsid w:val="002168DE"/>
    <w:rsid w:val="00224AC2"/>
    <w:rsid w:val="0023559D"/>
    <w:rsid w:val="002402B0"/>
    <w:rsid w:val="002449F9"/>
    <w:rsid w:val="00257B4A"/>
    <w:rsid w:val="002635ED"/>
    <w:rsid w:val="002662BA"/>
    <w:rsid w:val="00266D49"/>
    <w:rsid w:val="00271C5C"/>
    <w:rsid w:val="00271E67"/>
    <w:rsid w:val="002730B5"/>
    <w:rsid w:val="00276EA0"/>
    <w:rsid w:val="00280594"/>
    <w:rsid w:val="00285064"/>
    <w:rsid w:val="002A219D"/>
    <w:rsid w:val="002A546D"/>
    <w:rsid w:val="002B4738"/>
    <w:rsid w:val="002B6377"/>
    <w:rsid w:val="002C2904"/>
    <w:rsid w:val="002E78CB"/>
    <w:rsid w:val="002F28E5"/>
    <w:rsid w:val="0033397A"/>
    <w:rsid w:val="00352B27"/>
    <w:rsid w:val="0035374D"/>
    <w:rsid w:val="00363255"/>
    <w:rsid w:val="0036325E"/>
    <w:rsid w:val="003671FE"/>
    <w:rsid w:val="003708FD"/>
    <w:rsid w:val="003745DE"/>
    <w:rsid w:val="0037667D"/>
    <w:rsid w:val="00380212"/>
    <w:rsid w:val="00383A89"/>
    <w:rsid w:val="00384075"/>
    <w:rsid w:val="003908C5"/>
    <w:rsid w:val="00396053"/>
    <w:rsid w:val="003A4086"/>
    <w:rsid w:val="003A5E5B"/>
    <w:rsid w:val="003B045C"/>
    <w:rsid w:val="003B0A59"/>
    <w:rsid w:val="003B3EB5"/>
    <w:rsid w:val="003B4E23"/>
    <w:rsid w:val="003B767E"/>
    <w:rsid w:val="003C0554"/>
    <w:rsid w:val="003C6FE7"/>
    <w:rsid w:val="003D032E"/>
    <w:rsid w:val="003D4205"/>
    <w:rsid w:val="003F2078"/>
    <w:rsid w:val="0042772A"/>
    <w:rsid w:val="004323B0"/>
    <w:rsid w:val="00444E88"/>
    <w:rsid w:val="004477EC"/>
    <w:rsid w:val="0045657C"/>
    <w:rsid w:val="004655CC"/>
    <w:rsid w:val="00466DB9"/>
    <w:rsid w:val="00470EF8"/>
    <w:rsid w:val="00486521"/>
    <w:rsid w:val="00486DFC"/>
    <w:rsid w:val="004922D6"/>
    <w:rsid w:val="004A094C"/>
    <w:rsid w:val="004A14FC"/>
    <w:rsid w:val="004A5264"/>
    <w:rsid w:val="004A5908"/>
    <w:rsid w:val="004B21AD"/>
    <w:rsid w:val="004C011C"/>
    <w:rsid w:val="004C14EA"/>
    <w:rsid w:val="004C2118"/>
    <w:rsid w:val="004C2612"/>
    <w:rsid w:val="004D6000"/>
    <w:rsid w:val="004D6415"/>
    <w:rsid w:val="004D71E8"/>
    <w:rsid w:val="004E393E"/>
    <w:rsid w:val="004E4507"/>
    <w:rsid w:val="004E4619"/>
    <w:rsid w:val="004F0A7D"/>
    <w:rsid w:val="00513789"/>
    <w:rsid w:val="0051538E"/>
    <w:rsid w:val="00517E01"/>
    <w:rsid w:val="00521EEC"/>
    <w:rsid w:val="00543B94"/>
    <w:rsid w:val="005460BD"/>
    <w:rsid w:val="005521C8"/>
    <w:rsid w:val="00553197"/>
    <w:rsid w:val="0055409E"/>
    <w:rsid w:val="00556367"/>
    <w:rsid w:val="00556B35"/>
    <w:rsid w:val="00573E13"/>
    <w:rsid w:val="005811A4"/>
    <w:rsid w:val="00584F82"/>
    <w:rsid w:val="00591DFA"/>
    <w:rsid w:val="005A30AA"/>
    <w:rsid w:val="005A5695"/>
    <w:rsid w:val="005B0A1C"/>
    <w:rsid w:val="005B2F00"/>
    <w:rsid w:val="005B3792"/>
    <w:rsid w:val="005B57DE"/>
    <w:rsid w:val="005C1886"/>
    <w:rsid w:val="005C761E"/>
    <w:rsid w:val="005D0E5F"/>
    <w:rsid w:val="005D1DE4"/>
    <w:rsid w:val="005E35BD"/>
    <w:rsid w:val="005E3D4D"/>
    <w:rsid w:val="005E7FD1"/>
    <w:rsid w:val="005F0545"/>
    <w:rsid w:val="005F2858"/>
    <w:rsid w:val="006002E3"/>
    <w:rsid w:val="006145AC"/>
    <w:rsid w:val="00615F98"/>
    <w:rsid w:val="006207F5"/>
    <w:rsid w:val="00621F9C"/>
    <w:rsid w:val="00631166"/>
    <w:rsid w:val="00631F1C"/>
    <w:rsid w:val="006366A4"/>
    <w:rsid w:val="00643B60"/>
    <w:rsid w:val="006456B1"/>
    <w:rsid w:val="006564EC"/>
    <w:rsid w:val="0066084C"/>
    <w:rsid w:val="00661B23"/>
    <w:rsid w:val="00672CF9"/>
    <w:rsid w:val="00672E11"/>
    <w:rsid w:val="0068273B"/>
    <w:rsid w:val="00691234"/>
    <w:rsid w:val="006931CC"/>
    <w:rsid w:val="006947F2"/>
    <w:rsid w:val="00697919"/>
    <w:rsid w:val="006B3FCF"/>
    <w:rsid w:val="006B46CA"/>
    <w:rsid w:val="006C0391"/>
    <w:rsid w:val="006C28B3"/>
    <w:rsid w:val="006D1F66"/>
    <w:rsid w:val="006D306E"/>
    <w:rsid w:val="006D4497"/>
    <w:rsid w:val="006F6C15"/>
    <w:rsid w:val="00700B1B"/>
    <w:rsid w:val="0070727E"/>
    <w:rsid w:val="00710D3A"/>
    <w:rsid w:val="0071315F"/>
    <w:rsid w:val="00721942"/>
    <w:rsid w:val="00722BE7"/>
    <w:rsid w:val="00732DF2"/>
    <w:rsid w:val="007614F1"/>
    <w:rsid w:val="007618C5"/>
    <w:rsid w:val="00764066"/>
    <w:rsid w:val="00766B7B"/>
    <w:rsid w:val="00776118"/>
    <w:rsid w:val="007B0F83"/>
    <w:rsid w:val="007C0A4F"/>
    <w:rsid w:val="007D29A1"/>
    <w:rsid w:val="007D469A"/>
    <w:rsid w:val="007E0EA7"/>
    <w:rsid w:val="007E3F23"/>
    <w:rsid w:val="007F142E"/>
    <w:rsid w:val="007F66BC"/>
    <w:rsid w:val="007F7B5E"/>
    <w:rsid w:val="00802B1A"/>
    <w:rsid w:val="0080615C"/>
    <w:rsid w:val="0081027F"/>
    <w:rsid w:val="0081742D"/>
    <w:rsid w:val="00817AB1"/>
    <w:rsid w:val="00821F4D"/>
    <w:rsid w:val="00823906"/>
    <w:rsid w:val="008409D3"/>
    <w:rsid w:val="00845559"/>
    <w:rsid w:val="00854DB8"/>
    <w:rsid w:val="00854EF2"/>
    <w:rsid w:val="008627C6"/>
    <w:rsid w:val="00863B86"/>
    <w:rsid w:val="00871F69"/>
    <w:rsid w:val="008842D0"/>
    <w:rsid w:val="00884AC4"/>
    <w:rsid w:val="0088579D"/>
    <w:rsid w:val="008A7953"/>
    <w:rsid w:val="008B3081"/>
    <w:rsid w:val="008B32D4"/>
    <w:rsid w:val="008C7AD0"/>
    <w:rsid w:val="008D0020"/>
    <w:rsid w:val="008D3C38"/>
    <w:rsid w:val="008D6A05"/>
    <w:rsid w:val="008E2AE5"/>
    <w:rsid w:val="008E3F89"/>
    <w:rsid w:val="008F26CB"/>
    <w:rsid w:val="008F6509"/>
    <w:rsid w:val="008F79D9"/>
    <w:rsid w:val="009027C8"/>
    <w:rsid w:val="0093467A"/>
    <w:rsid w:val="009353F1"/>
    <w:rsid w:val="0094155C"/>
    <w:rsid w:val="00951531"/>
    <w:rsid w:val="00960A3B"/>
    <w:rsid w:val="00967DE0"/>
    <w:rsid w:val="00971E07"/>
    <w:rsid w:val="00980944"/>
    <w:rsid w:val="00986D77"/>
    <w:rsid w:val="00993A6E"/>
    <w:rsid w:val="009943EC"/>
    <w:rsid w:val="009A32D5"/>
    <w:rsid w:val="009B6012"/>
    <w:rsid w:val="009C102D"/>
    <w:rsid w:val="009C2A4F"/>
    <w:rsid w:val="009D4C59"/>
    <w:rsid w:val="009D7F91"/>
    <w:rsid w:val="009E20EF"/>
    <w:rsid w:val="009E26EE"/>
    <w:rsid w:val="009F21A2"/>
    <w:rsid w:val="00A00D70"/>
    <w:rsid w:val="00A00DEE"/>
    <w:rsid w:val="00A32FBF"/>
    <w:rsid w:val="00A407EA"/>
    <w:rsid w:val="00A51749"/>
    <w:rsid w:val="00A521B6"/>
    <w:rsid w:val="00A56962"/>
    <w:rsid w:val="00A6412C"/>
    <w:rsid w:val="00A75419"/>
    <w:rsid w:val="00A76661"/>
    <w:rsid w:val="00A76D2A"/>
    <w:rsid w:val="00A82081"/>
    <w:rsid w:val="00A8557E"/>
    <w:rsid w:val="00A91181"/>
    <w:rsid w:val="00A935AC"/>
    <w:rsid w:val="00AA3DE0"/>
    <w:rsid w:val="00AB299E"/>
    <w:rsid w:val="00AB507C"/>
    <w:rsid w:val="00AD6E76"/>
    <w:rsid w:val="00AE3EAA"/>
    <w:rsid w:val="00AE5EDF"/>
    <w:rsid w:val="00AE758A"/>
    <w:rsid w:val="00B06261"/>
    <w:rsid w:val="00B14567"/>
    <w:rsid w:val="00B14F7F"/>
    <w:rsid w:val="00B16EB9"/>
    <w:rsid w:val="00B22F24"/>
    <w:rsid w:val="00B22F53"/>
    <w:rsid w:val="00B24DBE"/>
    <w:rsid w:val="00B34EB2"/>
    <w:rsid w:val="00B4728A"/>
    <w:rsid w:val="00B517C3"/>
    <w:rsid w:val="00B518B2"/>
    <w:rsid w:val="00B526EA"/>
    <w:rsid w:val="00B536FE"/>
    <w:rsid w:val="00B73FFA"/>
    <w:rsid w:val="00B838C3"/>
    <w:rsid w:val="00B874F1"/>
    <w:rsid w:val="00BC1DE7"/>
    <w:rsid w:val="00BC2C67"/>
    <w:rsid w:val="00BC54BC"/>
    <w:rsid w:val="00BC5AEE"/>
    <w:rsid w:val="00BD6029"/>
    <w:rsid w:val="00BE0541"/>
    <w:rsid w:val="00BE1ADB"/>
    <w:rsid w:val="00BF0693"/>
    <w:rsid w:val="00C070DE"/>
    <w:rsid w:val="00C26DFB"/>
    <w:rsid w:val="00C273FA"/>
    <w:rsid w:val="00C30D06"/>
    <w:rsid w:val="00C42067"/>
    <w:rsid w:val="00C432D0"/>
    <w:rsid w:val="00C4398E"/>
    <w:rsid w:val="00C54185"/>
    <w:rsid w:val="00C57E92"/>
    <w:rsid w:val="00C60B4A"/>
    <w:rsid w:val="00C65BDB"/>
    <w:rsid w:val="00C71A3B"/>
    <w:rsid w:val="00C76CFA"/>
    <w:rsid w:val="00C87D5B"/>
    <w:rsid w:val="00C963F8"/>
    <w:rsid w:val="00C96BB1"/>
    <w:rsid w:val="00CA2F80"/>
    <w:rsid w:val="00CB0C2A"/>
    <w:rsid w:val="00CC4B2B"/>
    <w:rsid w:val="00CC579C"/>
    <w:rsid w:val="00CC5F5F"/>
    <w:rsid w:val="00CC6BEC"/>
    <w:rsid w:val="00CC743B"/>
    <w:rsid w:val="00CD3460"/>
    <w:rsid w:val="00CD4B61"/>
    <w:rsid w:val="00CD5043"/>
    <w:rsid w:val="00CE2928"/>
    <w:rsid w:val="00CE314A"/>
    <w:rsid w:val="00CE5865"/>
    <w:rsid w:val="00CF3D9D"/>
    <w:rsid w:val="00D01C50"/>
    <w:rsid w:val="00D11B24"/>
    <w:rsid w:val="00D11C18"/>
    <w:rsid w:val="00D133C8"/>
    <w:rsid w:val="00D14DB8"/>
    <w:rsid w:val="00D17339"/>
    <w:rsid w:val="00D244D5"/>
    <w:rsid w:val="00D2776A"/>
    <w:rsid w:val="00D413DB"/>
    <w:rsid w:val="00D420E2"/>
    <w:rsid w:val="00D4459D"/>
    <w:rsid w:val="00D573F9"/>
    <w:rsid w:val="00D6058B"/>
    <w:rsid w:val="00D63EC5"/>
    <w:rsid w:val="00D64BC3"/>
    <w:rsid w:val="00D72C05"/>
    <w:rsid w:val="00D73575"/>
    <w:rsid w:val="00D735BF"/>
    <w:rsid w:val="00D77672"/>
    <w:rsid w:val="00D80222"/>
    <w:rsid w:val="00D847CF"/>
    <w:rsid w:val="00DA0A99"/>
    <w:rsid w:val="00DA0A9D"/>
    <w:rsid w:val="00DA7603"/>
    <w:rsid w:val="00DA7E39"/>
    <w:rsid w:val="00DA7EDE"/>
    <w:rsid w:val="00DB0223"/>
    <w:rsid w:val="00DB047C"/>
    <w:rsid w:val="00DC0AB5"/>
    <w:rsid w:val="00DC3451"/>
    <w:rsid w:val="00DC50EB"/>
    <w:rsid w:val="00DD19F4"/>
    <w:rsid w:val="00DD3FA0"/>
    <w:rsid w:val="00DE5B2D"/>
    <w:rsid w:val="00DE5CE9"/>
    <w:rsid w:val="00E03064"/>
    <w:rsid w:val="00E04BD5"/>
    <w:rsid w:val="00E070D2"/>
    <w:rsid w:val="00E1539C"/>
    <w:rsid w:val="00E162B6"/>
    <w:rsid w:val="00E16E01"/>
    <w:rsid w:val="00E24A50"/>
    <w:rsid w:val="00E31469"/>
    <w:rsid w:val="00E35639"/>
    <w:rsid w:val="00E432CC"/>
    <w:rsid w:val="00E50711"/>
    <w:rsid w:val="00E52522"/>
    <w:rsid w:val="00E60AD3"/>
    <w:rsid w:val="00E60EDA"/>
    <w:rsid w:val="00E62BBC"/>
    <w:rsid w:val="00E9503C"/>
    <w:rsid w:val="00E956D9"/>
    <w:rsid w:val="00EA1958"/>
    <w:rsid w:val="00EA29F5"/>
    <w:rsid w:val="00EA482D"/>
    <w:rsid w:val="00EB5FE6"/>
    <w:rsid w:val="00EB61A5"/>
    <w:rsid w:val="00EB6C1B"/>
    <w:rsid w:val="00EB7A09"/>
    <w:rsid w:val="00EC5AF4"/>
    <w:rsid w:val="00ED661C"/>
    <w:rsid w:val="00EE41B5"/>
    <w:rsid w:val="00EE66C9"/>
    <w:rsid w:val="00EF11A9"/>
    <w:rsid w:val="00EF38E1"/>
    <w:rsid w:val="00EF749A"/>
    <w:rsid w:val="00EF771E"/>
    <w:rsid w:val="00F02565"/>
    <w:rsid w:val="00F05542"/>
    <w:rsid w:val="00F06855"/>
    <w:rsid w:val="00F17A2C"/>
    <w:rsid w:val="00F21A70"/>
    <w:rsid w:val="00F26708"/>
    <w:rsid w:val="00F45608"/>
    <w:rsid w:val="00F511EE"/>
    <w:rsid w:val="00F558E7"/>
    <w:rsid w:val="00F62016"/>
    <w:rsid w:val="00F63F44"/>
    <w:rsid w:val="00F6746D"/>
    <w:rsid w:val="00F811CD"/>
    <w:rsid w:val="00F82D8F"/>
    <w:rsid w:val="00F83F62"/>
    <w:rsid w:val="00F9711D"/>
    <w:rsid w:val="00FA011F"/>
    <w:rsid w:val="00FA7544"/>
    <w:rsid w:val="00FA75E0"/>
    <w:rsid w:val="00FA7771"/>
    <w:rsid w:val="00FB20B1"/>
    <w:rsid w:val="00FB3AB4"/>
    <w:rsid w:val="00FB6188"/>
    <w:rsid w:val="00FC35EC"/>
    <w:rsid w:val="00FC56A4"/>
    <w:rsid w:val="00FD3D06"/>
    <w:rsid w:val="00FD5662"/>
    <w:rsid w:val="00FD72B6"/>
    <w:rsid w:val="00FE00AD"/>
    <w:rsid w:val="00FE206E"/>
    <w:rsid w:val="00FE499F"/>
    <w:rsid w:val="00FF6D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rPr>
  </w:style>
  <w:style w:type="paragraph" w:styleId="Ttulo1">
    <w:name w:val="heading 1"/>
    <w:basedOn w:val="Normal"/>
    <w:next w:val="Normal"/>
    <w:link w:val="Ttulo1Char"/>
    <w:uiPriority w:val="99"/>
    <w:qFormat/>
    <w:pPr>
      <w:keepNext/>
      <w:jc w:val="both"/>
      <w:outlineLvl w:val="0"/>
    </w:pPr>
    <w:rPr>
      <w:b/>
      <w:bCs/>
      <w:color w:val="0000FF"/>
    </w:rPr>
  </w:style>
  <w:style w:type="paragraph" w:styleId="Ttulo5">
    <w:name w:val="heading 5"/>
    <w:basedOn w:val="Normal"/>
    <w:next w:val="Normal"/>
    <w:link w:val="Ttulo5Char"/>
    <w:uiPriority w:val="99"/>
    <w:qFormat/>
    <w:pPr>
      <w:keepNext/>
      <w:jc w:val="both"/>
      <w:outlineLvl w:val="4"/>
    </w:pPr>
    <w:rPr>
      <w:u w:val="single"/>
    </w:rPr>
  </w:style>
  <w:style w:type="paragraph" w:styleId="Ttulo6">
    <w:name w:val="heading 6"/>
    <w:basedOn w:val="Normal"/>
    <w:next w:val="Normal"/>
    <w:link w:val="Ttulo6Char"/>
    <w:uiPriority w:val="99"/>
    <w:qFormat/>
    <w:pPr>
      <w:keepNext/>
      <w:jc w:val="center"/>
      <w:outlineLvl w:val="5"/>
    </w:pPr>
    <w:rPr>
      <w:sz w:val="28"/>
      <w:szCs w:val="28"/>
    </w:rPr>
  </w:style>
  <w:style w:type="character" w:default="1" w:styleId="Fontepargpadro">
    <w:name w:val="Default Paragraph Font"/>
    <w:uiPriority w:val="99"/>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5Char">
    <w:name w:val="Título 5 Char"/>
    <w:link w:val="Ttulo5"/>
    <w:uiPriority w:val="99"/>
    <w:locked/>
    <w:rPr>
      <w:rFonts w:ascii="Calibri" w:hAnsi="Calibri" w:cs="Calibri"/>
      <w:b/>
      <w:bCs/>
      <w:i/>
      <w:iCs/>
      <w:sz w:val="26"/>
      <w:szCs w:val="26"/>
    </w:rPr>
  </w:style>
  <w:style w:type="character" w:customStyle="1" w:styleId="Ttulo6Char">
    <w:name w:val="Título 6 Char"/>
    <w:link w:val="Ttulo6"/>
    <w:uiPriority w:val="99"/>
    <w:locked/>
    <w:rPr>
      <w:rFonts w:ascii="Calibri" w:hAnsi="Calibri" w:cs="Calibri"/>
      <w:b/>
      <w:bCs/>
      <w:sz w:val="22"/>
      <w:szCs w:val="2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locked/>
    <w:rPr>
      <w:rFonts w:cs="Times New Roman"/>
    </w:rPr>
  </w:style>
  <w:style w:type="paragraph" w:styleId="Corpodetexto">
    <w:name w:val="Body Text"/>
    <w:basedOn w:val="Normal"/>
    <w:link w:val="CorpodetextoChar"/>
    <w:uiPriority w:val="99"/>
    <w:pPr>
      <w:jc w:val="center"/>
    </w:pPr>
    <w:rPr>
      <w:b/>
      <w:bCs/>
      <w:sz w:val="26"/>
      <w:szCs w:val="26"/>
    </w:rPr>
  </w:style>
  <w:style w:type="character" w:customStyle="1" w:styleId="CorpodetextoChar">
    <w:name w:val="Corpo de texto Char"/>
    <w:link w:val="Corpodetexto"/>
    <w:uiPriority w:val="99"/>
    <w:locked/>
    <w:rPr>
      <w:rFonts w:cs="Times New Roman"/>
    </w:rPr>
  </w:style>
  <w:style w:type="paragraph" w:customStyle="1" w:styleId="coletanea">
    <w:name w:val="coletanea"/>
    <w:basedOn w:val="Normal"/>
    <w:pPr>
      <w:jc w:val="both"/>
    </w:pPr>
  </w:style>
  <w:style w:type="paragraph" w:customStyle="1" w:styleId="Ementa">
    <w:name w:val="Ementa"/>
    <w:basedOn w:val="Normal"/>
    <w:uiPriority w:val="99"/>
    <w:pPr>
      <w:ind w:left="4536"/>
      <w:jc w:val="both"/>
    </w:pPr>
    <w:rPr>
      <w:rFonts w:ascii="Courier New" w:hAnsi="Courier New" w:cs="Courier New"/>
      <w:color w:val="808000"/>
      <w:sz w:val="24"/>
      <w:szCs w:val="24"/>
      <w:lang w:val="en-US"/>
    </w:rPr>
  </w:style>
  <w:style w:type="paragraph" w:styleId="Corpodetexto3">
    <w:name w:val="Body Text 3"/>
    <w:basedOn w:val="Normal"/>
    <w:link w:val="Corpodetexto3Char"/>
    <w:uiPriority w:val="99"/>
    <w:pPr>
      <w:jc w:val="both"/>
    </w:pPr>
    <w:rPr>
      <w:b/>
      <w:bCs/>
      <w:i/>
      <w:iCs/>
      <w:sz w:val="24"/>
      <w:szCs w:val="24"/>
    </w:rPr>
  </w:style>
  <w:style w:type="character" w:customStyle="1" w:styleId="Corpodetexto3Char">
    <w:name w:val="Corpo de texto 3 Char"/>
    <w:link w:val="Corpodetexto3"/>
    <w:uiPriority w:val="99"/>
    <w:locked/>
    <w:rPr>
      <w:rFonts w:cs="Times New Roman"/>
      <w:sz w:val="16"/>
      <w:szCs w:val="16"/>
    </w:rPr>
  </w:style>
  <w:style w:type="character" w:styleId="Nmerodepgina">
    <w:name w:val="page number"/>
    <w:uiPriority w:val="99"/>
    <w:rPr>
      <w:rFonts w:cs="Times New Roman"/>
    </w:rPr>
  </w:style>
  <w:style w:type="character" w:styleId="Hyperlink">
    <w:name w:val="Hyperlink"/>
    <w:uiPriority w:val="99"/>
    <w:rPr>
      <w:rFonts w:cs="Times New Roman"/>
      <w:color w:val="0000FF"/>
      <w:u w:val="single"/>
    </w:rPr>
  </w:style>
  <w:style w:type="paragraph" w:customStyle="1" w:styleId="Identificao">
    <w:name w:val="Identificação"/>
    <w:basedOn w:val="Normal"/>
    <w:uiPriority w:val="99"/>
    <w:pPr>
      <w:jc w:val="both"/>
    </w:pPr>
    <w:rPr>
      <w:rFonts w:ascii="Courier New" w:hAnsi="Courier New" w:cs="Courier New"/>
      <w:color w:val="000000"/>
      <w:sz w:val="24"/>
      <w:szCs w:val="24"/>
      <w:lang w:val="en-US"/>
    </w:rPr>
  </w:style>
  <w:style w:type="paragraph" w:customStyle="1" w:styleId="Corpo">
    <w:name w:val="Corpo"/>
    <w:link w:val="CorpoChar"/>
    <w:uiPriority w:val="99"/>
    <w:qFormat/>
    <w:pPr>
      <w:autoSpaceDE w:val="0"/>
      <w:autoSpaceDN w:val="0"/>
      <w:spacing w:line="360" w:lineRule="atLeast"/>
      <w:ind w:firstLine="2551"/>
      <w:jc w:val="both"/>
    </w:pPr>
    <w:rPr>
      <w:rFonts w:ascii="Courier New" w:hAnsi="Courier New" w:cs="Courier New"/>
      <w:color w:val="000000"/>
      <w:sz w:val="24"/>
      <w:szCs w:val="24"/>
      <w:lang w:val="en-US"/>
    </w:rPr>
  </w:style>
  <w:style w:type="character" w:customStyle="1" w:styleId="Hiperlink">
    <w:name w:val="Hiperlink"/>
    <w:uiPriority w:val="99"/>
    <w:rPr>
      <w:color w:val="0000FF"/>
      <w:u w:val="single"/>
    </w:rPr>
  </w:style>
  <w:style w:type="paragraph" w:styleId="Corpodetexto2">
    <w:name w:val="Body Text 2"/>
    <w:basedOn w:val="Normal"/>
    <w:link w:val="Corpodetexto2Char"/>
    <w:uiPriority w:val="99"/>
    <w:pPr>
      <w:jc w:val="both"/>
    </w:pPr>
    <w:rPr>
      <w:sz w:val="22"/>
      <w:szCs w:val="22"/>
    </w:rPr>
  </w:style>
  <w:style w:type="character" w:customStyle="1" w:styleId="Corpodetexto2Char">
    <w:name w:val="Corpo de texto 2 Char"/>
    <w:link w:val="Corpodetexto2"/>
    <w:uiPriority w:val="99"/>
    <w:locked/>
    <w:rPr>
      <w:rFonts w:cs="Times New Roman"/>
      <w:sz w:val="22"/>
      <w:szCs w:val="22"/>
    </w:rPr>
  </w:style>
  <w:style w:type="paragraph" w:customStyle="1" w:styleId="Voto">
    <w:name w:val="Voto"/>
    <w:basedOn w:val="Corpo"/>
    <w:next w:val="Corpo"/>
    <w:uiPriority w:val="99"/>
    <w:rPr>
      <w:color w:val="0000FF"/>
    </w:rPr>
  </w:style>
  <w:style w:type="paragraph" w:customStyle="1" w:styleId="Transcrio">
    <w:name w:val="Transcrição"/>
    <w:basedOn w:val="Corpo"/>
    <w:uiPriority w:val="99"/>
    <w:pPr>
      <w:ind w:left="2551" w:firstLine="567"/>
    </w:pPr>
    <w:rPr>
      <w:rFonts w:ascii="Times New Roman" w:hAnsi="Times New Roman" w:cs="Times New Roman"/>
    </w:rPr>
  </w:style>
  <w:style w:type="paragraph" w:customStyle="1" w:styleId="Transcrio2">
    <w:name w:val="Transcrição 2"/>
    <w:basedOn w:val="Corpo"/>
    <w:uiPriority w:val="99"/>
    <w:pPr>
      <w:spacing w:line="240" w:lineRule="auto"/>
      <w:ind w:left="3686" w:firstLine="567"/>
    </w:pPr>
    <w:rPr>
      <w:rFonts w:ascii="Times New Roman" w:hAnsi="Times New Roman" w:cs="Times New Roman"/>
    </w:rPr>
  </w:style>
  <w:style w:type="paragraph" w:styleId="Recuodecorpodetexto">
    <w:name w:val="Body Text Indent"/>
    <w:basedOn w:val="Normal"/>
    <w:link w:val="RecuodecorpodetextoChar"/>
    <w:uiPriority w:val="99"/>
    <w:pPr>
      <w:spacing w:line="360" w:lineRule="auto"/>
      <w:ind w:firstLine="2552"/>
      <w:jc w:val="both"/>
    </w:pPr>
    <w:rPr>
      <w:rFonts w:ascii="Courier New" w:hAnsi="Courier New" w:cs="Courier New"/>
      <w:sz w:val="24"/>
      <w:szCs w:val="24"/>
    </w:rPr>
  </w:style>
  <w:style w:type="character" w:customStyle="1" w:styleId="RecuodecorpodetextoChar">
    <w:name w:val="Recuo de corpo de texto Char"/>
    <w:link w:val="Recuodecorpodetexto"/>
    <w:uiPriority w:val="99"/>
    <w:locked/>
    <w:rPr>
      <w:rFonts w:cs="Times New Roman"/>
    </w:rPr>
  </w:style>
  <w:style w:type="paragraph" w:customStyle="1" w:styleId="CORPO0">
    <w:name w:val="CORPO"/>
    <w:uiPriority w:val="99"/>
    <w:pPr>
      <w:autoSpaceDE w:val="0"/>
      <w:autoSpaceDN w:val="0"/>
      <w:spacing w:line="360" w:lineRule="atLeast"/>
      <w:ind w:firstLine="2551"/>
      <w:jc w:val="both"/>
    </w:pPr>
    <w:rPr>
      <w:rFonts w:ascii="Courier New" w:hAnsi="Courier New" w:cs="Courier New"/>
      <w:color w:val="000000"/>
      <w:sz w:val="24"/>
      <w:szCs w:val="24"/>
    </w:rPr>
  </w:style>
  <w:style w:type="character" w:styleId="Forte">
    <w:name w:val="Strong"/>
    <w:uiPriority w:val="99"/>
    <w:qFormat/>
    <w:rPr>
      <w:rFonts w:cs="Times New Roman"/>
      <w:b/>
      <w:bCs/>
    </w:rPr>
  </w:style>
  <w:style w:type="paragraph" w:styleId="Recuodecorpodetexto2">
    <w:name w:val="Body Text Indent 2"/>
    <w:basedOn w:val="Normal"/>
    <w:link w:val="Recuodecorpodetexto2Char"/>
    <w:uiPriority w:val="99"/>
    <w:pPr>
      <w:ind w:left="214" w:hanging="142"/>
    </w:pPr>
  </w:style>
  <w:style w:type="character" w:customStyle="1" w:styleId="Recuodecorpodetexto2Char">
    <w:name w:val="Recuo de corpo de texto 2 Char"/>
    <w:link w:val="Recuodecorpodetexto2"/>
    <w:uiPriority w:val="99"/>
    <w:locked/>
    <w:rPr>
      <w:rFonts w:cs="Times New Roman"/>
    </w:rPr>
  </w:style>
  <w:style w:type="paragraph" w:customStyle="1" w:styleId="Funo">
    <w:name w:val="Função"/>
    <w:basedOn w:val="Corpo"/>
    <w:uiPriority w:val="99"/>
    <w:pPr>
      <w:spacing w:line="360" w:lineRule="auto"/>
      <w:ind w:left="1871" w:right="1871" w:firstLine="0"/>
      <w:jc w:val="center"/>
    </w:pPr>
    <w:rPr>
      <w:b/>
      <w:bCs/>
      <w:sz w:val="20"/>
      <w:szCs w:val="20"/>
    </w:rPr>
  </w:style>
  <w:style w:type="paragraph" w:customStyle="1" w:styleId="IstoPosto">
    <w:name w:val="Isto Posto"/>
    <w:basedOn w:val="Corpo"/>
    <w:next w:val="Corpo"/>
    <w:uiPriority w:val="99"/>
    <w:rPr>
      <w:color w:val="800080"/>
    </w:rPr>
  </w:style>
  <w:style w:type="paragraph" w:customStyle="1" w:styleId="body8sem">
    <w:name w:val="body8sem"/>
    <w:uiPriority w:val="99"/>
    <w:pPr>
      <w:autoSpaceDE w:val="0"/>
      <w:autoSpaceDN w:val="0"/>
      <w:spacing w:line="180" w:lineRule="atLeast"/>
      <w:jc w:val="both"/>
    </w:pPr>
    <w:rPr>
      <w:rFonts w:ascii="Times New Roman" w:hAnsi="Times New Roman"/>
      <w:color w:val="000000"/>
      <w:sz w:val="16"/>
      <w:szCs w:val="16"/>
    </w:rPr>
  </w:style>
  <w:style w:type="paragraph" w:customStyle="1" w:styleId="Relatrio">
    <w:name w:val="Relatório"/>
    <w:basedOn w:val="Corpo"/>
    <w:next w:val="Corpo"/>
    <w:uiPriority w:val="99"/>
    <w:rPr>
      <w:color w:val="008000"/>
    </w:rPr>
  </w:style>
  <w:style w:type="paragraph" w:styleId="Data">
    <w:name w:val="Date"/>
    <w:basedOn w:val="Corpo"/>
    <w:next w:val="Corpo"/>
    <w:link w:val="DataChar"/>
    <w:uiPriority w:val="99"/>
    <w:pPr>
      <w:ind w:firstLine="2552"/>
    </w:pPr>
    <w:rPr>
      <w:color w:val="FF00FF"/>
    </w:rPr>
  </w:style>
  <w:style w:type="character" w:customStyle="1" w:styleId="DataChar">
    <w:name w:val="Data Char"/>
    <w:link w:val="Data"/>
    <w:uiPriority w:val="99"/>
    <w:locked/>
    <w:rPr>
      <w:rFonts w:cs="Times New Roman"/>
    </w:rPr>
  </w:style>
  <w:style w:type="paragraph" w:customStyle="1" w:styleId="TemaPN">
    <w:name w:val="TemaPN"/>
    <w:next w:val="Normal"/>
    <w:autoRedefine/>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7088"/>
      </w:tabs>
      <w:autoSpaceDE w:val="0"/>
      <w:autoSpaceDN w:val="0"/>
      <w:spacing w:before="260"/>
      <w:ind w:left="737" w:hanging="907"/>
      <w:jc w:val="both"/>
    </w:pPr>
    <w:rPr>
      <w:rFonts w:ascii="Times New Roman" w:hAnsi="Times New Roman"/>
      <w:b/>
      <w:bCs/>
      <w:color w:val="000000"/>
      <w:sz w:val="28"/>
      <w:szCs w:val="28"/>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locked/>
    <w:rPr>
      <w:rFonts w:ascii="Tahoma" w:hAnsi="Tahoma" w:cs="Tahoma"/>
      <w:sz w:val="16"/>
      <w:szCs w:val="16"/>
    </w:rPr>
  </w:style>
  <w:style w:type="paragraph" w:customStyle="1" w:styleId="Textoenun">
    <w:name w:val="Textoenun"/>
    <w:basedOn w:val="Normal"/>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737"/>
      <w:jc w:val="both"/>
    </w:pPr>
    <w:rPr>
      <w:sz w:val="28"/>
      <w:szCs w:val="28"/>
    </w:rPr>
  </w:style>
  <w:style w:type="paragraph" w:customStyle="1" w:styleId="NumProcesso">
    <w:name w:val="Num.Processo"/>
    <w:uiPriority w:val="99"/>
    <w:pPr>
      <w:widowControl w:val="0"/>
      <w:autoSpaceDE w:val="0"/>
      <w:autoSpaceDN w:val="0"/>
      <w:spacing w:before="170" w:line="360" w:lineRule="atLeast"/>
      <w:jc w:val="right"/>
    </w:pPr>
    <w:rPr>
      <w:rFonts w:ascii="Courier New" w:hAnsi="Courier New" w:cs="Courier New"/>
      <w:b/>
      <w:bCs/>
      <w:color w:val="000000"/>
      <w:sz w:val="24"/>
      <w:szCs w:val="24"/>
    </w:rPr>
  </w:style>
  <w:style w:type="character" w:styleId="nfase">
    <w:name w:val="Emphasis"/>
    <w:uiPriority w:val="99"/>
    <w:qFormat/>
    <w:rPr>
      <w:rFonts w:cs="Times New Roman"/>
      <w:i/>
      <w:iCs/>
    </w:rPr>
  </w:style>
  <w:style w:type="paragraph" w:customStyle="1" w:styleId="tema">
    <w:name w:val="tema"/>
    <w:link w:val="temaChar"/>
    <w:qFormat/>
    <w:pPr>
      <w:widowControl w:val="0"/>
      <w:autoSpaceDE w:val="0"/>
      <w:autoSpaceDN w:val="0"/>
      <w:spacing w:line="200" w:lineRule="exact"/>
      <w:ind w:left="567"/>
      <w:jc w:val="both"/>
    </w:pPr>
    <w:rPr>
      <w:rFonts w:ascii="Courier New" w:hAnsi="Courier New" w:cs="Courier New"/>
      <w:b/>
      <w:bCs/>
      <w:caps/>
      <w:color w:val="000000"/>
      <w:sz w:val="24"/>
      <w:szCs w:val="24"/>
    </w:rPr>
  </w:style>
  <w:style w:type="paragraph" w:styleId="NormalWeb">
    <w:name w:val="Normal (Web)"/>
    <w:basedOn w:val="Normal"/>
    <w:uiPriority w:val="99"/>
    <w:pPr>
      <w:spacing w:before="100" w:after="100"/>
    </w:pPr>
    <w:rPr>
      <w:sz w:val="24"/>
      <w:szCs w:val="24"/>
    </w:rPr>
  </w:style>
  <w:style w:type="character" w:customStyle="1" w:styleId="moz-txt-tag">
    <w:name w:val="moz-txt-tag"/>
    <w:uiPriority w:val="99"/>
    <w:rPr>
      <w:rFonts w:cs="Times New Roman"/>
    </w:rPr>
  </w:style>
  <w:style w:type="paragraph" w:customStyle="1" w:styleId="EXPLICAO">
    <w:name w:val="EXPLICAÇÃO"/>
    <w:pPr>
      <w:widowControl w:val="0"/>
      <w:autoSpaceDE w:val="0"/>
      <w:autoSpaceDN w:val="0"/>
      <w:spacing w:line="230" w:lineRule="atLeast"/>
      <w:ind w:left="284"/>
      <w:jc w:val="both"/>
    </w:pPr>
    <w:rPr>
      <w:rFonts w:ascii="Courier New" w:hAnsi="Courier New" w:cs="Courier New"/>
      <w:i/>
      <w:iCs/>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locked/>
    <w:rPr>
      <w:rFonts w:ascii="Courier New" w:hAnsi="Courier New" w:cs="Courier New"/>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explicao0">
    <w:name w:val="explicação"/>
    <w:qFormat/>
    <w:rsid w:val="00553197"/>
    <w:pPr>
      <w:widowControl w:val="0"/>
      <w:tabs>
        <w:tab w:val="left" w:pos="5103"/>
        <w:tab w:val="left" w:pos="5245"/>
      </w:tabs>
      <w:spacing w:line="200" w:lineRule="exact"/>
      <w:ind w:left="284"/>
      <w:jc w:val="both"/>
    </w:pPr>
    <w:rPr>
      <w:rFonts w:ascii="Courier New" w:hAnsi="Courier New"/>
      <w:i/>
      <w:color w:val="000000"/>
      <w:sz w:val="24"/>
    </w:rPr>
  </w:style>
  <w:style w:type="paragraph" w:customStyle="1" w:styleId="Tabela">
    <w:name w:val="Tabela"/>
    <w:rsid w:val="00004C36"/>
    <w:pPr>
      <w:widowControl w:val="0"/>
      <w:spacing w:line="255" w:lineRule="atLeast"/>
      <w:jc w:val="both"/>
    </w:pPr>
    <w:rPr>
      <w:rFonts w:ascii="Courier New" w:hAnsi="Courier New"/>
      <w:caps/>
      <w:color w:val="000000"/>
      <w:sz w:val="24"/>
    </w:rPr>
  </w:style>
  <w:style w:type="character" w:customStyle="1" w:styleId="temaChar">
    <w:name w:val="tema Char"/>
    <w:link w:val="tema"/>
    <w:locked/>
    <w:rsid w:val="003908C5"/>
    <w:rPr>
      <w:rFonts w:ascii="Courier New" w:hAnsi="Courier New" w:cs="Courier New"/>
      <w:b/>
      <w:bCs/>
      <w:caps/>
      <w:color w:val="000000"/>
      <w:sz w:val="24"/>
      <w:szCs w:val="24"/>
      <w:lang w:val="pt-BR" w:eastAsia="pt-BR" w:bidi="ar-SA"/>
    </w:rPr>
  </w:style>
  <w:style w:type="character" w:customStyle="1" w:styleId="CorpoChar">
    <w:name w:val="Corpo Char"/>
    <w:link w:val="Corpo"/>
    <w:uiPriority w:val="99"/>
    <w:locked/>
    <w:rsid w:val="008D3C38"/>
    <w:rPr>
      <w:rFonts w:ascii="Courier New" w:hAnsi="Courier New" w:cs="Courier New"/>
      <w:color w:val="000000"/>
      <w:sz w:val="24"/>
      <w:szCs w:val="24"/>
      <w:lang w:val="en-US" w:eastAsia="pt-BR" w:bidi="ar-SA"/>
    </w:rPr>
  </w:style>
  <w:style w:type="character" w:customStyle="1" w:styleId="apple-converted-space">
    <w:name w:val="apple-converted-space"/>
    <w:rsid w:val="00766B7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731398">
      <w:marLeft w:val="0"/>
      <w:marRight w:val="0"/>
      <w:marTop w:val="0"/>
      <w:marBottom w:val="0"/>
      <w:divBdr>
        <w:top w:val="none" w:sz="0" w:space="0" w:color="auto"/>
        <w:left w:val="none" w:sz="0" w:space="0" w:color="auto"/>
        <w:bottom w:val="none" w:sz="0" w:space="0" w:color="auto"/>
        <w:right w:val="none" w:sz="0" w:space="0" w:color="auto"/>
      </w:divBdr>
    </w:div>
    <w:div w:id="1321731399">
      <w:marLeft w:val="0"/>
      <w:marRight w:val="0"/>
      <w:marTop w:val="0"/>
      <w:marBottom w:val="0"/>
      <w:divBdr>
        <w:top w:val="none" w:sz="0" w:space="0" w:color="auto"/>
        <w:left w:val="none" w:sz="0" w:space="0" w:color="auto"/>
        <w:bottom w:val="none" w:sz="0" w:space="0" w:color="auto"/>
        <w:right w:val="none" w:sz="0" w:space="0" w:color="auto"/>
      </w:divBdr>
    </w:div>
    <w:div w:id="1321731400">
      <w:marLeft w:val="0"/>
      <w:marRight w:val="0"/>
      <w:marTop w:val="0"/>
      <w:marBottom w:val="0"/>
      <w:divBdr>
        <w:top w:val="none" w:sz="0" w:space="0" w:color="auto"/>
        <w:left w:val="none" w:sz="0" w:space="0" w:color="auto"/>
        <w:bottom w:val="none" w:sz="0" w:space="0" w:color="auto"/>
        <w:right w:val="none" w:sz="0" w:space="0" w:color="auto"/>
      </w:divBdr>
    </w:div>
    <w:div w:id="1321731401">
      <w:marLeft w:val="0"/>
      <w:marRight w:val="0"/>
      <w:marTop w:val="0"/>
      <w:marBottom w:val="0"/>
      <w:divBdr>
        <w:top w:val="none" w:sz="0" w:space="0" w:color="auto"/>
        <w:left w:val="none" w:sz="0" w:space="0" w:color="auto"/>
        <w:bottom w:val="none" w:sz="0" w:space="0" w:color="auto"/>
        <w:right w:val="none" w:sz="0" w:space="0" w:color="auto"/>
      </w:divBdr>
    </w:div>
    <w:div w:id="1321731402">
      <w:marLeft w:val="0"/>
      <w:marRight w:val="0"/>
      <w:marTop w:val="0"/>
      <w:marBottom w:val="0"/>
      <w:divBdr>
        <w:top w:val="none" w:sz="0" w:space="0" w:color="auto"/>
        <w:left w:val="none" w:sz="0" w:space="0" w:color="auto"/>
        <w:bottom w:val="none" w:sz="0" w:space="0" w:color="auto"/>
        <w:right w:val="none" w:sz="0" w:space="0" w:color="auto"/>
      </w:divBdr>
    </w:div>
    <w:div w:id="1321731403">
      <w:marLeft w:val="0"/>
      <w:marRight w:val="0"/>
      <w:marTop w:val="0"/>
      <w:marBottom w:val="0"/>
      <w:divBdr>
        <w:top w:val="none" w:sz="0" w:space="0" w:color="auto"/>
        <w:left w:val="none" w:sz="0" w:space="0" w:color="auto"/>
        <w:bottom w:val="none" w:sz="0" w:space="0" w:color="auto"/>
        <w:right w:val="none" w:sz="0" w:space="0" w:color="auto"/>
      </w:divBdr>
    </w:div>
    <w:div w:id="1321731404">
      <w:marLeft w:val="0"/>
      <w:marRight w:val="0"/>
      <w:marTop w:val="0"/>
      <w:marBottom w:val="0"/>
      <w:divBdr>
        <w:top w:val="none" w:sz="0" w:space="0" w:color="auto"/>
        <w:left w:val="none" w:sz="0" w:space="0" w:color="auto"/>
        <w:bottom w:val="none" w:sz="0" w:space="0" w:color="auto"/>
        <w:right w:val="none" w:sz="0" w:space="0" w:color="auto"/>
      </w:divBdr>
    </w:div>
    <w:div w:id="1321731405">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aplicacao4.tst.jus.br/consultaProcessual/consultaTstNumUnica.do?consulta=Consultar&amp;conscsjt=&amp;numeroTst=479&amp;digitoTst=60&amp;anoTst=2011&amp;orgaoTst=5&amp;tribunalTst=04&amp;varaTst=0231"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licacao4.tst.jus.br/consultaProcessual/consultaTstNumUnica.do?consulta=Consultar&amp;conscsjt=&amp;numeroTst=100017&amp;digitoTst=94&amp;anoTst=2013&amp;orgaoTst=5&amp;tribunalTst=17&amp;varaTst=00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licacao4.tst.jus.br/consultaProcessual/consultaTstNumUnica.do?consulta=Consultar&amp;conscsjt=&amp;numeroTst=157300&amp;digitoTst=17&amp;anoTst=2008&amp;orgaoTst=5&amp;tribunalTst=12&amp;varaTst=002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aplicacao4.tst.jus.br/consultaProcessual/consultaTstNumUnica.do?consulta=Consultar&amp;conscsjt=&amp;numeroTst=172400&amp;digitoTst=28&amp;anoTst=2008&amp;orgaoTst=5&amp;tribunalTst=15&amp;varaTst=0024" TargetMode="External"/><Relationship Id="rId4" Type="http://schemas.openxmlformats.org/officeDocument/2006/relationships/settings" Target="settings.xml"/><Relationship Id="rId9" Type="http://schemas.openxmlformats.org/officeDocument/2006/relationships/hyperlink" Target="http://aplicacao4.tst.jus.br/consultaProcessual/consultaTstNumUnica.do?consulta=Consultar&amp;conscsjt=&amp;numeroTst=981&amp;digitoTst=70&amp;anoTst=2011&amp;orgaoTst=5&amp;tribunalTst=23&amp;varaTst=0004"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4ACC0-42CA-4AFF-A474-581DB71A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1818</Words>
  <Characters>9818</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Este Informativo, elaborado a partir de notas tomadas nas sessões de julgamentos, contém resumos não-oficiais de decisões proferidas pelo Tribunal</vt:lpstr>
    </vt:vector>
  </TitlesOfParts>
  <Company>Tribunal Superior do Trabalho</Company>
  <LinksUpToDate>false</LinksUpToDate>
  <CharactersWithSpaces>11613</CharactersWithSpaces>
  <SharedDoc>false</SharedDoc>
  <HLinks>
    <vt:vector size="30" baseType="variant">
      <vt:variant>
        <vt:i4>1900610</vt:i4>
      </vt:variant>
      <vt:variant>
        <vt:i4>12</vt:i4>
      </vt:variant>
      <vt:variant>
        <vt:i4>0</vt:i4>
      </vt:variant>
      <vt:variant>
        <vt:i4>5</vt:i4>
      </vt:variant>
      <vt:variant>
        <vt:lpwstr>http://aplicacao4.tst.jus.br/consultaProcessual/consultaTstNumUnica.do?consulta=Consultar&amp;conscsjt=&amp;numeroTst=100017&amp;digitoTst=94&amp;anoTst=2013&amp;orgaoTst=5&amp;tribunalTst=17&amp;varaTst=0000</vt:lpwstr>
      </vt:variant>
      <vt:variant>
        <vt:lpwstr/>
      </vt:variant>
      <vt:variant>
        <vt:i4>1114187</vt:i4>
      </vt:variant>
      <vt:variant>
        <vt:i4>9</vt:i4>
      </vt:variant>
      <vt:variant>
        <vt:i4>0</vt:i4>
      </vt:variant>
      <vt:variant>
        <vt:i4>5</vt:i4>
      </vt:variant>
      <vt:variant>
        <vt:lpwstr>http://aplicacao4.tst.jus.br/consultaProcessual/consultaTstNumUnica.do?consulta=Consultar&amp;conscsjt=&amp;numeroTst=157300&amp;digitoTst=17&amp;anoTst=2008&amp;orgaoTst=5&amp;tribunalTst=12&amp;varaTst=0024</vt:lpwstr>
      </vt:variant>
      <vt:variant>
        <vt:lpwstr/>
      </vt:variant>
      <vt:variant>
        <vt:i4>1507398</vt:i4>
      </vt:variant>
      <vt:variant>
        <vt:i4>6</vt:i4>
      </vt:variant>
      <vt:variant>
        <vt:i4>0</vt:i4>
      </vt:variant>
      <vt:variant>
        <vt:i4>5</vt:i4>
      </vt:variant>
      <vt:variant>
        <vt:lpwstr>http://aplicacao4.tst.jus.br/consultaProcessual/consultaTstNumUnica.do?consulta=Consultar&amp;conscsjt=&amp;numeroTst=172400&amp;digitoTst=28&amp;anoTst=2008&amp;orgaoTst=5&amp;tribunalTst=15&amp;varaTst=0024</vt:lpwstr>
      </vt:variant>
      <vt:variant>
        <vt:lpwstr/>
      </vt:variant>
      <vt:variant>
        <vt:i4>5570562</vt:i4>
      </vt:variant>
      <vt:variant>
        <vt:i4>3</vt:i4>
      </vt:variant>
      <vt:variant>
        <vt:i4>0</vt:i4>
      </vt:variant>
      <vt:variant>
        <vt:i4>5</vt:i4>
      </vt:variant>
      <vt:variant>
        <vt:lpwstr>http://aplicacao4.tst.jus.br/consultaProcessual/consultaTstNumUnica.do?consulta=Consultar&amp;conscsjt=&amp;numeroTst=981&amp;digitoTst=70&amp;anoTst=2011&amp;orgaoTst=5&amp;tribunalTst=23&amp;varaTst=0004</vt:lpwstr>
      </vt:variant>
      <vt:variant>
        <vt:lpwstr/>
      </vt:variant>
      <vt:variant>
        <vt:i4>6160390</vt:i4>
      </vt:variant>
      <vt:variant>
        <vt:i4>0</vt:i4>
      </vt:variant>
      <vt:variant>
        <vt:i4>0</vt:i4>
      </vt:variant>
      <vt:variant>
        <vt:i4>5</vt:i4>
      </vt:variant>
      <vt:variant>
        <vt:lpwstr>http://aplicacao4.tst.jus.br/consultaProcessual/consultaTstNumUnica.do?consulta=Consultar&amp;conscsjt=&amp;numeroTst=479&amp;digitoTst=60&amp;anoTst=2011&amp;orgaoTst=5&amp;tribunalTst=04&amp;varaTst=0231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Este Informativo, elaborado a partir de notas tomadas nas sessões de julgamentos, contém resumos não-oficiais de decisões proferidas pelo Tribunal</dc:title>
  <dc:subject/>
  <dc:creator>C037163</dc:creator>
  <cp:keywords/>
  <cp:lastModifiedBy>c041658</cp:lastModifiedBy>
  <cp:revision>2</cp:revision>
  <cp:lastPrinted>2015-08-17T20:16:00Z</cp:lastPrinted>
  <dcterms:created xsi:type="dcterms:W3CDTF">2018-06-27T21:49:00Z</dcterms:created>
  <dcterms:modified xsi:type="dcterms:W3CDTF">2018-06-27T21:49:00Z</dcterms:modified>
</cp:coreProperties>
</file>