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31469" w:rsidRDefault="00E31469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5908" w:rsidRDefault="004A5908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8627C6" w:rsidRDefault="008627C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5B0A1C" w:rsidRPr="00895CC6" w:rsidRDefault="005B0A1C" w:rsidP="005B0A1C">
      <w:pPr>
        <w:jc w:val="both"/>
        <w:rPr>
          <w:b/>
          <w:i/>
          <w:sz w:val="24"/>
          <w:szCs w:val="24"/>
        </w:rPr>
      </w:pPr>
      <w:r w:rsidRPr="00A67D43">
        <w:rPr>
          <w:b/>
          <w:i/>
          <w:sz w:val="24"/>
          <w:szCs w:val="24"/>
        </w:rPr>
        <w:t xml:space="preserve">Custas processuais. Art. 790 da CLT. Ato </w:t>
      </w:r>
      <w:r>
        <w:rPr>
          <w:b/>
          <w:i/>
          <w:sz w:val="24"/>
          <w:szCs w:val="24"/>
        </w:rPr>
        <w:t>C</w:t>
      </w:r>
      <w:r w:rsidRPr="00A67D43">
        <w:rPr>
          <w:b/>
          <w:i/>
          <w:sz w:val="24"/>
          <w:szCs w:val="24"/>
        </w:rPr>
        <w:t>onjunto nº 21/TST.CSJT.GP.SG de 7/12/2010.</w:t>
      </w:r>
      <w:r>
        <w:rPr>
          <w:b/>
          <w:i/>
          <w:sz w:val="24"/>
          <w:szCs w:val="24"/>
        </w:rPr>
        <w:t xml:space="preserve"> R</w:t>
      </w:r>
      <w:r w:rsidRPr="00A67D43">
        <w:rPr>
          <w:b/>
          <w:i/>
          <w:sz w:val="24"/>
          <w:szCs w:val="24"/>
        </w:rPr>
        <w:t>ecolhimento em guia imprópria. Deserção configurada</w:t>
      </w:r>
      <w:r>
        <w:t>.</w:t>
      </w:r>
      <w:r w:rsidRPr="00895CC6">
        <w:rPr>
          <w:b/>
          <w:i/>
          <w:sz w:val="24"/>
          <w:szCs w:val="24"/>
        </w:rPr>
        <w:t xml:space="preserve"> </w:t>
      </w:r>
    </w:p>
    <w:p w:rsidR="005B0A1C" w:rsidRDefault="005B0A1C" w:rsidP="005B0A1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>O Ato Conjunto nº 21/TST-CSJT.GP.SG, de 7/12/2010, editado nos termos da competência delegada pelo art. 790, caput, da CLT, preconiza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 xml:space="preserve"> em seu art. 1º, que “</w:t>
      </w:r>
      <w:r>
        <w:rPr>
          <w:rFonts w:ascii="Times New Roman" w:hAnsi="Times New Roman" w:cs="Times New Roman"/>
          <w:lang w:val="pt-BR"/>
        </w:rPr>
        <w:t>a</w:t>
      </w:r>
      <w:r w:rsidRPr="008B615C">
        <w:rPr>
          <w:rFonts w:ascii="Times New Roman" w:hAnsi="Times New Roman" w:cs="Times New Roman"/>
          <w:lang w:val="pt-BR"/>
        </w:rPr>
        <w:t xml:space="preserve"> partir de 1° de janeiro de 2011, o pagamento das custas e dos emolumentos no âmbito da Justiça do Trabalho deverá ser realizado, exclusivamente, mediante Guia de Recolhimento da União - GRU Judicial, sendo ônus da parte interessada efetuar seu correto preenchimento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”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 xml:space="preserve"> No caso em apreço, o recolhimento das custas processuais se deu em 20.10.2011, posterior à edição do citado ato, em valor integral e com todos os dados identificadores do processo e das partes, embora por intermédio de guia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imprópria, a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 xml:space="preserve"> DARF.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Nesse contexto, a Subseção entendeu irreparável a deserção declarada pelo Tribunal Regional do Trabalho da 10ª Região e confirmada pela 4ª Turma desta Corte. 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>Sob esses fundamentos, a SBDI-1, por unanimidade, conheceu dos embargos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8B615C">
        <w:rPr>
          <w:rFonts w:ascii="Times New Roman" w:eastAsia="Calibri" w:hAnsi="Times New Roman" w:cs="Times New Roman"/>
          <w:color w:val="auto"/>
          <w:lang w:val="pt-BR" w:eastAsia="en-US"/>
        </w:rPr>
        <w:t xml:space="preserve"> por divergência jurisprudencial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e, no mérito, por maioria, negou-lhes provimento, vencidos os Ministros Vieira de Mello Filho, Brito Pereira e Lelio Bentes Corrêa. </w:t>
      </w:r>
      <w:hyperlink r:id="rId8" w:history="1">
        <w:r w:rsidRPr="00383A89">
          <w:rPr>
            <w:rStyle w:val="Hyperlink"/>
            <w:rFonts w:ascii="Times New Roman" w:hAnsi="Times New Roman" w:cs="Courier New"/>
            <w:lang w:val="pt-BR"/>
          </w:rPr>
          <w:t>TST-E-ED-RR-1388-34.2010.5.10.0017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>Alexandre Agra Belmonte</w:t>
      </w:r>
      <w:r w:rsidRPr="00895CC6">
        <w:rPr>
          <w:rFonts w:ascii="Times New Roman" w:hAnsi="Times New Roman"/>
          <w:u w:val="single"/>
          <w:lang w:val="pt-BR"/>
        </w:rPr>
        <w:t>, 2</w:t>
      </w:r>
      <w:r>
        <w:rPr>
          <w:rFonts w:ascii="Times New Roman" w:hAnsi="Times New Roman"/>
          <w:u w:val="single"/>
          <w:lang w:val="pt-BR"/>
        </w:rPr>
        <w:t>1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5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5.</w:t>
      </w: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8627C6" w:rsidRDefault="008627C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Pr="00BC2C67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5B0A1C" w:rsidRPr="0062680A" w:rsidRDefault="005B0A1C" w:rsidP="005B0A1C">
      <w:pPr>
        <w:ind w:right="-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Empregada acometida por doença profissional e aposentada por invalidez. Incapacidade</w:t>
      </w:r>
      <w:r w:rsidRPr="0062680A">
        <w:rPr>
          <w:b/>
          <w:i/>
          <w:sz w:val="24"/>
          <w:szCs w:val="24"/>
        </w:rPr>
        <w:t xml:space="preserve"> total para o exercício do of</w:t>
      </w:r>
      <w:r>
        <w:rPr>
          <w:b/>
          <w:i/>
          <w:sz w:val="24"/>
          <w:szCs w:val="24"/>
        </w:rPr>
        <w:t>ício ou profissão antes exercido</w:t>
      </w:r>
      <w:r w:rsidRPr="0062680A">
        <w:rPr>
          <w:b/>
          <w:i/>
          <w:sz w:val="24"/>
          <w:szCs w:val="24"/>
        </w:rPr>
        <w:t>. Pensionamento vitalício integral. Inteligência do art. 950 do Código Civil.</w:t>
      </w:r>
    </w:p>
    <w:p w:rsidR="005B0A1C" w:rsidRPr="0062680A" w:rsidRDefault="005B0A1C" w:rsidP="005B0A1C">
      <w:pPr>
        <w:ind w:right="-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parâmetro para o deferimento da indenização decorrente da incapacidade laboral, nos termos do artigo 950 do Código Civil, tem por base o ofício ou profissão para o qual a obreira se inabilitou, ainda que seja capaz para o exercício de outra profissão. Sendo assim, estando a trabalhadora totalmente inabilitada para o exercício de seu labor, a indenização, na forma de pensionamento mensal, deve corresponder a 100% da última remuneração. </w:t>
      </w:r>
      <w:r w:rsidRPr="0062680A">
        <w:rPr>
          <w:sz w:val="24"/>
          <w:szCs w:val="24"/>
        </w:rPr>
        <w:t>Sob esses fundamentos, a SBDI-1</w:t>
      </w:r>
      <w:r>
        <w:rPr>
          <w:sz w:val="24"/>
          <w:szCs w:val="24"/>
        </w:rPr>
        <w:t xml:space="preserve">, por unanimidade, </w:t>
      </w:r>
      <w:r w:rsidRPr="0062680A">
        <w:rPr>
          <w:sz w:val="24"/>
          <w:szCs w:val="24"/>
        </w:rPr>
        <w:t>conheceu dos embargos, por divergência jurisprudencial e, no mérito, por maioria, deu-lhes provimento</w:t>
      </w:r>
      <w:r>
        <w:rPr>
          <w:sz w:val="24"/>
          <w:szCs w:val="24"/>
        </w:rPr>
        <w:t>,</w:t>
      </w:r>
      <w:r w:rsidRPr="0062680A">
        <w:rPr>
          <w:sz w:val="24"/>
          <w:szCs w:val="24"/>
        </w:rPr>
        <w:t xml:space="preserve"> a fim de arbitrar o valor da pensão mensal em 100% da última remuneração, v</w:t>
      </w:r>
      <w:r>
        <w:rPr>
          <w:sz w:val="24"/>
          <w:szCs w:val="24"/>
        </w:rPr>
        <w:t>encida a Ministra Dora M</w:t>
      </w:r>
      <w:r w:rsidRPr="0062680A">
        <w:rPr>
          <w:sz w:val="24"/>
          <w:szCs w:val="24"/>
        </w:rPr>
        <w:t>aria da Costa</w:t>
      </w:r>
      <w:r>
        <w:rPr>
          <w:sz w:val="24"/>
          <w:szCs w:val="24"/>
        </w:rPr>
        <w:t xml:space="preserve">. </w:t>
      </w:r>
      <w:hyperlink r:id="rId9" w:history="1">
        <w:r w:rsidRPr="00383A89">
          <w:rPr>
            <w:rStyle w:val="Hyperlink"/>
            <w:sz w:val="24"/>
            <w:szCs w:val="24"/>
          </w:rPr>
          <w:t>TST-ERR-147300-11.2005.5.12.0008</w:t>
        </w:r>
      </w:hyperlink>
      <w:r w:rsidRPr="006268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Min. Dora Maria da Costa, red. p/ acórdão Min. </w:t>
      </w:r>
      <w:r w:rsidRPr="0062680A">
        <w:rPr>
          <w:sz w:val="24"/>
          <w:szCs w:val="24"/>
          <w:u w:val="single"/>
        </w:rPr>
        <w:t>Lelio Bentes Corrêa, 21</w:t>
      </w:r>
      <w:r>
        <w:rPr>
          <w:sz w:val="24"/>
          <w:szCs w:val="24"/>
          <w:u w:val="single"/>
        </w:rPr>
        <w:t>.</w:t>
      </w:r>
      <w:r w:rsidRPr="0062680A">
        <w:rPr>
          <w:sz w:val="24"/>
          <w:szCs w:val="24"/>
          <w:u w:val="single"/>
        </w:rPr>
        <w:t>5.2015.</w:t>
      </w: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8627C6" w:rsidRDefault="008627C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5B0A1C" w:rsidRPr="00F42F8D" w:rsidRDefault="005B0A1C" w:rsidP="005B0A1C">
      <w:pPr>
        <w:jc w:val="both"/>
        <w:rPr>
          <w:b/>
          <w:i/>
          <w:sz w:val="24"/>
          <w:szCs w:val="24"/>
        </w:rPr>
      </w:pPr>
      <w:r w:rsidRPr="00F42F8D">
        <w:rPr>
          <w:b/>
          <w:i/>
          <w:sz w:val="24"/>
          <w:szCs w:val="24"/>
        </w:rPr>
        <w:t xml:space="preserve">Adicional de insalubridade. Fundação Casa. Atendimento de adolescentes infratores isolados por motivo de saúde. Contato com pessoas portadoras de doenças infectocontagiosas. Anexo nº 14 da NR-15 da Portaria 3.214/78 do MTE. Adicional devido. </w:t>
      </w:r>
    </w:p>
    <w:p w:rsidR="005B0A1C" w:rsidRPr="00F42F8D" w:rsidRDefault="005B0A1C" w:rsidP="005B0A1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F42F8D">
        <w:rPr>
          <w:rFonts w:ascii="Times New Roman" w:eastAsia="Calibri" w:hAnsi="Times New Roman" w:cs="Times New Roman"/>
          <w:color w:val="auto"/>
          <w:lang w:val="pt-BR" w:eastAsia="en-US"/>
        </w:rPr>
        <w:t>É devido o adicional de insalubridade em grau máximo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reconhecido por laudo pericial, a </w:t>
      </w:r>
      <w:r w:rsidRPr="00F42F8D">
        <w:rPr>
          <w:rFonts w:ascii="Times New Roman" w:eastAsia="Calibri" w:hAnsi="Times New Roman" w:cs="Times New Roman"/>
          <w:color w:val="auto"/>
          <w:lang w:val="pt-BR" w:eastAsia="en-US"/>
        </w:rPr>
        <w:t xml:space="preserve">trabalhadores da Fundação Casa que tenham contato com adolescentes infratores isolados por conta de doenças infectocontagiosas, nos termos do Anexo 14 da NR 15 da Portaria 3.214/78 do </w:t>
      </w:r>
      <w:r w:rsidRPr="00F42F8D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Ministério do Trabalho e Emprego. Nesse contexto, não há contrariedade à Súmula nº 448, I, do TST. Sob esse fundamento, a SBDI-I, por maioria, não conheceu dos embargos, vencidos os Ministros Alexandre de Souza Agra Belmonte e Ives Gandra Martins Filho. </w:t>
      </w:r>
      <w:hyperlink r:id="rId10" w:history="1">
        <w:r w:rsidRPr="00383A89">
          <w:rPr>
            <w:rStyle w:val="Hyperlink"/>
            <w:rFonts w:ascii="Times New Roman" w:eastAsia="Calibri" w:hAnsi="Times New Roman"/>
            <w:lang w:val="pt-BR" w:eastAsia="en-US"/>
          </w:rPr>
          <w:t>TST-E-RR-41500-67.2007.5.15.0031</w:t>
        </w:r>
      </w:hyperlink>
      <w:r w:rsidRPr="00F42F8D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Hugo Carlos Scheuermann, 21.5.2015.</w:t>
      </w:r>
    </w:p>
    <w:p w:rsidR="005B0A1C" w:rsidRPr="00D735BF" w:rsidRDefault="005B0A1C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BC54BC" w:rsidRDefault="00BC54BC" w:rsidP="00C54185">
      <w:pPr>
        <w:jc w:val="both"/>
      </w:pPr>
    </w:p>
    <w:p w:rsidR="004A5908" w:rsidRDefault="004A5908" w:rsidP="00C54185">
      <w:pPr>
        <w:jc w:val="both"/>
      </w:pPr>
    </w:p>
    <w:p w:rsidR="004A5908" w:rsidRDefault="004A5908" w:rsidP="00C54185">
      <w:pPr>
        <w:jc w:val="both"/>
      </w:pPr>
    </w:p>
    <w:p w:rsidR="004A5908" w:rsidRDefault="004A5908" w:rsidP="00C54185">
      <w:pPr>
        <w:jc w:val="both"/>
      </w:pPr>
    </w:p>
    <w:p w:rsidR="004A5908" w:rsidRDefault="004A5908" w:rsidP="00C54185">
      <w:pPr>
        <w:jc w:val="both"/>
      </w:pPr>
    </w:p>
    <w:p w:rsidR="004A5908" w:rsidRDefault="004A5908" w:rsidP="00C54185">
      <w:pPr>
        <w:jc w:val="both"/>
      </w:pPr>
    </w:p>
    <w:p w:rsidR="004A5908" w:rsidRDefault="004A5908" w:rsidP="00C54185">
      <w:pPr>
        <w:jc w:val="both"/>
      </w:pPr>
    </w:p>
    <w:p w:rsidR="004A5908" w:rsidRPr="00BC54BC" w:rsidRDefault="004A5908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6E" w:rsidRDefault="00993A6E">
      <w:r>
        <w:separator/>
      </w:r>
    </w:p>
  </w:endnote>
  <w:endnote w:type="continuationSeparator" w:id="0">
    <w:p w:rsidR="00993A6E" w:rsidRDefault="009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03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4032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6E" w:rsidRDefault="00993A6E">
      <w:r>
        <w:separator/>
      </w:r>
    </w:p>
  </w:footnote>
  <w:footnote w:type="continuationSeparator" w:id="0">
    <w:p w:rsidR="00993A6E" w:rsidRDefault="0099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7F66BC">
      <w:rPr>
        <w:shadow/>
        <w:sz w:val="24"/>
        <w:szCs w:val="24"/>
      </w:rPr>
      <w:t>10</w:t>
    </w:r>
    <w:r w:rsidR="00DB0223">
      <w:rPr>
        <w:shadow/>
        <w:sz w:val="24"/>
        <w:szCs w:val="24"/>
      </w:rPr>
      <w:t>8</w:t>
    </w:r>
  </w:p>
  <w:p w:rsidR="00DB0223" w:rsidRPr="00DB0223" w:rsidRDefault="00187A37" w:rsidP="00DB0223">
    <w:pPr>
      <w:pStyle w:val="Cabealho"/>
      <w:jc w:val="right"/>
    </w:pPr>
    <w:r w:rsidRPr="00DB0223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DB0223">
      <w:rPr>
        <w:iCs/>
      </w:rPr>
      <w:t xml:space="preserve"> Período: 19 a 25 de maio de 2015</w:t>
    </w: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C54BC">
      <w:rPr>
        <w:b/>
        <w:sz w:val="40"/>
        <w:szCs w:val="40"/>
      </w:rPr>
      <w:t>10</w:t>
    </w:r>
    <w:r w:rsidR="00AA3DE0">
      <w:rPr>
        <w:b/>
        <w:sz w:val="40"/>
        <w:szCs w:val="40"/>
      </w:rPr>
      <w:t>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AA3DE0">
      <w:rPr>
        <w:i/>
        <w:iCs/>
      </w:rPr>
      <w:t>19</w:t>
    </w:r>
    <w:r w:rsidR="00BC54BC">
      <w:rPr>
        <w:i/>
        <w:iCs/>
      </w:rPr>
      <w:t xml:space="preserve"> </w:t>
    </w:r>
    <w:r w:rsidR="004477EC">
      <w:rPr>
        <w:i/>
        <w:iCs/>
      </w:rPr>
      <w:t xml:space="preserve">a </w:t>
    </w:r>
    <w:r w:rsidR="00AA3DE0">
      <w:rPr>
        <w:i/>
        <w:iCs/>
      </w:rPr>
      <w:t>25</w:t>
    </w:r>
    <w:r w:rsidR="00BC2C67">
      <w:rPr>
        <w:i/>
        <w:iCs/>
      </w:rPr>
      <w:t xml:space="preserve"> </w:t>
    </w:r>
    <w:r w:rsidR="00AA3DE0">
      <w:rPr>
        <w:i/>
        <w:iCs/>
      </w:rPr>
      <w:t>de maio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2973"/>
    <w:rsid w:val="000B4D41"/>
    <w:rsid w:val="000B67DF"/>
    <w:rsid w:val="000B7CDE"/>
    <w:rsid w:val="000C3022"/>
    <w:rsid w:val="000C5AC6"/>
    <w:rsid w:val="000C672B"/>
    <w:rsid w:val="000E0A91"/>
    <w:rsid w:val="000E1DC1"/>
    <w:rsid w:val="0011575C"/>
    <w:rsid w:val="0011692E"/>
    <w:rsid w:val="00137564"/>
    <w:rsid w:val="00137DC1"/>
    <w:rsid w:val="00140328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5374D"/>
    <w:rsid w:val="0036325E"/>
    <w:rsid w:val="003671FE"/>
    <w:rsid w:val="003708FD"/>
    <w:rsid w:val="0037667D"/>
    <w:rsid w:val="00383A89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A5908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1F9C"/>
    <w:rsid w:val="00631166"/>
    <w:rsid w:val="00631F1C"/>
    <w:rsid w:val="006366A4"/>
    <w:rsid w:val="00643B60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7953"/>
    <w:rsid w:val="008B3081"/>
    <w:rsid w:val="008B32D4"/>
    <w:rsid w:val="008C7AD0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2C6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35BF"/>
    <w:rsid w:val="00D77672"/>
    <w:rsid w:val="00D80222"/>
    <w:rsid w:val="00D847CF"/>
    <w:rsid w:val="00DA0A99"/>
    <w:rsid w:val="00DA7603"/>
    <w:rsid w:val="00DA7E39"/>
    <w:rsid w:val="00DA7EDE"/>
    <w:rsid w:val="00DB0223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388&amp;digitoTst=34&amp;anoTst=2010&amp;orgaoTst=5&amp;tribunalTst=10&amp;varaTst=00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41500&amp;digitoTst=67&amp;anoTst=2007&amp;orgaoTst=5&amp;tribunalTst=15&amp;varaTst=0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47300&amp;digitoTst=11&amp;anoTst=2005&amp;orgaoTst=5&amp;tribunalTst=12&amp;varaTst=000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F340-6BF1-49A5-892C-D6BFA850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4347</CharactersWithSpaces>
  <SharedDoc>false</SharedDoc>
  <HLinks>
    <vt:vector size="18" baseType="variant">
      <vt:variant>
        <vt:i4>6815800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http://aplicacao4.tst.jus.br/consultaProcessual/consultaTstNumUnica.do?consulta=Consultar&amp;conscsjt=&amp;numeroTst=41500&amp;digitoTst=67&amp;anoTst=2007&amp;orgaoTst=5&amp;tribunalTst=15&amp;varaTst=0031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http://aplicacao4.tst.jus.br/consultaProcessual/consultaTstNumUnica.do?consulta=Consultar&amp;conscsjt=&amp;numeroTst=147300&amp;digitoTst=11&amp;anoTst=2005&amp;orgaoTst=5&amp;tribunalTst=12&amp;varaTst=0008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http://aplicacao4.tst.jus.br/consultaProcessual/consultaTstNumUnica.do?consulta=Consultar&amp;conscsjt=&amp;numeroTst=1388&amp;digitoTst=34&amp;anoTst=2010&amp;orgaoTst=5&amp;tribunalTst=10&amp;varaTst=0017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2015-03-19T20:01:00Z</cp:lastPrinted>
  <dcterms:created xsi:type="dcterms:W3CDTF">2018-06-27T21:49:00Z</dcterms:created>
  <dcterms:modified xsi:type="dcterms:W3CDTF">2018-06-27T21:49:00Z</dcterms:modified>
</cp:coreProperties>
</file>