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31469" w:rsidRPr="00FE7F49" w:rsidRDefault="00E31469" w:rsidP="00C54185">
      <w:pPr>
        <w:pStyle w:val="EXPLICAO"/>
        <w:spacing w:line="240" w:lineRule="auto"/>
        <w:ind w:left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54185" w:rsidRPr="00971E07" w:rsidRDefault="00C54185" w:rsidP="00C54185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 w:rsidR="009111E6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</w:t>
      </w:r>
      <w:r w:rsidR="00FE7F49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E31469" w:rsidRPr="00FE7F49" w:rsidRDefault="00E31469" w:rsidP="00BC54BC">
      <w:pPr>
        <w:pStyle w:val="Corpo"/>
        <w:spacing w:line="240" w:lineRule="auto"/>
        <w:ind w:firstLine="0"/>
        <w:rPr>
          <w:rFonts w:ascii="Times New Roman" w:hAnsi="Times New Roman"/>
          <w:sz w:val="20"/>
          <w:szCs w:val="20"/>
          <w:u w:val="single"/>
          <w:lang w:val="pt-BR"/>
        </w:rPr>
      </w:pPr>
    </w:p>
    <w:p w:rsidR="005E608B" w:rsidRPr="004B63F4" w:rsidRDefault="005E608B" w:rsidP="005E608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4B63F4">
        <w:rPr>
          <w:b/>
          <w:i/>
          <w:sz w:val="24"/>
          <w:szCs w:val="24"/>
        </w:rPr>
        <w:t>ção de repetição de indébito.</w:t>
      </w:r>
      <w:r>
        <w:rPr>
          <w:b/>
          <w:i/>
          <w:sz w:val="24"/>
          <w:szCs w:val="24"/>
        </w:rPr>
        <w:t xml:space="preserve"> Diferenças salariais. Planos econômicos. R</w:t>
      </w:r>
      <w:r w:rsidRPr="004B63F4">
        <w:rPr>
          <w:b/>
          <w:i/>
          <w:sz w:val="24"/>
          <w:szCs w:val="24"/>
        </w:rPr>
        <w:t>estituição de valores pagos por meio de precatório</w:t>
      </w:r>
      <w:r>
        <w:rPr>
          <w:b/>
          <w:i/>
          <w:sz w:val="24"/>
          <w:szCs w:val="24"/>
        </w:rPr>
        <w:t>.</w:t>
      </w:r>
      <w:r w:rsidRPr="004B63F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</w:t>
      </w:r>
      <w:r w:rsidRPr="004B63F4">
        <w:rPr>
          <w:b/>
          <w:i/>
          <w:sz w:val="24"/>
          <w:szCs w:val="24"/>
        </w:rPr>
        <w:t xml:space="preserve">entença desconstituída por ação rescisória. </w:t>
      </w:r>
    </w:p>
    <w:p w:rsidR="005E608B" w:rsidRDefault="005E608B" w:rsidP="009111E6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>Procede o pedido formulado em</w:t>
      </w:r>
      <w:r w:rsidRPr="00A4548D">
        <w:rPr>
          <w:rFonts w:ascii="Times New Roman" w:eastAsia="Calibri" w:hAnsi="Times New Roman" w:cs="Times New Roman"/>
          <w:color w:val="auto"/>
          <w:lang w:val="pt-BR" w:eastAsia="en-US"/>
        </w:rPr>
        <w:t xml:space="preserve"> ação de repetição de indébito para se obter a restituição de valores pagos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que se tornaram indevidos em razão de rescisão do julgado </w:t>
      </w:r>
      <w:r w:rsidRPr="00A4548D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que determinou tal pagamento, ainda que essas diferenças salariais ostentem natureza alimentar.  </w:t>
      </w:r>
      <w:r w:rsidRPr="00994CF9">
        <w:rPr>
          <w:rFonts w:ascii="Times New Roman" w:eastAsia="Calibri" w:hAnsi="Times New Roman" w:cs="Times New Roman"/>
          <w:color w:val="auto"/>
          <w:lang w:val="pt-BR" w:eastAsia="en-US"/>
        </w:rPr>
        <w:t>Entendimento contrário implicaria na inutilidade da ação rescisória na Justiça do Trabalho. A boa-fé da parte no recebimento dos valores indevidos e a natureza alimentar das diferenças salariais não constituem fato impeditivo à devolução dos valores recebidos indevidamente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sob pena de afronta aos princípios da razoabilidade e da vedação do enriquecimento sem causa. </w:t>
      </w:r>
      <w:r w:rsidRPr="00A4548D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Sob esses fundamentos</w:t>
      </w:r>
      <w:r w:rsidRPr="00890B88">
        <w:rPr>
          <w:rFonts w:ascii="Times New Roman" w:eastAsia="Calibri" w:hAnsi="Times New Roman" w:cs="Times New Roman"/>
          <w:color w:val="auto"/>
          <w:lang w:val="pt-BR" w:eastAsia="en-US"/>
        </w:rPr>
        <w:t>, a SBDI-I,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por unanimidade, conheceu</w:t>
      </w:r>
      <w:r w:rsidRPr="00890B88">
        <w:rPr>
          <w:rFonts w:ascii="Times New Roman" w:eastAsia="Calibri" w:hAnsi="Times New Roman" w:cs="Times New Roman"/>
          <w:color w:val="auto"/>
          <w:lang w:val="pt-BR" w:eastAsia="en-US"/>
        </w:rPr>
        <w:t xml:space="preserve"> do recurso de embargos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</w:t>
      </w:r>
      <w:r w:rsidRPr="00890B88">
        <w:rPr>
          <w:rFonts w:ascii="Times New Roman" w:eastAsia="Calibri" w:hAnsi="Times New Roman" w:cs="Times New Roman"/>
          <w:color w:val="auto"/>
          <w:lang w:val="pt-BR" w:eastAsia="en-US"/>
        </w:rPr>
        <w:t xml:space="preserve"> por divergência jurisprudencia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l, e, no mérito, por maioria, deu</w:t>
      </w:r>
      <w:r w:rsidRPr="00890B88">
        <w:rPr>
          <w:rFonts w:ascii="Times New Roman" w:eastAsia="Calibri" w:hAnsi="Times New Roman" w:cs="Times New Roman"/>
          <w:color w:val="auto"/>
          <w:lang w:val="pt-BR" w:eastAsia="en-US"/>
        </w:rPr>
        <w:t>-lhe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s</w:t>
      </w:r>
      <w:r w:rsidRPr="00890B88">
        <w:rPr>
          <w:rFonts w:ascii="Times New Roman" w:eastAsia="Calibri" w:hAnsi="Times New Roman" w:cs="Times New Roman"/>
          <w:color w:val="auto"/>
          <w:lang w:val="pt-BR" w:eastAsia="en-US"/>
        </w:rPr>
        <w:t xml:space="preserve"> provimento parcial para julgar procedente, em parte,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o pedido deduzido em</w:t>
      </w:r>
      <w:r w:rsidRPr="00890B88">
        <w:rPr>
          <w:rFonts w:ascii="Times New Roman" w:eastAsia="Calibri" w:hAnsi="Times New Roman" w:cs="Times New Roman"/>
          <w:color w:val="auto"/>
          <w:lang w:val="pt-BR" w:eastAsia="en-US"/>
        </w:rPr>
        <w:t xml:space="preserve"> ação ordinária de repetição de indébito, restringindo a condenação ao pagamento do valor principal, sem juros e correção monetária e sem os valores correspondentes à contribuição previdenciária e ao desconto de imposto de renda retido na fonte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</w:t>
      </w:r>
      <w:r w:rsidRPr="00AA4D2A">
        <w:rPr>
          <w:rFonts w:ascii="Times New Roman" w:eastAsia="Calibri" w:hAnsi="Times New Roman" w:cs="Times New Roman"/>
          <w:color w:val="auto"/>
          <w:lang w:val="pt-BR" w:eastAsia="en-US"/>
        </w:rPr>
        <w:t>invertendo-se os ônus da sucumbência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. V</w:t>
      </w:r>
      <w:r w:rsidRPr="00890B88">
        <w:rPr>
          <w:rFonts w:ascii="Times New Roman" w:eastAsia="Calibri" w:hAnsi="Times New Roman" w:cs="Times New Roman"/>
          <w:color w:val="auto"/>
          <w:lang w:val="pt-BR" w:eastAsia="en-US"/>
        </w:rPr>
        <w:t>encidos, integralmente, o Min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.</w:t>
      </w:r>
      <w:r w:rsidRPr="00890B88">
        <w:rPr>
          <w:rFonts w:ascii="Times New Roman" w:eastAsia="Calibri" w:hAnsi="Times New Roman" w:cs="Times New Roman"/>
          <w:color w:val="auto"/>
          <w:lang w:val="pt-BR" w:eastAsia="en-US"/>
        </w:rPr>
        <w:t xml:space="preserve"> Augusto César Leite de Carvalho e, parcialmente, o Min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.</w:t>
      </w:r>
      <w:r w:rsidRPr="00890B88">
        <w:rPr>
          <w:rFonts w:ascii="Times New Roman" w:eastAsia="Calibri" w:hAnsi="Times New Roman" w:cs="Times New Roman"/>
          <w:color w:val="auto"/>
          <w:lang w:val="pt-BR" w:eastAsia="en-US"/>
        </w:rPr>
        <w:t xml:space="preserve"> Renato de Lacerda Paiva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hyperlink r:id="rId8" w:history="1">
        <w:r w:rsidRPr="00065673">
          <w:rPr>
            <w:rStyle w:val="Hyperlink"/>
            <w:rFonts w:ascii="Times New Roman" w:eastAsia="Calibri" w:hAnsi="Times New Roman"/>
            <w:lang w:val="pt-BR" w:eastAsia="en-US"/>
          </w:rPr>
          <w:t>TST-E-ED-RR-32500-82.2003.5.07.0006</w:t>
        </w:r>
      </w:hyperlink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</w:t>
      </w:r>
      <w:r w:rsidRPr="00890B88">
        <w:rPr>
          <w:rFonts w:ascii="Times New Roman" w:eastAsia="Calibri" w:hAnsi="Times New Roman" w:cs="Times New Roman"/>
          <w:color w:val="auto"/>
          <w:lang w:val="pt-BR" w:eastAsia="en-US"/>
        </w:rPr>
        <w:t>SBDI-I,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rel. Min. Lelio Bentes Corrêa, 14.5.2015</w:t>
      </w:r>
    </w:p>
    <w:p w:rsidR="005E608B" w:rsidRPr="00982999" w:rsidRDefault="005E608B" w:rsidP="009111E6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pt-BR" w:eastAsia="en-US"/>
        </w:rPr>
      </w:pPr>
    </w:p>
    <w:p w:rsidR="00C863F4" w:rsidRPr="00895CC6" w:rsidRDefault="00C863F4" w:rsidP="00C863F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Salário-substituição. Substituição apenas de parte das atribuições do substituído. Pagamento de forma proporcional às atividades substituídas. Apuração em liquidação de sentença.</w:t>
      </w:r>
    </w:p>
    <w:p w:rsidR="00C863F4" w:rsidRDefault="00C863F4" w:rsidP="00C863F4">
      <w:pPr>
        <w:pStyle w:val="Corpo"/>
        <w:spacing w:line="240" w:lineRule="auto"/>
        <w:ind w:firstLine="0"/>
        <w:rPr>
          <w:rFonts w:ascii="Times New Roman" w:hAnsi="Times New Roman"/>
          <w:u w:val="single"/>
          <w:lang w:val="pt-BR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Consoante entendimento consagrado na Súmula 159, I, do TST, o empregado substituto faz jus ao salário do substituído, enquanto perdurar a substituição que não tenha caráter meramente eventual, inclusive nas férias. Nos casos em que a substituição for parcial, ou seja, não abarcar todas as atividades e responsabilidades do substituído, o valor do salário-substituição poderá se dar proporcionalmente às tarefas desempenhadas. Na  hipótese dos autos, o substituído era responsável pela segurança da empresa em toda região metropolitana de Belo Horizonte, enquanto o substituto assumiu as atribuições do supervisor apenas na cidade de Betim. Assim, adotando esse entendimento, 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a SBDI-I,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no ponto, 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conheceu dos embargos da reclamada, por divergência jurisprudencial, e, no mérito, por maioria,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hAnsi="Times New Roman" w:cs="Times New Roman"/>
          <w:lang w:val="pt-BR"/>
        </w:rPr>
        <w:t>deu</w:t>
      </w:r>
      <w:r w:rsidRPr="00EC08E7">
        <w:rPr>
          <w:rFonts w:ascii="Times New Roman" w:hAnsi="Times New Roman" w:cs="Times New Roman"/>
          <w:lang w:val="pt-BR"/>
        </w:rPr>
        <w:t>-lhe</w:t>
      </w:r>
      <w:r>
        <w:rPr>
          <w:rFonts w:ascii="Times New Roman" w:hAnsi="Times New Roman" w:cs="Times New Roman"/>
          <w:lang w:val="pt-BR"/>
        </w:rPr>
        <w:t>s</w:t>
      </w:r>
      <w:r w:rsidRPr="00EC08E7">
        <w:rPr>
          <w:rFonts w:ascii="Times New Roman" w:hAnsi="Times New Roman" w:cs="Times New Roman"/>
          <w:lang w:val="pt-BR"/>
        </w:rPr>
        <w:t xml:space="preserve"> provimento parcial para limitar a condenação das diferenças salariais em virtude de substituição do supervisor, em suas férias, de forma proporcional às atividades substituídas, a ser apurado em liquidação da sentença</w:t>
      </w:r>
      <w:r w:rsidRPr="00EC08E7">
        <w:rPr>
          <w:rFonts w:ascii="Times New Roman" w:eastAsia="Calibri" w:hAnsi="Times New Roman" w:cs="Times New Roman"/>
          <w:color w:val="auto"/>
          <w:lang w:val="pt-BR" w:eastAsia="en-US"/>
        </w:rPr>
        <w:t>.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Vencido o Ministro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Aloysio Corrêa da Veiga. </w:t>
      </w:r>
      <w:hyperlink r:id="rId9" w:history="1">
        <w:r w:rsidRPr="00C863F4">
          <w:rPr>
            <w:rStyle w:val="Hyperlink"/>
            <w:rFonts w:ascii="Times New Roman" w:hAnsi="Times New Roman" w:cs="Courier New"/>
            <w:lang w:val="pt-BR"/>
          </w:rPr>
          <w:t>TST-E-ED-RR-66600-35.2008.5.03.0027</w:t>
        </w:r>
      </w:hyperlink>
      <w:r w:rsidRPr="00895CC6">
        <w:rPr>
          <w:rFonts w:ascii="Times New Roman" w:hAnsi="Times New Roman"/>
          <w:u w:val="single"/>
          <w:lang w:val="pt-BR"/>
        </w:rPr>
        <w:t xml:space="preserve">, SBDI-I, rel. Min. </w:t>
      </w:r>
      <w:r w:rsidRPr="003B41CC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Dora Maria da Costa</w:t>
      </w:r>
      <w:r w:rsidRPr="003B41CC">
        <w:rPr>
          <w:rFonts w:ascii="Times New Roman" w:hAnsi="Times New Roman"/>
          <w:u w:val="single"/>
          <w:lang w:val="pt-BR"/>
        </w:rPr>
        <w:t xml:space="preserve"> ,</w:t>
      </w:r>
      <w:r w:rsidRPr="00895CC6">
        <w:rPr>
          <w:rFonts w:ascii="Times New Roman" w:hAnsi="Times New Roman"/>
          <w:u w:val="single"/>
          <w:lang w:val="pt-BR"/>
        </w:rPr>
        <w:t xml:space="preserve"> </w:t>
      </w:r>
      <w:r>
        <w:rPr>
          <w:rFonts w:ascii="Times New Roman" w:hAnsi="Times New Roman"/>
          <w:u w:val="single"/>
          <w:lang w:val="pt-BR"/>
        </w:rPr>
        <w:t>14</w:t>
      </w:r>
      <w:r w:rsidRPr="00895CC6">
        <w:rPr>
          <w:rFonts w:ascii="Times New Roman" w:hAnsi="Times New Roman"/>
          <w:u w:val="single"/>
          <w:lang w:val="pt-BR"/>
        </w:rPr>
        <w:t>.</w:t>
      </w:r>
      <w:r>
        <w:rPr>
          <w:rFonts w:ascii="Times New Roman" w:hAnsi="Times New Roman"/>
          <w:u w:val="single"/>
          <w:lang w:val="pt-BR"/>
        </w:rPr>
        <w:t>5.</w:t>
      </w:r>
      <w:r w:rsidRPr="00895CC6">
        <w:rPr>
          <w:rFonts w:ascii="Times New Roman" w:hAnsi="Times New Roman"/>
          <w:u w:val="single"/>
          <w:lang w:val="pt-BR"/>
        </w:rPr>
        <w:t>201</w:t>
      </w:r>
      <w:r>
        <w:rPr>
          <w:rFonts w:ascii="Times New Roman" w:hAnsi="Times New Roman"/>
          <w:u w:val="single"/>
          <w:lang w:val="pt-BR"/>
        </w:rPr>
        <w:t>5</w:t>
      </w:r>
    </w:p>
    <w:p w:rsidR="009111E6" w:rsidRPr="00982999" w:rsidRDefault="009111E6" w:rsidP="00BC54BC">
      <w:pPr>
        <w:pStyle w:val="Corpo"/>
        <w:spacing w:line="240" w:lineRule="auto"/>
        <w:ind w:firstLine="0"/>
        <w:rPr>
          <w:rFonts w:ascii="Times New Roman" w:hAnsi="Times New Roman"/>
          <w:sz w:val="28"/>
          <w:szCs w:val="28"/>
          <w:u w:val="single"/>
          <w:lang w:val="pt-BR"/>
        </w:rPr>
      </w:pPr>
    </w:p>
    <w:p w:rsidR="00982999" w:rsidRPr="005C3870" w:rsidRDefault="00982999" w:rsidP="0098299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Ação civil pública. Art. 3º da Lei nº 7.347/85. Obrigação de fazer e condenação em pecúnia. Cumulação de pedidos. Tutela inibitória e dano moral coletivo.</w:t>
      </w:r>
    </w:p>
    <w:p w:rsidR="00982999" w:rsidRDefault="00982999" w:rsidP="00982999">
      <w:pPr>
        <w:pStyle w:val="Corpo"/>
        <w:spacing w:line="240" w:lineRule="auto"/>
        <w:ind w:firstLine="0"/>
        <w:rPr>
          <w:rFonts w:ascii="Times New Roman" w:hAnsi="Times New Roman"/>
          <w:u w:val="single"/>
          <w:lang w:val="pt-BR"/>
        </w:rPr>
      </w:pPr>
      <w:r w:rsidRPr="00D41EF0">
        <w:rPr>
          <w:rFonts w:ascii="Times New Roman" w:eastAsia="Calibri" w:hAnsi="Times New Roman" w:cs="Times New Roman"/>
          <w:color w:val="auto"/>
          <w:lang w:val="pt-BR" w:eastAsia="en-US"/>
        </w:rPr>
        <w:t>Nos termos do ar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t.</w:t>
      </w:r>
      <w:r w:rsidRPr="00D41EF0">
        <w:rPr>
          <w:rFonts w:ascii="Times New Roman" w:eastAsia="Calibri" w:hAnsi="Times New Roman" w:cs="Times New Roman"/>
          <w:color w:val="auto"/>
          <w:lang w:val="pt-BR" w:eastAsia="en-US"/>
        </w:rPr>
        <w:t xml:space="preserve"> 3º da Lei nº 7.347/85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em ação civil pública</w:t>
      </w:r>
      <w:r w:rsidRPr="00D41EF0">
        <w:rPr>
          <w:rFonts w:ascii="Times New Roman" w:eastAsia="Calibri" w:hAnsi="Times New Roman" w:cs="Times New Roman"/>
          <w:color w:val="auto"/>
          <w:lang w:val="pt-BR" w:eastAsia="en-US"/>
        </w:rPr>
        <w:t xml:space="preserve"> é possível a cumulação de pedidos de obrigação de fazer, ou não fazer, com condenação ao pagamento de indenização 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m pecúnia</w:t>
      </w:r>
      <w:r w:rsidRPr="00D41EF0">
        <w:rPr>
          <w:rFonts w:ascii="Times New Roman" w:eastAsia="Calibri" w:hAnsi="Times New Roman" w:cs="Times New Roman"/>
          <w:color w:val="auto"/>
          <w:lang w:val="pt-BR" w:eastAsia="en-US"/>
        </w:rPr>
        <w:t>.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Na hipótese, entendeu-se que a</w:t>
      </w:r>
      <w:r w:rsidRPr="00691C62">
        <w:rPr>
          <w:rFonts w:ascii="Times New Roman" w:eastAsia="Calibri" w:hAnsi="Times New Roman" w:cs="Times New Roman"/>
          <w:color w:val="auto"/>
          <w:lang w:val="pt-BR" w:eastAsia="en-US"/>
        </w:rPr>
        <w:t xml:space="preserve"> multa por obrigação de fazer tem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como</w:t>
      </w:r>
      <w:r w:rsidRPr="00691C62">
        <w:rPr>
          <w:rFonts w:ascii="Times New Roman" w:eastAsia="Calibri" w:hAnsi="Times New Roman" w:cs="Times New Roman"/>
          <w:color w:val="auto"/>
          <w:lang w:val="pt-BR" w:eastAsia="en-US"/>
        </w:rPr>
        <w:t xml:space="preserve"> objetivo o cumprimento da obrigação previs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ta em l</w:t>
      </w:r>
      <w:r w:rsidRPr="00691C62">
        <w:rPr>
          <w:rFonts w:ascii="Times New Roman" w:eastAsia="Calibri" w:hAnsi="Times New Roman" w:cs="Times New Roman"/>
          <w:color w:val="auto"/>
          <w:lang w:val="pt-BR" w:eastAsia="en-US"/>
        </w:rPr>
        <w:t xml:space="preserve">ei, enquanto que a indenização por dano extrapatrimonial coletivo tem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como</w:t>
      </w:r>
      <w:r w:rsidRPr="00691C62">
        <w:rPr>
          <w:rFonts w:ascii="Times New Roman" w:eastAsia="Calibri" w:hAnsi="Times New Roman" w:cs="Times New Roman"/>
          <w:color w:val="auto"/>
          <w:lang w:val="pt-BR" w:eastAsia="en-US"/>
        </w:rPr>
        <w:t xml:space="preserve"> finalidade a compensação do período em que a coletividade foi privada do cumprimento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de preceito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lastRenderedPageBreak/>
        <w:t>legal. Sob</w:t>
      </w:r>
      <w:r w:rsidRPr="009C5D63">
        <w:rPr>
          <w:rFonts w:ascii="Times New Roman" w:eastAsia="Calibri" w:hAnsi="Times New Roman" w:cs="Times New Roman"/>
          <w:color w:val="auto"/>
          <w:lang w:val="pt-BR" w:eastAsia="en-US"/>
        </w:rPr>
        <w:t xml:space="preserve"> esse entendimento, a SBDI-I,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por unanimidade, conheceu</w:t>
      </w:r>
      <w:r w:rsidRPr="007528DE">
        <w:rPr>
          <w:rFonts w:ascii="Times New Roman" w:eastAsia="Calibri" w:hAnsi="Times New Roman" w:cs="Times New Roman"/>
          <w:color w:val="auto"/>
          <w:lang w:val="pt-BR" w:eastAsia="en-US"/>
        </w:rPr>
        <w:t xml:space="preserve"> do recurso de embargos por divergência ju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risprudencial, e, no mérito, deu</w:t>
      </w:r>
      <w:r w:rsidRPr="007528DE">
        <w:rPr>
          <w:rFonts w:ascii="Times New Roman" w:eastAsia="Calibri" w:hAnsi="Times New Roman" w:cs="Times New Roman"/>
          <w:color w:val="auto"/>
          <w:lang w:val="pt-BR" w:eastAsia="en-US"/>
        </w:rPr>
        <w:t>-lhe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s</w:t>
      </w:r>
      <w:r w:rsidRPr="007528DE">
        <w:rPr>
          <w:rFonts w:ascii="Times New Roman" w:eastAsia="Calibri" w:hAnsi="Times New Roman" w:cs="Times New Roman"/>
          <w:color w:val="auto"/>
          <w:lang w:val="pt-BR" w:eastAsia="en-US"/>
        </w:rPr>
        <w:t xml:space="preserve"> provimento para declarar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a possibilidade de cumulação da</w:t>
      </w:r>
      <w:r w:rsidRPr="007528DE">
        <w:rPr>
          <w:rFonts w:ascii="Times New Roman" w:eastAsia="Calibri" w:hAnsi="Times New Roman" w:cs="Times New Roman"/>
          <w:color w:val="auto"/>
          <w:lang w:val="pt-BR" w:eastAsia="en-US"/>
        </w:rPr>
        <w:t xml:space="preserve"> indenização pecuniária com as obrigações de fazer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direcionadas ao cumprimento da l</w:t>
      </w:r>
      <w:r w:rsidRPr="007528DE">
        <w:rPr>
          <w:rFonts w:ascii="Times New Roman" w:eastAsia="Calibri" w:hAnsi="Times New Roman" w:cs="Times New Roman"/>
          <w:color w:val="auto"/>
          <w:lang w:val="pt-BR" w:eastAsia="en-US"/>
        </w:rPr>
        <w:t xml:space="preserve">ei, bem como para condenar a embargada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ao pagamento da indenização por</w:t>
      </w:r>
      <w:r w:rsidRPr="007528DE">
        <w:rPr>
          <w:rFonts w:ascii="Times New Roman" w:eastAsia="Calibri" w:hAnsi="Times New Roman" w:cs="Times New Roman"/>
          <w:color w:val="auto"/>
          <w:lang w:val="pt-BR" w:eastAsia="en-US"/>
        </w:rPr>
        <w:t xml:space="preserve"> danos morais coletivos no importe de R$ 2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00.000,00 (duzentos mil reais). Registrou ressalva de fundamentação o </w:t>
      </w:r>
      <w:r w:rsidRPr="007528DE">
        <w:rPr>
          <w:rFonts w:ascii="Times New Roman" w:eastAsia="Calibri" w:hAnsi="Times New Roman" w:cs="Times New Roman"/>
          <w:color w:val="auto"/>
          <w:lang w:val="pt-BR" w:eastAsia="en-US"/>
        </w:rPr>
        <w:t>Min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.</w:t>
      </w:r>
      <w:r w:rsidRPr="007528DE">
        <w:rPr>
          <w:rFonts w:ascii="Times New Roman" w:eastAsia="Calibri" w:hAnsi="Times New Roman" w:cs="Times New Roman"/>
          <w:color w:val="auto"/>
          <w:lang w:val="pt-BR" w:eastAsia="en-US"/>
        </w:rPr>
        <w:t xml:space="preserve"> Cláudio Mascarenhas Brandão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hyperlink r:id="rId10" w:history="1">
        <w:r w:rsidRPr="00F4183A">
          <w:rPr>
            <w:rStyle w:val="Hyperlink"/>
            <w:rFonts w:ascii="Times New Roman" w:hAnsi="Times New Roman" w:cs="Courier New"/>
            <w:lang w:val="pt-BR"/>
          </w:rPr>
          <w:t>TST-E-ED-RR-133900-83.2004.5.02.0026</w:t>
        </w:r>
      </w:hyperlink>
      <w:r>
        <w:rPr>
          <w:rFonts w:ascii="Times New Roman" w:hAnsi="Times New Roman"/>
          <w:u w:val="single"/>
          <w:lang w:val="pt-BR"/>
        </w:rPr>
        <w:t xml:space="preserve">, SBDI-I, rel. Min. </w:t>
      </w:r>
      <w:r w:rsidRPr="00EA6C1A">
        <w:rPr>
          <w:rFonts w:ascii="Times New Roman" w:hAnsi="Times New Roman"/>
          <w:u w:val="single"/>
          <w:lang w:val="pt-BR"/>
        </w:rPr>
        <w:t>Alexandre de Souza Agra Belmonte</w:t>
      </w:r>
      <w:r w:rsidRPr="009C5D63">
        <w:rPr>
          <w:rFonts w:ascii="Times New Roman" w:hAnsi="Times New Roman"/>
          <w:u w:val="single"/>
          <w:lang w:val="pt-BR"/>
        </w:rPr>
        <w:t xml:space="preserve">, </w:t>
      </w:r>
      <w:r>
        <w:rPr>
          <w:rFonts w:ascii="Times New Roman" w:hAnsi="Times New Roman"/>
          <w:u w:val="single"/>
          <w:lang w:val="pt-BR"/>
        </w:rPr>
        <w:t>14</w:t>
      </w:r>
      <w:r w:rsidRPr="009C5D63">
        <w:rPr>
          <w:rFonts w:ascii="Times New Roman" w:hAnsi="Times New Roman"/>
          <w:u w:val="single"/>
          <w:lang w:val="pt-BR"/>
        </w:rPr>
        <w:t>.</w:t>
      </w:r>
      <w:r>
        <w:rPr>
          <w:rFonts w:ascii="Times New Roman" w:hAnsi="Times New Roman"/>
          <w:u w:val="single"/>
          <w:lang w:val="pt-BR"/>
        </w:rPr>
        <w:t>5.2015.</w:t>
      </w:r>
    </w:p>
    <w:p w:rsidR="009274CD" w:rsidRDefault="009274CD" w:rsidP="00BC54BC">
      <w:pPr>
        <w:pStyle w:val="Corpo"/>
        <w:spacing w:line="240" w:lineRule="auto"/>
        <w:ind w:firstLine="0"/>
        <w:rPr>
          <w:rFonts w:ascii="Times New Roman" w:hAnsi="Times New Roman"/>
          <w:sz w:val="28"/>
          <w:szCs w:val="28"/>
          <w:u w:val="single"/>
          <w:lang w:val="pt-BR"/>
        </w:rPr>
      </w:pPr>
    </w:p>
    <w:p w:rsidR="009274CD" w:rsidRDefault="009274CD" w:rsidP="00BC54BC">
      <w:pPr>
        <w:pStyle w:val="Corpo"/>
        <w:spacing w:line="240" w:lineRule="auto"/>
        <w:ind w:firstLine="0"/>
        <w:rPr>
          <w:rFonts w:ascii="Times New Roman" w:hAnsi="Times New Roman"/>
          <w:sz w:val="28"/>
          <w:szCs w:val="28"/>
          <w:u w:val="single"/>
          <w:lang w:val="pt-BR"/>
        </w:rPr>
      </w:pPr>
    </w:p>
    <w:p w:rsidR="00982999" w:rsidRDefault="00982999" w:rsidP="00BC54BC">
      <w:pPr>
        <w:pStyle w:val="Corpo"/>
        <w:spacing w:line="240" w:lineRule="auto"/>
        <w:ind w:firstLine="0"/>
        <w:rPr>
          <w:rFonts w:ascii="Times New Roman" w:hAnsi="Times New Roman"/>
          <w:sz w:val="28"/>
          <w:szCs w:val="28"/>
          <w:u w:val="single"/>
          <w:lang w:val="pt-BR"/>
        </w:rPr>
      </w:pPr>
    </w:p>
    <w:p w:rsidR="00982999" w:rsidRDefault="00982999" w:rsidP="00BC54BC">
      <w:pPr>
        <w:pStyle w:val="Corpo"/>
        <w:spacing w:line="240" w:lineRule="auto"/>
        <w:ind w:firstLine="0"/>
        <w:rPr>
          <w:rFonts w:ascii="Times New Roman" w:hAnsi="Times New Roman"/>
          <w:sz w:val="28"/>
          <w:szCs w:val="28"/>
          <w:u w:val="single"/>
          <w:lang w:val="pt-BR"/>
        </w:rPr>
      </w:pPr>
    </w:p>
    <w:p w:rsidR="00982999" w:rsidRDefault="00982999" w:rsidP="00BC54BC">
      <w:pPr>
        <w:pStyle w:val="Corpo"/>
        <w:spacing w:line="240" w:lineRule="auto"/>
        <w:ind w:firstLine="0"/>
        <w:rPr>
          <w:rFonts w:ascii="Times New Roman" w:hAnsi="Times New Roman"/>
          <w:sz w:val="28"/>
          <w:szCs w:val="28"/>
          <w:u w:val="single"/>
          <w:lang w:val="pt-BR"/>
        </w:rPr>
      </w:pPr>
    </w:p>
    <w:p w:rsidR="00982999" w:rsidRDefault="00982999" w:rsidP="00BC54BC">
      <w:pPr>
        <w:pStyle w:val="Corpo"/>
        <w:spacing w:line="240" w:lineRule="auto"/>
        <w:ind w:firstLine="0"/>
        <w:rPr>
          <w:rFonts w:ascii="Times New Roman" w:hAnsi="Times New Roman"/>
          <w:sz w:val="28"/>
          <w:szCs w:val="28"/>
          <w:u w:val="single"/>
          <w:lang w:val="pt-BR"/>
        </w:rPr>
      </w:pPr>
    </w:p>
    <w:p w:rsidR="00982999" w:rsidRDefault="00982999" w:rsidP="00BC54BC">
      <w:pPr>
        <w:pStyle w:val="Corpo"/>
        <w:spacing w:line="240" w:lineRule="auto"/>
        <w:ind w:firstLine="0"/>
        <w:rPr>
          <w:rFonts w:ascii="Times New Roman" w:hAnsi="Times New Roman"/>
          <w:sz w:val="28"/>
          <w:szCs w:val="28"/>
          <w:u w:val="single"/>
          <w:lang w:val="pt-BR"/>
        </w:rPr>
      </w:pPr>
    </w:p>
    <w:p w:rsidR="00982999" w:rsidRPr="00C75D42" w:rsidRDefault="00982999" w:rsidP="00BC54BC">
      <w:pPr>
        <w:pStyle w:val="Corpo"/>
        <w:spacing w:line="240" w:lineRule="auto"/>
        <w:ind w:firstLine="0"/>
        <w:rPr>
          <w:rFonts w:ascii="Times New Roman" w:hAnsi="Times New Roman"/>
          <w:sz w:val="28"/>
          <w:szCs w:val="28"/>
          <w:u w:val="single"/>
          <w:lang w:val="pt-BR"/>
        </w:rPr>
      </w:pPr>
    </w:p>
    <w:p w:rsidR="00BC54BC" w:rsidRPr="00BC54BC" w:rsidRDefault="00BC54BC" w:rsidP="00C54185">
      <w:pPr>
        <w:jc w:val="both"/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D2" w:rsidRDefault="00812AD2">
      <w:r>
        <w:separator/>
      </w:r>
    </w:p>
  </w:endnote>
  <w:endnote w:type="continuationSeparator" w:id="0">
    <w:p w:rsidR="00812AD2" w:rsidRDefault="0081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536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AD5364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D2" w:rsidRDefault="00812AD2">
      <w:r>
        <w:separator/>
      </w:r>
    </w:p>
  </w:footnote>
  <w:footnote w:type="continuationSeparator" w:id="0">
    <w:p w:rsidR="00812AD2" w:rsidRDefault="00812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7F66BC">
      <w:rPr>
        <w:shadow/>
        <w:sz w:val="24"/>
        <w:szCs w:val="24"/>
      </w:rPr>
      <w:t>10</w:t>
    </w:r>
    <w:r w:rsidR="004577B2">
      <w:rPr>
        <w:shadow/>
        <w:sz w:val="24"/>
        <w:szCs w:val="24"/>
      </w:rPr>
      <w:t>7</w:t>
    </w:r>
  </w:p>
  <w:p w:rsidR="004577B2" w:rsidRPr="004577B2" w:rsidRDefault="00187A37" w:rsidP="004577B2">
    <w:pPr>
      <w:pStyle w:val="Cabealho"/>
      <w:jc w:val="right"/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4577B2" w:rsidRPr="004577B2">
      <w:rPr>
        <w:i/>
        <w:iCs/>
      </w:rPr>
      <w:t xml:space="preserve"> </w:t>
    </w:r>
    <w:r w:rsidR="004577B2" w:rsidRPr="004577B2">
      <w:rPr>
        <w:iCs/>
      </w:rPr>
      <w:t>Período: 12 a 19 de maio  de  2015</w:t>
    </w:r>
  </w:p>
  <w:p w:rsidR="00FE00AD" w:rsidRDefault="00FE00AD">
    <w:pPr>
      <w:pStyle w:val="Ttulo6"/>
      <w:spacing w:line="36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77.2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BC54BC">
      <w:rPr>
        <w:b/>
        <w:sz w:val="40"/>
        <w:szCs w:val="40"/>
      </w:rPr>
      <w:t>10</w:t>
    </w:r>
    <w:r w:rsidR="006E42FA">
      <w:rPr>
        <w:b/>
        <w:sz w:val="40"/>
        <w:szCs w:val="40"/>
      </w:rPr>
      <w:t>7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9111E6">
      <w:rPr>
        <w:i/>
        <w:iCs/>
      </w:rPr>
      <w:t>1</w:t>
    </w:r>
    <w:r w:rsidR="006E42FA">
      <w:rPr>
        <w:i/>
        <w:iCs/>
      </w:rPr>
      <w:t>2 a 19</w:t>
    </w:r>
    <w:r w:rsidR="009111E6">
      <w:rPr>
        <w:i/>
        <w:iCs/>
      </w:rPr>
      <w:t xml:space="preserve"> de </w:t>
    </w:r>
    <w:r w:rsidR="006E42FA">
      <w:rPr>
        <w:i/>
        <w:iCs/>
      </w:rPr>
      <w:t xml:space="preserve">maio </w:t>
    </w:r>
    <w:r w:rsidR="009111E6">
      <w:rPr>
        <w:i/>
        <w:iCs/>
      </w:rPr>
      <w:t xml:space="preserve"> de </w:t>
    </w:r>
    <w:r w:rsidR="004A094C">
      <w:rPr>
        <w:i/>
        <w:iCs/>
      </w:rPr>
      <w:t xml:space="preserve"> 201</w:t>
    </w:r>
    <w:r w:rsidR="00C54185">
      <w:rPr>
        <w:i/>
        <w:iCs/>
      </w:rPr>
      <w:t>5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2973"/>
    <w:rsid w:val="000B4D41"/>
    <w:rsid w:val="000B67DF"/>
    <w:rsid w:val="000B7CDE"/>
    <w:rsid w:val="000C3022"/>
    <w:rsid w:val="000C5AC6"/>
    <w:rsid w:val="000C672B"/>
    <w:rsid w:val="000E0A91"/>
    <w:rsid w:val="000E1DC1"/>
    <w:rsid w:val="00111326"/>
    <w:rsid w:val="0011575C"/>
    <w:rsid w:val="0011692E"/>
    <w:rsid w:val="00137564"/>
    <w:rsid w:val="00137DC1"/>
    <w:rsid w:val="00142C28"/>
    <w:rsid w:val="0015612D"/>
    <w:rsid w:val="00161CDE"/>
    <w:rsid w:val="00163142"/>
    <w:rsid w:val="00176D15"/>
    <w:rsid w:val="00184590"/>
    <w:rsid w:val="00187A37"/>
    <w:rsid w:val="0019151D"/>
    <w:rsid w:val="00193208"/>
    <w:rsid w:val="00197B15"/>
    <w:rsid w:val="001C04D2"/>
    <w:rsid w:val="001C271F"/>
    <w:rsid w:val="001C6C93"/>
    <w:rsid w:val="001D4CF9"/>
    <w:rsid w:val="001D5AB0"/>
    <w:rsid w:val="001D757D"/>
    <w:rsid w:val="001E14A9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C55AF"/>
    <w:rsid w:val="002E78CB"/>
    <w:rsid w:val="0033397A"/>
    <w:rsid w:val="00352B27"/>
    <w:rsid w:val="0035374D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477EC"/>
    <w:rsid w:val="0045657C"/>
    <w:rsid w:val="004577B2"/>
    <w:rsid w:val="004655CC"/>
    <w:rsid w:val="00466DB9"/>
    <w:rsid w:val="00486521"/>
    <w:rsid w:val="00486DFC"/>
    <w:rsid w:val="004922D6"/>
    <w:rsid w:val="004A094C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22D95"/>
    <w:rsid w:val="005460BD"/>
    <w:rsid w:val="00553197"/>
    <w:rsid w:val="0055409E"/>
    <w:rsid w:val="00556367"/>
    <w:rsid w:val="00556B35"/>
    <w:rsid w:val="005668F7"/>
    <w:rsid w:val="00573E13"/>
    <w:rsid w:val="00584F82"/>
    <w:rsid w:val="00591DFA"/>
    <w:rsid w:val="005A5695"/>
    <w:rsid w:val="005B2F00"/>
    <w:rsid w:val="005B3792"/>
    <w:rsid w:val="005B57DE"/>
    <w:rsid w:val="005C1886"/>
    <w:rsid w:val="005C761E"/>
    <w:rsid w:val="005D0E5F"/>
    <w:rsid w:val="005D1DE4"/>
    <w:rsid w:val="005E35BD"/>
    <w:rsid w:val="005E3D4D"/>
    <w:rsid w:val="005E608B"/>
    <w:rsid w:val="005E7FD1"/>
    <w:rsid w:val="005F0545"/>
    <w:rsid w:val="005F2858"/>
    <w:rsid w:val="006002E3"/>
    <w:rsid w:val="006145AC"/>
    <w:rsid w:val="00615F98"/>
    <w:rsid w:val="00621A70"/>
    <w:rsid w:val="00621F9C"/>
    <w:rsid w:val="00631166"/>
    <w:rsid w:val="00631F1C"/>
    <w:rsid w:val="006366A4"/>
    <w:rsid w:val="00643B60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E42FA"/>
    <w:rsid w:val="006F6C15"/>
    <w:rsid w:val="00700B1B"/>
    <w:rsid w:val="0070727E"/>
    <w:rsid w:val="00710D3A"/>
    <w:rsid w:val="0071315F"/>
    <w:rsid w:val="007168F2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66BC"/>
    <w:rsid w:val="007F7B5E"/>
    <w:rsid w:val="00802B1A"/>
    <w:rsid w:val="0080615C"/>
    <w:rsid w:val="0081027F"/>
    <w:rsid w:val="00812AD2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C7AD0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06FE0"/>
    <w:rsid w:val="009111E6"/>
    <w:rsid w:val="00913A3E"/>
    <w:rsid w:val="009274CD"/>
    <w:rsid w:val="0093467A"/>
    <w:rsid w:val="0094155C"/>
    <w:rsid w:val="00951531"/>
    <w:rsid w:val="00960A3B"/>
    <w:rsid w:val="00967DE0"/>
    <w:rsid w:val="00971E07"/>
    <w:rsid w:val="00980944"/>
    <w:rsid w:val="00982999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3309A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5364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74F1"/>
    <w:rsid w:val="00BC1DE7"/>
    <w:rsid w:val="00BC2C67"/>
    <w:rsid w:val="00BC54BC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54185"/>
    <w:rsid w:val="00C56C21"/>
    <w:rsid w:val="00C60B4A"/>
    <w:rsid w:val="00C65BDB"/>
    <w:rsid w:val="00C71A3B"/>
    <w:rsid w:val="00C75D42"/>
    <w:rsid w:val="00C76CFA"/>
    <w:rsid w:val="00C863F4"/>
    <w:rsid w:val="00C963F8"/>
    <w:rsid w:val="00C96BB1"/>
    <w:rsid w:val="00CA2F80"/>
    <w:rsid w:val="00CB0C2A"/>
    <w:rsid w:val="00CB28CA"/>
    <w:rsid w:val="00CC4B2B"/>
    <w:rsid w:val="00CC579C"/>
    <w:rsid w:val="00CC58EB"/>
    <w:rsid w:val="00CC5F5F"/>
    <w:rsid w:val="00CD3460"/>
    <w:rsid w:val="00CD4B61"/>
    <w:rsid w:val="00CD5043"/>
    <w:rsid w:val="00CE2928"/>
    <w:rsid w:val="00CE314A"/>
    <w:rsid w:val="00D01C50"/>
    <w:rsid w:val="00D11B24"/>
    <w:rsid w:val="00D11C18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64BC3"/>
    <w:rsid w:val="00D72C05"/>
    <w:rsid w:val="00D735BF"/>
    <w:rsid w:val="00D77672"/>
    <w:rsid w:val="00D80222"/>
    <w:rsid w:val="00D847CF"/>
    <w:rsid w:val="00DA0A99"/>
    <w:rsid w:val="00DA7603"/>
    <w:rsid w:val="00DA7E39"/>
    <w:rsid w:val="00DA7EDE"/>
    <w:rsid w:val="00DC0AB5"/>
    <w:rsid w:val="00DC3451"/>
    <w:rsid w:val="00DC50EB"/>
    <w:rsid w:val="00DD19F4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1469"/>
    <w:rsid w:val="00E35639"/>
    <w:rsid w:val="00E432CC"/>
    <w:rsid w:val="00E50711"/>
    <w:rsid w:val="00E60AD3"/>
    <w:rsid w:val="00E60EDA"/>
    <w:rsid w:val="00E62BBC"/>
    <w:rsid w:val="00E925C7"/>
    <w:rsid w:val="00E9503C"/>
    <w:rsid w:val="00E956D9"/>
    <w:rsid w:val="00EA1958"/>
    <w:rsid w:val="00EA29F5"/>
    <w:rsid w:val="00EA482D"/>
    <w:rsid w:val="00EA6737"/>
    <w:rsid w:val="00EB5FE6"/>
    <w:rsid w:val="00EB61A5"/>
    <w:rsid w:val="00EB6C1B"/>
    <w:rsid w:val="00EB7A09"/>
    <w:rsid w:val="00EC5AF4"/>
    <w:rsid w:val="00ED318B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06855"/>
    <w:rsid w:val="00F17A2C"/>
    <w:rsid w:val="00F26708"/>
    <w:rsid w:val="00F4183A"/>
    <w:rsid w:val="00F42933"/>
    <w:rsid w:val="00F45608"/>
    <w:rsid w:val="00F511EE"/>
    <w:rsid w:val="00F558E7"/>
    <w:rsid w:val="00F62016"/>
    <w:rsid w:val="00F63F44"/>
    <w:rsid w:val="00F6746D"/>
    <w:rsid w:val="00F7337D"/>
    <w:rsid w:val="00F811CD"/>
    <w:rsid w:val="00F82D8F"/>
    <w:rsid w:val="00F83F62"/>
    <w:rsid w:val="00F9711D"/>
    <w:rsid w:val="00FA75E0"/>
    <w:rsid w:val="00FB20B1"/>
    <w:rsid w:val="00FB3AB4"/>
    <w:rsid w:val="00FC35EC"/>
    <w:rsid w:val="00FC56A4"/>
    <w:rsid w:val="00FD3D06"/>
    <w:rsid w:val="00FD5662"/>
    <w:rsid w:val="00FD72B6"/>
    <w:rsid w:val="00FE00AD"/>
    <w:rsid w:val="00FE08D8"/>
    <w:rsid w:val="00FE206E"/>
    <w:rsid w:val="00FE499F"/>
    <w:rsid w:val="00FE7F49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styleId="HiperlinkVisitado">
    <w:name w:val="FollowedHyperlink"/>
    <w:uiPriority w:val="99"/>
    <w:semiHidden/>
    <w:unhideWhenUsed/>
    <w:rsid w:val="005E60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cacao4.tst.jus.br/consultaProcessual/resumoForm.do?consulta=1&amp;numeroInt=126448&amp;anoInt=200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plicacao4.tst.jus.br/consultaProcessual/consultaTstNumUnica.do?consulta=Consultar&amp;conscsjt=&amp;numeroTst=133900&amp;digitoTst=83&amp;anoTst=2004&amp;orgaoTst=5&amp;tribunalTst=02&amp;varaTst=0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licacao4.tst.jus.br/consultaProcessual/consultaTstNumUnica.do?consulta=Consultar&amp;conscsjt=&amp;numeroTst=66600&amp;digitoTst=35&amp;anoTst=2008&amp;orgaoTst=5&amp;tribunalTst=03&amp;varaTst=002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DDAC-3F62-4834-8E26-A5CBCF87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5132</CharactersWithSpaces>
  <SharedDoc>false</SharedDoc>
  <HLinks>
    <vt:vector size="18" baseType="variant">
      <vt:variant>
        <vt:i4>1507399</vt:i4>
      </vt:variant>
      <vt:variant>
        <vt:i4>6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http://aplicacao4.tst.jus.br/consultaProcessual/consultaTstNumUnica.do?consulta=Consultar&amp;conscsjt=&amp;numeroTst=133900&amp;digitoTst=83&amp;anoTst=2004&amp;orgaoTst=5&amp;tribunalTst=02&amp;varaTst=0026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http://aplicacao4.tst.jus.br/consultaProcessual/consultaTstNumUnica.do?consulta=Consultar&amp;conscsjt=&amp;numeroTst=66600&amp;digitoTst=35&amp;anoTst=2008&amp;orgaoTst=5&amp;tribunalTst=03&amp;varaTst=0027</vt:lpwstr>
      </vt:variant>
      <vt:variant>
        <vt:lpwstr/>
      </vt:variant>
      <vt:variant>
        <vt:i4>5636171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http://aplicacao4.tst.jus.br/consultaProcessual/resumoForm.do?consulta=1&amp;numeroInt=126448&amp;anoInt=2006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2015-05-20T15:07:00Z</cp:lastPrinted>
  <dcterms:created xsi:type="dcterms:W3CDTF">2018-06-27T21:49:00Z</dcterms:created>
  <dcterms:modified xsi:type="dcterms:W3CDTF">2018-06-27T21:49:00Z</dcterms:modified>
</cp:coreProperties>
</file>