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31469" w:rsidRPr="00FE7F49" w:rsidRDefault="00E31469" w:rsidP="00C54185">
      <w:pPr>
        <w:pStyle w:val="EXPLICAO"/>
        <w:spacing w:line="240" w:lineRule="auto"/>
        <w:ind w:left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54185" w:rsidRPr="00971E07" w:rsidRDefault="00C54185" w:rsidP="00C54185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 w:rsidR="009111E6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</w:t>
      </w:r>
      <w:r w:rsidR="00FE7F49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E31469" w:rsidRPr="00FE7F49" w:rsidRDefault="00E31469" w:rsidP="00BC54BC">
      <w:pPr>
        <w:pStyle w:val="Corpo"/>
        <w:spacing w:line="240" w:lineRule="auto"/>
        <w:ind w:firstLine="0"/>
        <w:rPr>
          <w:rFonts w:ascii="Times New Roman" w:hAnsi="Times New Roman"/>
          <w:sz w:val="20"/>
          <w:szCs w:val="20"/>
          <w:u w:val="single"/>
          <w:lang w:val="pt-BR"/>
        </w:rPr>
      </w:pPr>
    </w:p>
    <w:p w:rsidR="009111E6" w:rsidRPr="009111E6" w:rsidRDefault="009111E6" w:rsidP="009111E6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  <w:r w:rsidRPr="009111E6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 xml:space="preserve">Ação civil pública. Prática de arbitragem nos dissídios individuais trabalhistas. Período posterior à dissolução dos contratos de trabalho. Inaplicabilidade. </w:t>
      </w:r>
      <w:r w:rsidRPr="009111E6">
        <w:rPr>
          <w:rFonts w:ascii="Times New Roman" w:eastAsia="Calibri" w:hAnsi="Times New Roman" w:cs="Times New Roman"/>
          <w:b/>
          <w:i/>
          <w:color w:val="FF0000"/>
          <w:lang w:val="pt-BR" w:eastAsia="en-US"/>
        </w:rPr>
        <w:t xml:space="preserve"> </w:t>
      </w:r>
      <w:r w:rsidRPr="009111E6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Arts. 114, §§ 1º e 2º, da CF, e 1º da Lei nº 9.307/1996. Imposição de obrigação de se abster.</w:t>
      </w:r>
    </w:p>
    <w:p w:rsidR="009111E6" w:rsidRPr="009111E6" w:rsidRDefault="009111E6" w:rsidP="009111E6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  <w:r w:rsidRPr="009111E6">
        <w:rPr>
          <w:rFonts w:ascii="Times New Roman" w:eastAsia="Calibri" w:hAnsi="Times New Roman" w:cs="Times New Roman"/>
          <w:color w:val="auto"/>
          <w:lang w:val="pt-BR" w:eastAsia="en-US"/>
        </w:rPr>
        <w:t xml:space="preserve">O instituto da arbitragem não se aplica como forma de solução de conflitos individuais trabalhistas, seja sob a ótica do art. 114, §§ 1º e 2º, da CF, seja à luz do art. 1º da Lei nº 9.307/1996, pois a intermediação da câmara de arbitragem (pessoa jurídica de direito privado) não é compatível com o modelo de intervencionismo estatal norteador das relações de emprego no Brasil. Quando se trata de Direito Individual do Trabalho, o princípio tuitivo do emprego inviabiliza qualquer tentativa de se promover a arbitragem, alcançando, inclusive, o período pós-contratual, ou seja, a homologação da rescisão, a percepção das verbas daí decorrentes e até mesmo eventual celebração de acordo. Com esses fundamentos, a SBDI-I, por maioria, conheceu dos embargos interpostos pelo Ministério Público do Trabalho, por divergência jurisprudencial, e, no mérito, deu-lhes provimento para, reformando a decisão que chancelara a atividade de arbitragem em relação ao período posterior à dissolução do contrato de trabalho, desde que respeitada a livre manifestação de vontade do ex-empregado e garantido o acesso irrestrito ao Poder Judiciário, condenar a reclamada a se abster de promover </w:t>
      </w:r>
      <w:r w:rsidRPr="009111E6">
        <w:rPr>
          <w:rFonts w:ascii="Times New Roman" w:hAnsi="Times New Roman"/>
          <w:lang w:val="pt-BR"/>
        </w:rPr>
        <w:t xml:space="preserve">amplamente a arbitragem envolvendo direitos individuais trabalhistas, inclusive após a cessação do contrato de trabalho e no que tange à tentativa e/ou à efetiva formalização de acordos entre empregados, ou ex-empregados, e empregadores. Vencido o Ministro Ives Gandra Martins Filho. </w:t>
      </w:r>
      <w:hyperlink r:id="rId8" w:history="1">
        <w:r w:rsidRPr="00621A70">
          <w:rPr>
            <w:rStyle w:val="Hyperlink"/>
            <w:rFonts w:ascii="Times New Roman" w:hAnsi="Times New Roman" w:cs="Courier New"/>
            <w:lang w:val="pt-BR"/>
          </w:rPr>
          <w:t>TST-E-ED-RR-25900-67.2008.5.03.0075</w:t>
        </w:r>
      </w:hyperlink>
      <w:r w:rsidRPr="009111E6">
        <w:rPr>
          <w:rFonts w:ascii="Times New Roman" w:hAnsi="Times New Roman"/>
          <w:u w:val="single"/>
          <w:lang w:val="pt-BR"/>
        </w:rPr>
        <w:t>, SBDI-I, rel. Min. João Oreste Dalazen, 16.4.2015</w:t>
      </w:r>
    </w:p>
    <w:p w:rsidR="00FE7F49" w:rsidRPr="009274CD" w:rsidRDefault="00FE7F49" w:rsidP="00BC54BC">
      <w:pPr>
        <w:pStyle w:val="Corpo"/>
        <w:spacing w:line="240" w:lineRule="auto"/>
        <w:ind w:firstLine="0"/>
        <w:rPr>
          <w:rFonts w:ascii="Times New Roman" w:hAnsi="Times New Roman"/>
          <w:sz w:val="20"/>
          <w:szCs w:val="20"/>
          <w:u w:val="single"/>
          <w:lang w:val="pt-BR"/>
        </w:rPr>
      </w:pPr>
    </w:p>
    <w:p w:rsidR="009111E6" w:rsidRPr="009111E6" w:rsidRDefault="009111E6" w:rsidP="009111E6">
      <w:pPr>
        <w:jc w:val="both"/>
        <w:rPr>
          <w:b/>
          <w:i/>
          <w:sz w:val="24"/>
          <w:szCs w:val="24"/>
        </w:rPr>
      </w:pPr>
      <w:r w:rsidRPr="009111E6">
        <w:rPr>
          <w:b/>
          <w:i/>
          <w:sz w:val="24"/>
          <w:szCs w:val="24"/>
        </w:rPr>
        <w:t>Concurso público para formação de cadastro reserva. Advogado. Contratação de advogados terceirizados. Preterição de candidatos aprovados. Direito à nomeação imediata.</w:t>
      </w:r>
    </w:p>
    <w:p w:rsidR="009111E6" w:rsidRPr="009111E6" w:rsidRDefault="009111E6" w:rsidP="009111E6">
      <w:pPr>
        <w:jc w:val="both"/>
        <w:rPr>
          <w:sz w:val="24"/>
          <w:szCs w:val="24"/>
        </w:rPr>
      </w:pPr>
      <w:r w:rsidRPr="009111E6">
        <w:rPr>
          <w:sz w:val="24"/>
          <w:szCs w:val="24"/>
        </w:rPr>
        <w:t xml:space="preserve">Há direito à nomeação imediata de candidato aprovado em concurso público para formação de cadastro de reserva quando constatada a terceirização dos serviços afetos às atribuições do cargo previsto no certame. No caso, prevaleceu o entendimento de que a preterição dos candidatos aprovados para o cargo de advogado do Banco do Nordeste S.A, decorrente da contratação de escritórios de advocacia por via de licitação e no prazo de vigência do concurso, violou o princípio constitucional do concurso público (art. 37, II, da CF). Ademais, demonstrada a necessidade de provimento do cargo descrito no edital, deve-se convolar a expectativa de direito do candidato aprovado em direito subjetivo à sua nomeação. Nesse contexto, a SBDI-I, por maioria, conheceu dos embargos interpostos pelo Banco do Nordeste do Brasil S.A. – BNB, por divergência jurisprudencial, vencidos os Ministros Hugo Carlos Scheuermann, Renato de Lacerda Paiva e Lelio Bentes Corrêa. No mérito, ainda por maioria, a Subseção negou provimento ao recurso, vencidos os Ministros Márcio Eurico Vitral Amaro, relator, Ives Gandra Martins Filho, Renato de Lacerda Paiva, Luiz Philippe Vieira de Mello Filho e José Roberto Freire Pimenta. </w:t>
      </w:r>
      <w:hyperlink r:id="rId9" w:history="1">
        <w:r w:rsidRPr="00621A70">
          <w:rPr>
            <w:rStyle w:val="Hyperlink"/>
            <w:sz w:val="24"/>
            <w:szCs w:val="24"/>
          </w:rPr>
          <w:t>TST-E-ED-RR-2167-67.2011.5.22.0001</w:t>
        </w:r>
      </w:hyperlink>
      <w:r w:rsidRPr="009111E6">
        <w:rPr>
          <w:sz w:val="24"/>
          <w:szCs w:val="24"/>
          <w:u w:val="single"/>
        </w:rPr>
        <w:t>, SBDI-I, rel. Min. Márcio Eurico Vitral Amaro, red. p/acórdão Min. Augusto César Leite de Carvalho, 16.4.2015</w:t>
      </w:r>
    </w:p>
    <w:p w:rsidR="009274CD" w:rsidRDefault="009274CD" w:rsidP="009111E6">
      <w:pPr>
        <w:jc w:val="both"/>
        <w:rPr>
          <w:b/>
          <w:i/>
          <w:sz w:val="24"/>
          <w:szCs w:val="24"/>
        </w:rPr>
      </w:pPr>
    </w:p>
    <w:p w:rsidR="009111E6" w:rsidRPr="009111E6" w:rsidRDefault="009111E6" w:rsidP="009111E6">
      <w:pPr>
        <w:jc w:val="both"/>
        <w:rPr>
          <w:b/>
          <w:i/>
          <w:sz w:val="24"/>
          <w:szCs w:val="24"/>
        </w:rPr>
      </w:pPr>
      <w:r w:rsidRPr="009111E6">
        <w:rPr>
          <w:b/>
          <w:i/>
          <w:sz w:val="24"/>
          <w:szCs w:val="24"/>
        </w:rPr>
        <w:lastRenderedPageBreak/>
        <w:t xml:space="preserve">Danos morais e materiais. Acidente de trânsito. Coleta de lixo urbano. Retorno do aterro sanitário. Morte do empregado. Responsabilidade objetiva. Atividade de risco. Art. 927, parágrafo único, do CC. Incidência. </w:t>
      </w:r>
    </w:p>
    <w:p w:rsidR="009111E6" w:rsidRPr="009111E6" w:rsidRDefault="009111E6" w:rsidP="009111E6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  <w:r w:rsidRPr="009111E6">
        <w:rPr>
          <w:rFonts w:ascii="Times New Roman" w:eastAsia="Calibri" w:hAnsi="Times New Roman" w:cs="Times New Roman"/>
          <w:color w:val="auto"/>
          <w:lang w:val="pt-BR" w:eastAsia="en-US"/>
        </w:rPr>
        <w:t xml:space="preserve">É objetiva a responsabilidade do empregador pela morte de ex-empregado, coletor de lixo urbano, durante acidente de trânsito ocorrido quando retornava, no interior do caminhão, de aterro sanitário. No caso concreto, ressaltou-se que a atividade de coleta de lixo, especialmente quando envolve deslocamento em vias públicas, expõe o empregado a maiores riscos, incidindo, portanto, o art. 927, parágrafo único, do CC. Com esse fundamento, </w:t>
      </w:r>
      <w:r w:rsidRPr="009111E6">
        <w:rPr>
          <w:rFonts w:ascii="Times New Roman" w:hAnsi="Times New Roman"/>
          <w:lang w:val="pt-BR"/>
        </w:rPr>
        <w:t>a SBDI-I, por unanimidade, conheceu dos embargos interpostos pela reclamada, por divergência jurisprudencial e, no mérito, negou-lhes provimento, mantendo, portanto, a decisão turmária que restabelecera a sentença ao fundamento de que o acidente do trabalho fatal ocorreu em transporte fornecido pela empregadora, ao final do trabalho em aterro sanitário, o que enseja a responsabilidade civil objetiva em decorrência dos riscos assumidos na condição de transportadora, na forma dos arts. 734, 735 e 927, parágrafo único, do CC.</w:t>
      </w:r>
      <w:r w:rsidRPr="009111E6">
        <w:rPr>
          <w:rFonts w:ascii="Courier" w:hAnsi="Courier" w:cs="Courier"/>
          <w:lang w:val="pt-BR"/>
        </w:rPr>
        <w:t xml:space="preserve"> </w:t>
      </w:r>
      <w:hyperlink r:id="rId10" w:history="1">
        <w:r w:rsidRPr="00621A70">
          <w:rPr>
            <w:rStyle w:val="Hyperlink"/>
            <w:rFonts w:ascii="Times New Roman" w:hAnsi="Times New Roman" w:cs="Courier New"/>
            <w:lang w:val="pt-BR"/>
          </w:rPr>
          <w:t>TST-E-RR-958-81.2011.5.03.0069</w:t>
        </w:r>
      </w:hyperlink>
      <w:r w:rsidRPr="009111E6">
        <w:rPr>
          <w:rFonts w:ascii="Times New Roman" w:hAnsi="Times New Roman"/>
          <w:u w:val="single"/>
          <w:lang w:val="pt-BR"/>
        </w:rPr>
        <w:t>, SBDI-I, rel. Min. Márcio Eurico Vit</w:t>
      </w:r>
      <w:r w:rsidR="00621A70">
        <w:rPr>
          <w:rFonts w:ascii="Times New Roman" w:hAnsi="Times New Roman"/>
          <w:u w:val="single"/>
          <w:lang w:val="pt-BR"/>
        </w:rPr>
        <w:t>r</w:t>
      </w:r>
      <w:r w:rsidRPr="009111E6">
        <w:rPr>
          <w:rFonts w:ascii="Times New Roman" w:hAnsi="Times New Roman"/>
          <w:u w:val="single"/>
          <w:lang w:val="pt-BR"/>
        </w:rPr>
        <w:t>al Amaro, 16.4.2015</w:t>
      </w:r>
    </w:p>
    <w:p w:rsidR="00FE7F49" w:rsidRPr="009274CD" w:rsidRDefault="00FE7F49" w:rsidP="00BC54BC">
      <w:pPr>
        <w:pStyle w:val="Corpo"/>
        <w:spacing w:line="240" w:lineRule="auto"/>
        <w:ind w:firstLine="0"/>
        <w:rPr>
          <w:rFonts w:ascii="Times New Roman" w:hAnsi="Times New Roman"/>
          <w:sz w:val="20"/>
          <w:szCs w:val="20"/>
          <w:u w:val="single"/>
          <w:lang w:val="pt-BR"/>
        </w:rPr>
      </w:pPr>
    </w:p>
    <w:p w:rsidR="009111E6" w:rsidRPr="009111E6" w:rsidRDefault="009111E6" w:rsidP="009111E6">
      <w:pPr>
        <w:jc w:val="both"/>
        <w:rPr>
          <w:b/>
          <w:i/>
          <w:sz w:val="24"/>
          <w:szCs w:val="24"/>
        </w:rPr>
      </w:pPr>
      <w:r w:rsidRPr="009111E6">
        <w:rPr>
          <w:b/>
          <w:i/>
          <w:sz w:val="24"/>
          <w:szCs w:val="24"/>
        </w:rPr>
        <w:t xml:space="preserve">Prescrição. Interrupção do prazo pelo ajuizamento de ação pretérita. Identidade formal dos pedidos. Má aplicação da Súmula nº 268 do TST. Singularidade das pretensões deduzidas em juízo. Ausência de identidade substancial. </w:t>
      </w:r>
    </w:p>
    <w:p w:rsidR="009111E6" w:rsidRPr="009111E6" w:rsidRDefault="009111E6" w:rsidP="009111E6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strike/>
          <w:color w:val="auto"/>
          <w:lang w:val="pt-BR" w:eastAsia="en-US"/>
        </w:rPr>
      </w:pPr>
      <w:r w:rsidRPr="009111E6">
        <w:rPr>
          <w:rFonts w:ascii="Times New Roman" w:eastAsia="Calibri" w:hAnsi="Times New Roman" w:cs="Times New Roman"/>
          <w:color w:val="auto"/>
          <w:lang w:val="pt-BR" w:eastAsia="en-US"/>
        </w:rPr>
        <w:t xml:space="preserve">A ausência de identidade substancial dos pedidos – no sentido amplo da palavra, abrangida também a causa de pedir –, não tem o condão de interromper o curso dos prazos prescricionais à luz da Súmula nº 268 do TST. Não basta a mera identidade formal dos pedidos para interrupção da prescrição, devendo configurar-se a identidade substancial, de modo a alcançar a própria causa de pedir, verdadeira gênese da pretensão jurídica de direito material que se busca alcançar mediante o exercício do direito de ação. Por tais fundamentos, a SBDI-I, por unanimidade, conheceu dos embargos interpostos pela reclamada por contrariedade à Súmula nº 268 do TST (má aplicação), e, no mérito, deu-lhes provimento para restabelecer, por fundamento diverso, a prescrição total declarada no acórdão do Regional apenas quanto ao pleito de indenização por dano moral e material decorrente de doença profissional (LER/DORT) e, no tópico, julgar extinto o processo, com resolução do mérito, nos termos do art. 269, IV, do CPC. Na espécie, o reclamante ajuizou ação perante a Justiça comum, em 4.2.2005, na qual postulou a indenização por dano moral e pensão mensal em face do desenvolvimento de transtornos psíquicos (neurose das telefonistas e síndrome do pânico) no exercício da atividade de atendente de telecomunicações. Em uma segunda ação, proposta em 2.3.2006, perante a Justiça do Trabalho, pleiteou o pagamento de pensão mensal vitalícia e indenização por dano moral em razão do desenvolvimento de LER/DORT também decorrente da atividade de atendente de telecomunicações. Após fixada a competência material da Justiça do Trabalho para julgar causas relativas a acidente do trabalho, as duas ações foram reunidas, sendo pronunciada a prescrição total em ambas pelas instâncias ordinárias, com aplicação da regra prevista no art. 7º, XXIX, da CF. Em sede de recurso de revista, porém, a Segunda Turma deu provimento ao recurso para afastar a prescrição total e determinar o retorno dos autos à Corte Regional para apreciação dos pedidos de indenização, considerando, para tanto, ter havido a interrupção da prescrição com a proposição da primeira ação nos termos da Súmula nº 268 do TST. Reformando tal decisão, entendeu a SBDI-I que ainda que as ações derivem de uma origem comum, qual seja, o contrato de trabalho celebrado para o exercício da função de atendente de telecomunicações, os pedidos são distintos, com causas de pedir diversas. Se na primeira ação a indenização por dano moral e o pedido de pensão se originam do desenvolvimento de transtornos psíquicos, na segunda a indenização é decorrente do acometimento de LER/DORT, o que impede, portanto, a interrupção do prazo prescricional. Não obstante esse posicionamento, a Subseção manteve a prescrição pronunciada na segunda ação, pois a </w:t>
      </w:r>
      <w:r w:rsidRPr="009111E6">
        <w:rPr>
          <w:rFonts w:ascii="Times New Roman" w:eastAsia="Calibri" w:hAnsi="Times New Roman" w:cs="Times New Roman"/>
          <w:i/>
          <w:color w:val="auto"/>
          <w:lang w:val="pt-BR" w:eastAsia="en-US"/>
        </w:rPr>
        <w:t>actio nata</w:t>
      </w:r>
      <w:r w:rsidRPr="009111E6">
        <w:rPr>
          <w:rFonts w:ascii="Times New Roman" w:eastAsia="Calibri" w:hAnsi="Times New Roman" w:cs="Times New Roman"/>
          <w:color w:val="auto"/>
          <w:lang w:val="pt-BR" w:eastAsia="en-US"/>
        </w:rPr>
        <w:t xml:space="preserve">, data da concessão da aposentadoria por invalidez, ocorreu em 2002, ou seja, em data anterior a vigência da Emenda Constitucional nº 45/04, a atrair o prazo do Código Civil. Assim, decorridos menos de 10 anos entre a ciência inequívoca da lesão e a data de entrada em vigor do Código Civil de 2002, incide a regra </w:t>
      </w:r>
      <w:r w:rsidRPr="009111E6">
        <w:rPr>
          <w:rFonts w:ascii="Times New Roman" w:eastAsia="Calibri" w:hAnsi="Times New Roman" w:cs="Times New Roman"/>
          <w:color w:val="auto"/>
          <w:lang w:val="pt-BR" w:eastAsia="en-US"/>
        </w:rPr>
        <w:lastRenderedPageBreak/>
        <w:t xml:space="preserve">de transição prevista no art. 2.028 do CC e, por conseguinte, a prescrição trienal (o inciso V do § 3º do art. 206 do CC), de modo que o reclamante dispunha até 11.1.2006 para ajuizar a segunda ação, o que, todavia, só ocorreu em 2.3.2006. </w:t>
      </w:r>
      <w:hyperlink r:id="rId11" w:history="1">
        <w:r w:rsidRPr="005668F7">
          <w:rPr>
            <w:rStyle w:val="Hyperlink"/>
            <w:rFonts w:ascii="Times New Roman" w:hAnsi="Times New Roman"/>
            <w:lang w:val="pt-BR"/>
          </w:rPr>
          <w:t>TST-E-ED-RR-102600-22.2005.5.10.0002</w:t>
        </w:r>
      </w:hyperlink>
      <w:r w:rsidRPr="009111E6">
        <w:rPr>
          <w:rFonts w:ascii="Times New Roman" w:hAnsi="Times New Roman" w:cs="Times New Roman"/>
          <w:u w:val="single"/>
          <w:lang w:val="pt-BR"/>
        </w:rPr>
        <w:t>, SBDI-I, rel. Min. João Oreste Dalazen, 23.4.2015</w:t>
      </w:r>
      <w:r w:rsidRPr="009111E6">
        <w:rPr>
          <w:rFonts w:ascii="Times New Roman" w:eastAsia="Calibri" w:hAnsi="Times New Roman" w:cs="Times New Roman"/>
          <w:strike/>
          <w:color w:val="auto"/>
          <w:lang w:val="pt-BR" w:eastAsia="en-US"/>
        </w:rPr>
        <w:t xml:space="preserve"> </w:t>
      </w:r>
    </w:p>
    <w:p w:rsidR="009111E6" w:rsidRPr="009274CD" w:rsidRDefault="009111E6" w:rsidP="00BC54BC">
      <w:pPr>
        <w:pStyle w:val="Corpo"/>
        <w:spacing w:line="240" w:lineRule="auto"/>
        <w:ind w:firstLine="0"/>
        <w:rPr>
          <w:rFonts w:ascii="Times New Roman" w:hAnsi="Times New Roman"/>
          <w:sz w:val="20"/>
          <w:szCs w:val="20"/>
          <w:u w:val="single"/>
          <w:lang w:val="pt-BR"/>
        </w:rPr>
      </w:pPr>
    </w:p>
    <w:p w:rsidR="009111E6" w:rsidRPr="009111E6" w:rsidRDefault="009111E6" w:rsidP="009111E6">
      <w:pPr>
        <w:jc w:val="both"/>
        <w:rPr>
          <w:b/>
          <w:bCs/>
          <w:i/>
          <w:sz w:val="24"/>
          <w:szCs w:val="24"/>
        </w:rPr>
      </w:pPr>
      <w:r w:rsidRPr="009111E6">
        <w:rPr>
          <w:b/>
          <w:bCs/>
          <w:i/>
          <w:sz w:val="24"/>
          <w:szCs w:val="24"/>
        </w:rPr>
        <w:t xml:space="preserve">Embargos. Recurso interposto na vigência da Lei nº 11.496/2007. Art. 894, II, da CLT. Conhecimento. Caracterização de divergência jurisprudencial. Aresto oriundo do Órgão Especial do TST. Inservível. </w:t>
      </w:r>
    </w:p>
    <w:p w:rsidR="009111E6" w:rsidRPr="009111E6" w:rsidRDefault="009111E6" w:rsidP="009111E6">
      <w:pPr>
        <w:jc w:val="both"/>
        <w:rPr>
          <w:bCs/>
          <w:sz w:val="24"/>
          <w:szCs w:val="24"/>
          <w:u w:val="single"/>
        </w:rPr>
      </w:pPr>
      <w:r w:rsidRPr="009111E6">
        <w:rPr>
          <w:bCs/>
          <w:sz w:val="24"/>
          <w:szCs w:val="24"/>
        </w:rPr>
        <w:t xml:space="preserve">De acordo com a redação do art. 894, II, da CLT, dada pela Lei nº 11.496/2007, o conhecimento do recurso de embargos restringe-se à demonstração de divergência jurisprudencial entre decisões de Turmas do TST ou entre decisões de Turmas e da Seção de Dissídios Individuais, subdividida em SBDI-I e SBDI-II; ou, ainda, ao caso de decisões contrárias a súmula ou orientação jurisprudencial do TST ou súmula vinculante do STF. A divergência, portanto, não se configura por confronto com aresto oriundo do Órgão Especial do TST, visto que, além de não contemplado pelo referido dispositivo de lei, a decisão trazida a confronto foi proferida em matéria administrativa. Com esses fundamentos, a SBDI-I, por maioria, não conheceu do recurso de embargos do reclamante. Vencidos os Ministros Lelio Bentes Corrêa, João Oreste Dalazen e Alexandre de Souza Agra Belmonte. </w:t>
      </w:r>
      <w:hyperlink r:id="rId12" w:history="1">
        <w:r w:rsidRPr="005668F7">
          <w:rPr>
            <w:rStyle w:val="Hyperlink"/>
            <w:bCs/>
            <w:sz w:val="24"/>
            <w:szCs w:val="24"/>
          </w:rPr>
          <w:t>TST-E-ED-RR-114444-36.1989.5.17.0001</w:t>
        </w:r>
      </w:hyperlink>
      <w:r w:rsidRPr="009111E6">
        <w:rPr>
          <w:bCs/>
          <w:sz w:val="24"/>
          <w:szCs w:val="24"/>
          <w:u w:val="single"/>
        </w:rPr>
        <w:t>, SBDI-I, rel. Min. José Roberto Freire Pimenta, 23.4.15</w:t>
      </w:r>
    </w:p>
    <w:p w:rsidR="009111E6" w:rsidRDefault="009111E6" w:rsidP="00BC54BC">
      <w:pPr>
        <w:pStyle w:val="Corpo"/>
        <w:spacing w:line="240" w:lineRule="auto"/>
        <w:ind w:firstLine="0"/>
        <w:rPr>
          <w:rFonts w:ascii="Times New Roman" w:hAnsi="Times New Roman"/>
          <w:sz w:val="28"/>
          <w:szCs w:val="28"/>
          <w:u w:val="single"/>
          <w:lang w:val="pt-BR"/>
        </w:rPr>
      </w:pPr>
    </w:p>
    <w:p w:rsidR="009274CD" w:rsidRDefault="009274CD" w:rsidP="00BC54BC">
      <w:pPr>
        <w:pStyle w:val="Corpo"/>
        <w:spacing w:line="240" w:lineRule="auto"/>
        <w:ind w:firstLine="0"/>
        <w:rPr>
          <w:rFonts w:ascii="Times New Roman" w:hAnsi="Times New Roman"/>
          <w:sz w:val="28"/>
          <w:szCs w:val="28"/>
          <w:u w:val="single"/>
          <w:lang w:val="pt-BR"/>
        </w:rPr>
      </w:pPr>
    </w:p>
    <w:p w:rsidR="009274CD" w:rsidRPr="00C75D42" w:rsidRDefault="009274CD" w:rsidP="00BC54BC">
      <w:pPr>
        <w:pStyle w:val="Corpo"/>
        <w:spacing w:line="240" w:lineRule="auto"/>
        <w:ind w:firstLine="0"/>
        <w:rPr>
          <w:rFonts w:ascii="Times New Roman" w:hAnsi="Times New Roman"/>
          <w:sz w:val="28"/>
          <w:szCs w:val="28"/>
          <w:u w:val="single"/>
          <w:lang w:val="pt-BR"/>
        </w:rPr>
      </w:pPr>
    </w:p>
    <w:p w:rsidR="00BC54BC" w:rsidRPr="00BC54BC" w:rsidRDefault="00BC54BC" w:rsidP="00C54185">
      <w:pPr>
        <w:jc w:val="both"/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F2" w:rsidRDefault="007168F2">
      <w:r>
        <w:separator/>
      </w:r>
    </w:p>
  </w:endnote>
  <w:endnote w:type="continuationSeparator" w:id="0">
    <w:p w:rsidR="007168F2" w:rsidRDefault="0071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694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76694E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F2" w:rsidRDefault="007168F2">
      <w:r>
        <w:separator/>
      </w:r>
    </w:p>
  </w:footnote>
  <w:footnote w:type="continuationSeparator" w:id="0">
    <w:p w:rsidR="007168F2" w:rsidRDefault="00716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7F66BC">
      <w:rPr>
        <w:shadow/>
        <w:sz w:val="24"/>
        <w:szCs w:val="24"/>
      </w:rPr>
      <w:t>10</w:t>
    </w:r>
    <w:r w:rsidR="00CB28CA">
      <w:rPr>
        <w:shadow/>
        <w:sz w:val="24"/>
        <w:szCs w:val="24"/>
      </w:rPr>
      <w:t>4</w:t>
    </w:r>
  </w:p>
  <w:p w:rsidR="00FE00AD" w:rsidRDefault="00187A37">
    <w:pPr>
      <w:pStyle w:val="Ttulo6"/>
      <w:spacing w:line="360" w:lineRule="auto"/>
      <w:jc w:val="right"/>
      <w:rPr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CB28CA">
      <w:rPr>
        <w:sz w:val="20"/>
        <w:szCs w:val="20"/>
      </w:rPr>
      <w:t>14 a 27 de abril</w:t>
    </w:r>
    <w:r w:rsidR="00FE7F49">
      <w:rPr>
        <w:sz w:val="20"/>
        <w:szCs w:val="20"/>
      </w:rPr>
      <w:t xml:space="preserve"> </w:t>
    </w:r>
    <w:r w:rsidR="007F66BC">
      <w:rPr>
        <w:sz w:val="20"/>
        <w:szCs w:val="20"/>
      </w:rPr>
      <w:t>de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45pt;height:76.7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BC54BC">
      <w:rPr>
        <w:b/>
        <w:sz w:val="40"/>
        <w:szCs w:val="40"/>
      </w:rPr>
      <w:t>10</w:t>
    </w:r>
    <w:r w:rsidR="009111E6">
      <w:rPr>
        <w:b/>
        <w:sz w:val="40"/>
        <w:szCs w:val="40"/>
      </w:rPr>
      <w:t>4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9111E6">
      <w:rPr>
        <w:i/>
        <w:iCs/>
      </w:rPr>
      <w:t xml:space="preserve">14 a 27 de abril de </w:t>
    </w:r>
    <w:r w:rsidR="004A094C">
      <w:rPr>
        <w:i/>
        <w:iCs/>
      </w:rPr>
      <w:t xml:space="preserve"> 201</w:t>
    </w:r>
    <w:r w:rsidR="00C54185">
      <w:rPr>
        <w:i/>
        <w:iCs/>
      </w:rPr>
      <w:t>5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2973"/>
    <w:rsid w:val="000B4D41"/>
    <w:rsid w:val="000B67DF"/>
    <w:rsid w:val="000B7CDE"/>
    <w:rsid w:val="000C3022"/>
    <w:rsid w:val="000C5AC6"/>
    <w:rsid w:val="000C672B"/>
    <w:rsid w:val="000E0A91"/>
    <w:rsid w:val="000E1DC1"/>
    <w:rsid w:val="00111326"/>
    <w:rsid w:val="0011575C"/>
    <w:rsid w:val="0011692E"/>
    <w:rsid w:val="00137564"/>
    <w:rsid w:val="00137DC1"/>
    <w:rsid w:val="00142C28"/>
    <w:rsid w:val="0015612D"/>
    <w:rsid w:val="00161CDE"/>
    <w:rsid w:val="00163142"/>
    <w:rsid w:val="00176D15"/>
    <w:rsid w:val="00184590"/>
    <w:rsid w:val="00187A37"/>
    <w:rsid w:val="0019151D"/>
    <w:rsid w:val="00193208"/>
    <w:rsid w:val="00197B15"/>
    <w:rsid w:val="001C04D2"/>
    <w:rsid w:val="001C271F"/>
    <w:rsid w:val="001C6C93"/>
    <w:rsid w:val="001D4CF9"/>
    <w:rsid w:val="001D5AB0"/>
    <w:rsid w:val="001D757D"/>
    <w:rsid w:val="001E14A9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C55AF"/>
    <w:rsid w:val="002E78CB"/>
    <w:rsid w:val="0033397A"/>
    <w:rsid w:val="00352B27"/>
    <w:rsid w:val="0035374D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477EC"/>
    <w:rsid w:val="0045657C"/>
    <w:rsid w:val="004655CC"/>
    <w:rsid w:val="00466DB9"/>
    <w:rsid w:val="00486521"/>
    <w:rsid w:val="00486DFC"/>
    <w:rsid w:val="004922D6"/>
    <w:rsid w:val="004A094C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22D95"/>
    <w:rsid w:val="005460BD"/>
    <w:rsid w:val="00553197"/>
    <w:rsid w:val="0055409E"/>
    <w:rsid w:val="00556367"/>
    <w:rsid w:val="00556B35"/>
    <w:rsid w:val="005668F7"/>
    <w:rsid w:val="00573E13"/>
    <w:rsid w:val="00584F82"/>
    <w:rsid w:val="00591DFA"/>
    <w:rsid w:val="005A5695"/>
    <w:rsid w:val="005B2F00"/>
    <w:rsid w:val="005B3792"/>
    <w:rsid w:val="005B57DE"/>
    <w:rsid w:val="005C1886"/>
    <w:rsid w:val="005C761E"/>
    <w:rsid w:val="005D0E5F"/>
    <w:rsid w:val="005D1DE4"/>
    <w:rsid w:val="005E35BD"/>
    <w:rsid w:val="005E3D4D"/>
    <w:rsid w:val="005E7FD1"/>
    <w:rsid w:val="005F0545"/>
    <w:rsid w:val="005F2858"/>
    <w:rsid w:val="006002E3"/>
    <w:rsid w:val="006145AC"/>
    <w:rsid w:val="00615F98"/>
    <w:rsid w:val="00621A70"/>
    <w:rsid w:val="00621F9C"/>
    <w:rsid w:val="00631166"/>
    <w:rsid w:val="00631F1C"/>
    <w:rsid w:val="006366A4"/>
    <w:rsid w:val="00643B60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0B1B"/>
    <w:rsid w:val="0070727E"/>
    <w:rsid w:val="00710D3A"/>
    <w:rsid w:val="0071315F"/>
    <w:rsid w:val="007168F2"/>
    <w:rsid w:val="00721942"/>
    <w:rsid w:val="00722BE7"/>
    <w:rsid w:val="00732DF2"/>
    <w:rsid w:val="007614F1"/>
    <w:rsid w:val="007618C5"/>
    <w:rsid w:val="00764066"/>
    <w:rsid w:val="0076694E"/>
    <w:rsid w:val="00776118"/>
    <w:rsid w:val="007B0F83"/>
    <w:rsid w:val="007D29A1"/>
    <w:rsid w:val="007E0EA7"/>
    <w:rsid w:val="007E3F23"/>
    <w:rsid w:val="007F142E"/>
    <w:rsid w:val="007F66BC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DB8"/>
    <w:rsid w:val="00854EF2"/>
    <w:rsid w:val="00863B86"/>
    <w:rsid w:val="00871F69"/>
    <w:rsid w:val="008842D0"/>
    <w:rsid w:val="00884AC4"/>
    <w:rsid w:val="0088579D"/>
    <w:rsid w:val="008A7953"/>
    <w:rsid w:val="008B3081"/>
    <w:rsid w:val="008B32D4"/>
    <w:rsid w:val="008C7AD0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06FE0"/>
    <w:rsid w:val="009111E6"/>
    <w:rsid w:val="00913A3E"/>
    <w:rsid w:val="009274CD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2C67"/>
    <w:rsid w:val="00BC54BC"/>
    <w:rsid w:val="00BC5AEE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54185"/>
    <w:rsid w:val="00C56C21"/>
    <w:rsid w:val="00C60B4A"/>
    <w:rsid w:val="00C65BDB"/>
    <w:rsid w:val="00C71A3B"/>
    <w:rsid w:val="00C75D42"/>
    <w:rsid w:val="00C76CFA"/>
    <w:rsid w:val="00C963F8"/>
    <w:rsid w:val="00C96BB1"/>
    <w:rsid w:val="00CA2F80"/>
    <w:rsid w:val="00CB0C2A"/>
    <w:rsid w:val="00CB28CA"/>
    <w:rsid w:val="00CC4B2B"/>
    <w:rsid w:val="00CC579C"/>
    <w:rsid w:val="00CC58EB"/>
    <w:rsid w:val="00CC5F5F"/>
    <w:rsid w:val="00CD3460"/>
    <w:rsid w:val="00CD4B61"/>
    <w:rsid w:val="00CD5043"/>
    <w:rsid w:val="00CE2928"/>
    <w:rsid w:val="00CE314A"/>
    <w:rsid w:val="00D01C50"/>
    <w:rsid w:val="00D11B24"/>
    <w:rsid w:val="00D11C18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64BC3"/>
    <w:rsid w:val="00D72C05"/>
    <w:rsid w:val="00D735BF"/>
    <w:rsid w:val="00D77672"/>
    <w:rsid w:val="00D80222"/>
    <w:rsid w:val="00D847CF"/>
    <w:rsid w:val="00DA0A99"/>
    <w:rsid w:val="00DA7603"/>
    <w:rsid w:val="00DA7E39"/>
    <w:rsid w:val="00DA7EDE"/>
    <w:rsid w:val="00DC0AB5"/>
    <w:rsid w:val="00DC3451"/>
    <w:rsid w:val="00DC50EB"/>
    <w:rsid w:val="00DD19F4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1469"/>
    <w:rsid w:val="00E35639"/>
    <w:rsid w:val="00E432CC"/>
    <w:rsid w:val="00E50711"/>
    <w:rsid w:val="00E60AD3"/>
    <w:rsid w:val="00E60EDA"/>
    <w:rsid w:val="00E62BBC"/>
    <w:rsid w:val="00E925C7"/>
    <w:rsid w:val="00E9503C"/>
    <w:rsid w:val="00E956D9"/>
    <w:rsid w:val="00EA1958"/>
    <w:rsid w:val="00EA29F5"/>
    <w:rsid w:val="00EA482D"/>
    <w:rsid w:val="00EA6737"/>
    <w:rsid w:val="00EB5FE6"/>
    <w:rsid w:val="00EB61A5"/>
    <w:rsid w:val="00EB6C1B"/>
    <w:rsid w:val="00EB7A09"/>
    <w:rsid w:val="00EC5AF4"/>
    <w:rsid w:val="00ED318B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06855"/>
    <w:rsid w:val="00F17A2C"/>
    <w:rsid w:val="00F26708"/>
    <w:rsid w:val="00F42933"/>
    <w:rsid w:val="00F45608"/>
    <w:rsid w:val="00F511EE"/>
    <w:rsid w:val="00F558E7"/>
    <w:rsid w:val="00F62016"/>
    <w:rsid w:val="00F63F44"/>
    <w:rsid w:val="00F6746D"/>
    <w:rsid w:val="00F7337D"/>
    <w:rsid w:val="00F811CD"/>
    <w:rsid w:val="00F82D8F"/>
    <w:rsid w:val="00F83F62"/>
    <w:rsid w:val="00F9711D"/>
    <w:rsid w:val="00FA75E0"/>
    <w:rsid w:val="00FB20B1"/>
    <w:rsid w:val="00FB3AB4"/>
    <w:rsid w:val="00FC35EC"/>
    <w:rsid w:val="00FC56A4"/>
    <w:rsid w:val="00FD3D06"/>
    <w:rsid w:val="00FD5662"/>
    <w:rsid w:val="00FD72B6"/>
    <w:rsid w:val="00FE00AD"/>
    <w:rsid w:val="00FE08D8"/>
    <w:rsid w:val="00FE206E"/>
    <w:rsid w:val="00FE499F"/>
    <w:rsid w:val="00FE7F49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25900&amp;digitoTst=67&amp;anoTst=2008&amp;orgaoTst=5&amp;tribunalTst=03&amp;varaTst=0075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licacao4.tst.jus.br/consultaProcessual/consultaTstNumUnica.do?consulta=Consultar&amp;conscsjt=&amp;numeroTst=114444&amp;digitoTst=36&amp;anoTst=1989&amp;orgaoTst=5&amp;tribunalTst=17&amp;varaTst=00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icacao4.tst.jus.br/consultaProcessual/consultaTstNumUnica.do?consulta=Consultar&amp;conscsjt=&amp;numeroTst=102600&amp;digitoTst=22&amp;anoTst=2005&amp;orgaoTst=5&amp;tribunalTst=10&amp;varaTst=000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aplicacao4.tst.jus.br/consultaProcessual/consultaTstNumUnica.do?consulta=Consultar&amp;conscsjt=&amp;numeroTst=958&amp;digitoTst=81&amp;anoTst=2011&amp;orgaoTst=5&amp;tribunalTst=03&amp;varaTst=00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2167&amp;digitoTst=67&amp;anoTst=2011&amp;orgaoTst=5&amp;tribunalTst=22&amp;varaTst=000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E35B-9068-4C20-B62D-E9697BE5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1707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10910</CharactersWithSpaces>
  <SharedDoc>false</SharedDoc>
  <HLinks>
    <vt:vector size="30" baseType="variant">
      <vt:variant>
        <vt:i4>1704002</vt:i4>
      </vt:variant>
      <vt:variant>
        <vt:i4>12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http://aplicacao4.tst.jus.br/consultaProcessual/consultaTstNumUnica.do?consulta=Consultar&amp;conscsjt=&amp;numeroTst=114444&amp;digitoTst=36&amp;anoTst=1989&amp;orgaoTst=5&amp;tribunalTst=17&amp;varaTst=0001</vt:lpwstr>
      </vt:variant>
      <vt:variant>
        <vt:lpwstr/>
      </vt:variant>
      <vt:variant>
        <vt:i4>1310790</vt:i4>
      </vt:variant>
      <vt:variant>
        <vt:i4>9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http://aplicacao4.tst.jus.br/consultaProcessual/consultaTstNumUnica.do?consulta=Consultar&amp;conscsjt=&amp;numeroTst=102600&amp;digitoTst=22&amp;anoTst=2005&amp;orgaoTst=5&amp;tribunalTst=10&amp;varaTst=0002</vt:lpwstr>
      </vt:variant>
      <vt:variant>
        <vt:lpwstr/>
      </vt:variant>
      <vt:variant>
        <vt:i4>6225926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http://aplicacao4.tst.jus.br/consultaProcessual/consultaTstNumUnica.do?consulta=Consultar&amp;conscsjt=&amp;numeroTst=958&amp;digitoTst=81&amp;anoTst=2011&amp;orgaoTst=5&amp;tribunalTst=03&amp;varaTst=0069</vt:lpwstr>
      </vt:variant>
      <vt:variant>
        <vt:lpwstr/>
      </vt:variant>
      <vt:variant>
        <vt:i4>2162802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http://aplicacao4.tst.jus.br/consultaProcessual/consultaTstNumUnica.do?consulta=Consultar&amp;conscsjt=&amp;numeroTst=2167&amp;digitoTst=67&amp;anoTst=2011&amp;orgaoTst=5&amp;tribunalTst=22&amp;varaTst=0001</vt:lpwstr>
      </vt:variant>
      <vt:variant>
        <vt:lpwstr/>
      </vt:variant>
      <vt:variant>
        <vt:i4>6357043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http://aplicacao4.tst.jus.br/consultaProcessual/consultaTstNumUnica.do?consulta=Consultar&amp;conscsjt=&amp;numeroTst=25900&amp;digitoTst=67&amp;anoTst=2008&amp;orgaoTst=5&amp;tribunalTst=03&amp;varaTst=0075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2015-04-22T13:26:00Z</cp:lastPrinted>
  <dcterms:created xsi:type="dcterms:W3CDTF">2018-06-27T21:49:00Z</dcterms:created>
  <dcterms:modified xsi:type="dcterms:W3CDTF">2018-06-27T21:49:00Z</dcterms:modified>
</cp:coreProperties>
</file>