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631F1C" w:rsidRPr="00971E07" w:rsidRDefault="00E31469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E31469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SEÇ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ÃO ESPECIALIZADA EM</w:t>
      </w:r>
      <w:r w:rsidRPr="00E31469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 DISSÍDIOS COLETIVOS</w:t>
      </w:r>
    </w:p>
    <w:p w:rsidR="006456B1" w:rsidRDefault="006456B1" w:rsidP="00C54185">
      <w:pPr>
        <w:pStyle w:val="EXPLICAO"/>
        <w:spacing w:line="240" w:lineRule="auto"/>
        <w:ind w:left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31469" w:rsidRDefault="00E31469" w:rsidP="00E3146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Pr="00301D67">
        <w:rPr>
          <w:b/>
          <w:i/>
          <w:sz w:val="24"/>
          <w:szCs w:val="24"/>
        </w:rPr>
        <w:t xml:space="preserve">ção </w:t>
      </w:r>
      <w:r>
        <w:rPr>
          <w:b/>
          <w:i/>
          <w:sz w:val="24"/>
          <w:szCs w:val="24"/>
        </w:rPr>
        <w:t xml:space="preserve">anulatória. Cláusula de convenção coletiva. Contratos de experiência sucessivos. Vedação apenas </w:t>
      </w:r>
      <w:r w:rsidRPr="00A82875">
        <w:rPr>
          <w:b/>
          <w:i/>
          <w:sz w:val="24"/>
          <w:szCs w:val="24"/>
        </w:rPr>
        <w:t>aos empregados que já tenham trabalhado anteriormente na mesma empresa e na mesma função por prazo superior a um ano</w:t>
      </w:r>
      <w:r>
        <w:rPr>
          <w:b/>
          <w:i/>
          <w:sz w:val="24"/>
          <w:szCs w:val="24"/>
        </w:rPr>
        <w:t>. Nulidade.</w:t>
      </w:r>
    </w:p>
    <w:p w:rsidR="00E31469" w:rsidRDefault="00E31469" w:rsidP="00E31469">
      <w:pPr>
        <w:pStyle w:val="Corpo"/>
        <w:spacing w:line="240" w:lineRule="auto"/>
        <w:ind w:firstLine="0"/>
        <w:rPr>
          <w:rFonts w:ascii="Times New Roman" w:hAnsi="Times New Roman"/>
          <w:u w:val="single"/>
          <w:lang w:val="pt-BR"/>
        </w:rPr>
      </w:pPr>
      <w:r w:rsidRPr="00DB6EA1">
        <w:rPr>
          <w:rFonts w:ascii="Times New Roman" w:eastAsia="Calibri" w:hAnsi="Times New Roman" w:cs="Times New Roman"/>
          <w:color w:val="auto"/>
          <w:lang w:val="pt-BR" w:eastAsia="en-US"/>
        </w:rPr>
        <w:t xml:space="preserve">É nula a cláusula de convenção coletiva de trabalho que veda a celebração de um novo contrato de experiência apenas aos empregados que já tenham trabalhado anteriormente na mesma empresa e na mesma função por prazo superior a um ano. No caso, entendeu-se que o referido ajuste possibilita </w:t>
      </w:r>
      <w:r w:rsidR="008C7AD0">
        <w:rPr>
          <w:rFonts w:ascii="Times New Roman" w:eastAsia="Calibri" w:hAnsi="Times New Roman" w:cs="Times New Roman"/>
          <w:color w:val="auto"/>
          <w:lang w:val="pt-BR" w:eastAsia="en-US"/>
        </w:rPr>
        <w:t xml:space="preserve">aos empregados que laborarem </w:t>
      </w:r>
      <w:r w:rsidRPr="00DB6EA1">
        <w:rPr>
          <w:rFonts w:ascii="Times New Roman" w:eastAsia="Calibri" w:hAnsi="Times New Roman" w:cs="Times New Roman"/>
          <w:color w:val="auto"/>
          <w:lang w:val="pt-BR" w:eastAsia="en-US"/>
        </w:rPr>
        <w:t>na empresa, por período inferior a um ano, sejam recontratados para exercer</w:t>
      </w:r>
      <w:r w:rsidR="008C7AD0"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 w:rsidRPr="00DB6EA1">
        <w:rPr>
          <w:rFonts w:ascii="Times New Roman" w:eastAsia="Calibri" w:hAnsi="Times New Roman" w:cs="Times New Roman"/>
          <w:color w:val="auto"/>
          <w:lang w:val="pt-BR" w:eastAsia="en-US"/>
        </w:rPr>
        <w:t xml:space="preserve">a mesma função, por meio de sucessivos contratos de experiência, o que não se justifica, porquanto a prestação de serviços anterior já cumpriu a sua finalidade de permitir ao empregador o conhecimento do perfil profissional e social do trabalhador. Com esse entendimento, a SDC, por unanimidade, conheceu do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r</w:t>
      </w:r>
      <w:r w:rsidRPr="00DB6EA1">
        <w:rPr>
          <w:rFonts w:ascii="Times New Roman" w:eastAsia="Calibri" w:hAnsi="Times New Roman" w:cs="Times New Roman"/>
          <w:color w:val="auto"/>
          <w:lang w:val="pt-BR" w:eastAsia="en-US"/>
        </w:rPr>
        <w:t xml:space="preserve">ecurso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o</w:t>
      </w:r>
      <w:r w:rsidRPr="00DB6EA1">
        <w:rPr>
          <w:rFonts w:ascii="Times New Roman" w:eastAsia="Calibri" w:hAnsi="Times New Roman" w:cs="Times New Roman"/>
          <w:color w:val="auto"/>
          <w:lang w:val="pt-BR" w:eastAsia="en-US"/>
        </w:rPr>
        <w:t>rdinário interposto pelo Ministério Público do Trabalho e, no mérito, por maioria, deu-lhe provimento para anular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a</w:t>
      </w:r>
      <w:r w:rsidRPr="00DB6EA1">
        <w:rPr>
          <w:rFonts w:ascii="Times New Roman" w:eastAsia="Calibri" w:hAnsi="Times New Roman" w:cs="Times New Roman"/>
          <w:color w:val="auto"/>
          <w:lang w:val="pt-BR" w:eastAsia="en-US"/>
        </w:rPr>
        <w:t xml:space="preserve"> cláusula da convenção coletiva em questão. Vencidos a Ministra Maria de Assis Calsing, relatora, e o Ministro Ives Gandra Martins</w:t>
      </w:r>
      <w:r w:rsidR="000C5AC6">
        <w:rPr>
          <w:rFonts w:ascii="Times New Roman" w:eastAsia="Calibri" w:hAnsi="Times New Roman" w:cs="Times New Roman"/>
          <w:color w:val="auto"/>
          <w:lang w:val="pt-BR" w:eastAsia="en-US"/>
        </w:rPr>
        <w:t>,</w:t>
      </w:r>
      <w:r w:rsidRPr="00DB6EA1">
        <w:rPr>
          <w:rFonts w:ascii="Times New Roman" w:eastAsia="Calibri" w:hAnsi="Times New Roman" w:cs="Times New Roman"/>
          <w:color w:val="auto"/>
          <w:lang w:val="pt-BR" w:eastAsia="en-US"/>
        </w:rPr>
        <w:t xml:space="preserve"> que reputavam legítima a aludida</w:t>
      </w:r>
      <w:r w:rsidR="00BC2C67">
        <w:rPr>
          <w:rFonts w:ascii="Times New Roman" w:eastAsia="Calibri" w:hAnsi="Times New Roman" w:cs="Times New Roman"/>
          <w:color w:val="auto"/>
          <w:lang w:val="pt-BR" w:eastAsia="en-US"/>
        </w:rPr>
        <w:t xml:space="preserve"> cláusula. </w:t>
      </w:r>
      <w:hyperlink r:id="rId8" w:history="1">
        <w:r w:rsidRPr="00BC2C67">
          <w:rPr>
            <w:rStyle w:val="Hyperlink"/>
            <w:rFonts w:ascii="Times New Roman" w:hAnsi="Times New Roman" w:cs="Courier New"/>
            <w:lang w:val="pt-BR"/>
          </w:rPr>
          <w:t>TST-RO-10028-29.2013.5.08.0000</w:t>
        </w:r>
      </w:hyperlink>
      <w:r w:rsidRPr="00DB6EA1">
        <w:rPr>
          <w:rFonts w:ascii="Times New Roman" w:hAnsi="Times New Roman"/>
          <w:u w:val="single"/>
          <w:lang w:val="pt-BR"/>
        </w:rPr>
        <w:t>, S</w:t>
      </w:r>
      <w:r>
        <w:rPr>
          <w:rFonts w:ascii="Times New Roman" w:hAnsi="Times New Roman"/>
          <w:u w:val="single"/>
          <w:lang w:val="pt-BR"/>
        </w:rPr>
        <w:t>D</w:t>
      </w:r>
      <w:r w:rsidRPr="00DB6EA1">
        <w:rPr>
          <w:rFonts w:ascii="Times New Roman" w:hAnsi="Times New Roman"/>
          <w:u w:val="single"/>
          <w:lang w:val="pt-BR"/>
        </w:rPr>
        <w:t>C, rel. Min. Maria de Assis Calsing, 9.3.2015</w:t>
      </w:r>
    </w:p>
    <w:p w:rsidR="00E31469" w:rsidRPr="00BC54BC" w:rsidRDefault="00E31469" w:rsidP="00C54185">
      <w:pPr>
        <w:pStyle w:val="EXPLICAO"/>
        <w:spacing w:line="240" w:lineRule="auto"/>
        <w:ind w:left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54185" w:rsidRPr="00971E07" w:rsidRDefault="00C54185" w:rsidP="00C54185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E31469" w:rsidRPr="00BC2C67" w:rsidRDefault="00E31469" w:rsidP="00BC54BC">
      <w:pPr>
        <w:pStyle w:val="Corpo"/>
        <w:spacing w:line="240" w:lineRule="auto"/>
        <w:ind w:firstLine="0"/>
        <w:rPr>
          <w:rFonts w:ascii="Times New Roman" w:hAnsi="Times New Roman"/>
          <w:sz w:val="20"/>
          <w:szCs w:val="20"/>
          <w:u w:val="single"/>
          <w:lang w:val="pt-BR"/>
        </w:rPr>
      </w:pPr>
    </w:p>
    <w:p w:rsidR="00E31469" w:rsidRDefault="00E31469" w:rsidP="00E3146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Fundação de Saúde Pública de Novo Hamburgo. Custas e depósito recursal. Isenção. Entidade sem fins lucrativos, de interesse público e financiada por verbas públicas.  Deserção. Afastamento.</w:t>
      </w:r>
    </w:p>
    <w:p w:rsidR="00E31469" w:rsidRDefault="00E31469" w:rsidP="00E31469">
      <w:pPr>
        <w:pStyle w:val="Corpo"/>
        <w:spacing w:line="240" w:lineRule="auto"/>
        <w:ind w:firstLine="0"/>
        <w:rPr>
          <w:rFonts w:ascii="Times New Roman" w:hAnsi="Times New Roman"/>
          <w:u w:val="single"/>
          <w:lang w:val="pt-BR"/>
        </w:rPr>
      </w:pPr>
      <w:r w:rsidRPr="004A7ADB">
        <w:rPr>
          <w:rFonts w:ascii="Times New Roman" w:hAnsi="Times New Roman"/>
          <w:lang w:val="pt-BR"/>
        </w:rPr>
        <w:t>As prerrogativas dos arts. 790-A da CLT e 1º, IV, do Decreto-Lei nº 779 aplicam-se às fundações que, embora instit</w:t>
      </w:r>
      <w:r w:rsidRPr="00D27EB8">
        <w:rPr>
          <w:rFonts w:ascii="Times New Roman" w:hAnsi="Times New Roman"/>
          <w:lang w:val="pt-BR"/>
        </w:rPr>
        <w:t xml:space="preserve">uídas como de direito privado, exercem atividades voltadas ao interesse público, sem finalidade lucrativa e financiadas exclusivamente por verbas públicas. </w:t>
      </w:r>
      <w:r w:rsidRPr="00C17A7C">
        <w:rPr>
          <w:rFonts w:ascii="Times New Roman" w:hAnsi="Times New Roman"/>
          <w:lang w:val="pt-BR"/>
        </w:rPr>
        <w:t>Desse modo, a Fundação de Saúde Pública de Novo Hamburgo (FSNH), sucessora do Hospital Municipal de Novo Hamburgo, instituída pela Lei Municipal nº 1.980/2009 como entidade jurídica sem fins lucrativos, de interesse coletivo e de utilidade pública, que presta serviços de sa</w:t>
      </w:r>
      <w:r>
        <w:rPr>
          <w:rFonts w:ascii="Times New Roman" w:hAnsi="Times New Roman"/>
          <w:lang w:val="pt-BR"/>
        </w:rPr>
        <w:t>úde em caráter integral, cumprindo contratos de gestão com o Município de Novo Hamburgo e atuando exclusivamente no âmbito do Sistema Único de Saúde (SUS),</w:t>
      </w:r>
      <w:r w:rsidRPr="00C17A7C">
        <w:rPr>
          <w:rFonts w:ascii="Times New Roman" w:hAnsi="Times New Roman"/>
          <w:lang w:val="pt-BR"/>
        </w:rPr>
        <w:t xml:space="preserve"> está isenta do pagamento de custas e do recolhimento do depósito recursal. </w:t>
      </w:r>
      <w:r w:rsidRPr="00D27EB8">
        <w:rPr>
          <w:rFonts w:ascii="Times New Roman" w:hAnsi="Times New Roman"/>
          <w:lang w:val="pt-BR"/>
        </w:rPr>
        <w:t xml:space="preserve">Com esse entendimento, a SBDI-I, por unanimidade, conheceu dos embargos da Fundação, por divergência jurisprudencial, e, no mérito, deu-lhes provimento para, afastada a deserção, determinar o retorno dos autos ao TRT de origem, a fim de que prossiga no exame do recurso ordinário como entender de direito. </w:t>
      </w:r>
      <w:hyperlink r:id="rId9" w:history="1">
        <w:r w:rsidRPr="00BC2C67">
          <w:rPr>
            <w:rStyle w:val="Hyperlink"/>
            <w:rFonts w:ascii="Times New Roman" w:hAnsi="Times New Roman" w:cs="Courier New"/>
            <w:lang w:val="pt-BR"/>
          </w:rPr>
          <w:t>TST-E-RR-869-11.2011.5.04.0302</w:t>
        </w:r>
      </w:hyperlink>
      <w:r>
        <w:rPr>
          <w:rFonts w:ascii="Times New Roman" w:hAnsi="Times New Roman"/>
          <w:u w:val="single"/>
          <w:lang w:val="pt-BR"/>
        </w:rPr>
        <w:t>, SBDI-I, rel. Min. Alexandre Agra Belmonte, 5.3.2015</w:t>
      </w:r>
    </w:p>
    <w:p w:rsidR="00E31469" w:rsidRPr="00D735BF" w:rsidRDefault="00E31469" w:rsidP="00BC54BC">
      <w:pPr>
        <w:pStyle w:val="Corpo"/>
        <w:spacing w:line="240" w:lineRule="auto"/>
        <w:ind w:firstLine="0"/>
        <w:rPr>
          <w:rFonts w:ascii="Times New Roman" w:hAnsi="Times New Roman"/>
          <w:sz w:val="20"/>
          <w:szCs w:val="20"/>
          <w:u w:val="single"/>
          <w:lang w:val="pt-BR"/>
        </w:rPr>
      </w:pPr>
    </w:p>
    <w:p w:rsidR="005F0545" w:rsidRDefault="005F0545" w:rsidP="005F054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Embargos interpostos sob a égide da Lei nº 11.496/2007. Recurso de revista não conhecido. Deserção. Depósito recursal efetuado no último dia do prazo recursal. Comprovação posterior. Greve dos bancários. Prorrogação do prazo para comprovação prevista no Ato nº 603/SEJU</w:t>
      </w:r>
      <w:r w:rsidR="00DD19F4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 xml:space="preserve">.GP do TST. Inaplicabilidade. Súmula nº 245 do TST. </w:t>
      </w:r>
    </w:p>
    <w:p w:rsidR="005F0545" w:rsidRDefault="005F0545" w:rsidP="005F0545">
      <w:pPr>
        <w:pStyle w:val="Corpo"/>
        <w:spacing w:line="240" w:lineRule="auto"/>
        <w:ind w:firstLine="0"/>
        <w:rPr>
          <w:rFonts w:ascii="Times New Roman" w:hAnsi="Times New Roman"/>
          <w:u w:val="single"/>
          <w:lang w:val="pt-BR"/>
        </w:rPr>
      </w:pP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Efetuado o depósito recursal </w:t>
      </w:r>
      <w:r w:rsidRPr="0027167B">
        <w:rPr>
          <w:rFonts w:ascii="Times New Roman" w:eastAsia="Calibri" w:hAnsi="Times New Roman" w:cs="Times New Roman"/>
          <w:color w:val="auto"/>
          <w:lang w:val="pt-BR" w:eastAsia="en-US"/>
        </w:rPr>
        <w:t xml:space="preserve">referente ao recurso de revista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no último dia do prazo recursal, </w:t>
      </w:r>
      <w:r w:rsidRPr="005C45C1">
        <w:rPr>
          <w:rFonts w:ascii="Times New Roman" w:eastAsia="Calibri" w:hAnsi="Times New Roman" w:cs="Times New Roman"/>
          <w:color w:val="auto"/>
          <w:lang w:val="pt-BR" w:eastAsia="en-US"/>
        </w:rPr>
        <w:t xml:space="preserve">a alegação de existência de greve dos bancários não é justificativa para a comprovação tardia do </w:t>
      </w:r>
      <w:r w:rsidRPr="005C45C1">
        <w:rPr>
          <w:rFonts w:ascii="Times New Roman" w:eastAsia="Calibri" w:hAnsi="Times New Roman" w:cs="Times New Roman"/>
          <w:color w:val="auto"/>
          <w:lang w:val="pt-BR" w:eastAsia="en-US"/>
        </w:rPr>
        <w:lastRenderedPageBreak/>
        <w:t>depósito,</w:t>
      </w:r>
      <w:r w:rsidRPr="00AC52D7"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porquanto</w:t>
      </w:r>
      <w:r w:rsidRPr="005C45C1">
        <w:rPr>
          <w:rFonts w:ascii="Times New Roman" w:eastAsia="Calibri" w:hAnsi="Times New Roman" w:cs="Times New Roman"/>
          <w:color w:val="auto"/>
          <w:lang w:val="pt-BR" w:eastAsia="en-US"/>
        </w:rPr>
        <w:t xml:space="preserve"> não mais depend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ente</w:t>
      </w:r>
      <w:r w:rsidRPr="005C45C1">
        <w:rPr>
          <w:rFonts w:ascii="Times New Roman" w:eastAsia="Calibri" w:hAnsi="Times New Roman" w:cs="Times New Roman"/>
          <w:color w:val="auto"/>
          <w:lang w:val="pt-BR" w:eastAsia="en-US"/>
        </w:rPr>
        <w:t xml:space="preserve"> d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e</w:t>
      </w:r>
      <w:r w:rsidRPr="005C45C1">
        <w:rPr>
          <w:rFonts w:ascii="Times New Roman" w:eastAsia="Calibri" w:hAnsi="Times New Roman" w:cs="Times New Roman"/>
          <w:color w:val="auto"/>
          <w:lang w:val="pt-BR" w:eastAsia="en-US"/>
        </w:rPr>
        <w:t xml:space="preserve"> atividade bancária.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Ademais, tendo em vista a </w:t>
      </w:r>
      <w:r w:rsidRPr="00742977">
        <w:rPr>
          <w:rFonts w:ascii="Times New Roman" w:eastAsia="Calibri" w:hAnsi="Times New Roman" w:cs="Times New Roman"/>
          <w:color w:val="auto"/>
          <w:lang w:val="pt-BR" w:eastAsia="en-US"/>
        </w:rPr>
        <w:t xml:space="preserve">autonomia administrativa dos Tribunais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R</w:t>
      </w:r>
      <w:r w:rsidRPr="00742977">
        <w:rPr>
          <w:rFonts w:ascii="Times New Roman" w:eastAsia="Calibri" w:hAnsi="Times New Roman" w:cs="Times New Roman"/>
          <w:color w:val="auto"/>
          <w:lang w:val="pt-BR" w:eastAsia="en-US"/>
        </w:rPr>
        <w:t>egionais, são inaplicáveis as disposições do ATO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nº</w:t>
      </w:r>
      <w:r w:rsidRPr="00742977">
        <w:rPr>
          <w:rFonts w:ascii="Times New Roman" w:eastAsia="Calibri" w:hAnsi="Times New Roman" w:cs="Times New Roman"/>
          <w:color w:val="auto"/>
          <w:lang w:val="pt-BR" w:eastAsia="en-US"/>
        </w:rPr>
        <w:t xml:space="preserve"> 603/SE</w:t>
      </w:r>
      <w:r w:rsidR="00DD19F4">
        <w:rPr>
          <w:rFonts w:ascii="Times New Roman" w:eastAsia="Calibri" w:hAnsi="Times New Roman" w:cs="Times New Roman"/>
          <w:color w:val="auto"/>
          <w:lang w:val="pt-BR" w:eastAsia="en-US"/>
        </w:rPr>
        <w:t>JUD</w:t>
      </w:r>
      <w:r w:rsidRPr="00742977">
        <w:rPr>
          <w:rFonts w:ascii="Times New Roman" w:eastAsia="Calibri" w:hAnsi="Times New Roman" w:cs="Times New Roman"/>
          <w:color w:val="auto"/>
          <w:lang w:val="pt-BR" w:eastAsia="en-US"/>
        </w:rPr>
        <w:t>.GP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do TST</w:t>
      </w:r>
      <w:r w:rsidRPr="00742977">
        <w:rPr>
          <w:rFonts w:ascii="Times New Roman" w:eastAsia="Calibri" w:hAnsi="Times New Roman" w:cs="Times New Roman"/>
          <w:color w:val="auto"/>
          <w:lang w:val="pt-BR" w:eastAsia="en-US"/>
        </w:rPr>
        <w:t>, que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, no caso da deflagração do movimento paredista,</w:t>
      </w:r>
      <w:r w:rsidRPr="00742977"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estabelece expressamente a prorrogação do prazo</w:t>
      </w:r>
      <w:r w:rsidRPr="00742977">
        <w:rPr>
          <w:rFonts w:ascii="Times New Roman" w:eastAsia="Calibri" w:hAnsi="Times New Roman" w:cs="Times New Roman"/>
          <w:color w:val="auto"/>
          <w:lang w:val="pt-BR" w:eastAsia="en-US"/>
        </w:rPr>
        <w:t xml:space="preserve"> para comprovação do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depósito</w:t>
      </w:r>
      <w:r w:rsidRPr="00742977">
        <w:rPr>
          <w:rFonts w:ascii="Times New Roman" w:eastAsia="Calibri" w:hAnsi="Times New Roman" w:cs="Times New Roman"/>
          <w:color w:val="auto"/>
          <w:lang w:val="pt-BR" w:eastAsia="en-US"/>
        </w:rPr>
        <w:t xml:space="preserve"> recursa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l</w:t>
      </w:r>
      <w:r w:rsidRPr="00742977"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apenas aos</w:t>
      </w:r>
      <w:r w:rsidRPr="00742977">
        <w:rPr>
          <w:rFonts w:ascii="Times New Roman" w:eastAsia="Calibri" w:hAnsi="Times New Roman" w:cs="Times New Roman"/>
          <w:color w:val="auto"/>
          <w:lang w:val="pt-BR" w:eastAsia="en-US"/>
        </w:rPr>
        <w:t xml:space="preserve"> feitos em trâmite perante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o Tribunal Superior do Trabalho</w:t>
      </w:r>
      <w:r w:rsidRPr="00742977">
        <w:rPr>
          <w:rFonts w:ascii="Times New Roman" w:eastAsia="Calibri" w:hAnsi="Times New Roman" w:cs="Times New Roman"/>
          <w:color w:val="auto"/>
          <w:lang w:val="pt-BR" w:eastAsia="en-US"/>
        </w:rPr>
        <w:t>, não alcançando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, portanto, o preparo do</w:t>
      </w:r>
      <w:r w:rsidRPr="00742977">
        <w:rPr>
          <w:rFonts w:ascii="Times New Roman" w:eastAsia="Calibri" w:hAnsi="Times New Roman" w:cs="Times New Roman"/>
          <w:color w:val="auto"/>
          <w:lang w:val="pt-BR" w:eastAsia="en-US"/>
        </w:rPr>
        <w:t xml:space="preserve"> recurso de revista, cuja comprovação deve ser feita perante o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t</w:t>
      </w:r>
      <w:r w:rsidRPr="00742977">
        <w:rPr>
          <w:rFonts w:ascii="Times New Roman" w:eastAsia="Calibri" w:hAnsi="Times New Roman" w:cs="Times New Roman"/>
          <w:color w:val="auto"/>
          <w:lang w:val="pt-BR" w:eastAsia="en-US"/>
        </w:rPr>
        <w:t>ribuna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l</w:t>
      </w:r>
      <w:r w:rsidRPr="00742977"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de origem no momento de sua interposição. Incidência do disposto na Súmula nº 245 do TST.</w:t>
      </w:r>
      <w:r w:rsidRPr="009C5D63">
        <w:rPr>
          <w:rFonts w:ascii="Times New Roman" w:eastAsia="Calibri" w:hAnsi="Times New Roman" w:cs="Times New Roman"/>
          <w:color w:val="auto"/>
          <w:lang w:val="pt-BR" w:eastAsia="en-US"/>
        </w:rPr>
        <w:t xml:space="preserve"> Com esse entendimento, a SBDI-I,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à unanimidade</w:t>
      </w:r>
      <w:r w:rsidRPr="009C5D63">
        <w:rPr>
          <w:rFonts w:ascii="Times New Roman" w:eastAsia="Calibri" w:hAnsi="Times New Roman" w:cs="Times New Roman"/>
          <w:color w:val="auto"/>
          <w:lang w:val="pt-BR" w:eastAsia="en-US"/>
        </w:rPr>
        <w:t>, conheceu dos embargos interpostos pel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a</w:t>
      </w:r>
      <w:r w:rsidRPr="009C5D63"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reclamada</w:t>
      </w:r>
      <w:r w:rsidRPr="009C5D63">
        <w:rPr>
          <w:rFonts w:ascii="Times New Roman" w:eastAsia="Calibri" w:hAnsi="Times New Roman" w:cs="Times New Roman"/>
          <w:color w:val="auto"/>
          <w:lang w:val="pt-BR" w:eastAsia="en-US"/>
        </w:rPr>
        <w:t xml:space="preserve">, por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divergência jurisprudencial</w:t>
      </w:r>
      <w:r w:rsidRPr="009C5D63">
        <w:rPr>
          <w:rFonts w:ascii="Times New Roman" w:eastAsia="Calibri" w:hAnsi="Times New Roman" w:cs="Times New Roman"/>
          <w:color w:val="auto"/>
          <w:lang w:val="pt-BR" w:eastAsia="en-US"/>
        </w:rPr>
        <w:t>, e, no mérito,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por maioria, negou</w:t>
      </w:r>
      <w:r w:rsidRPr="009C5D63">
        <w:rPr>
          <w:rFonts w:ascii="Times New Roman" w:eastAsia="Calibri" w:hAnsi="Times New Roman" w:cs="Times New Roman"/>
          <w:color w:val="auto"/>
          <w:lang w:val="pt-BR" w:eastAsia="en-US"/>
        </w:rPr>
        <w:t>-lhes provimento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mantendo incólume a decisão turmária mediante a qual não se conheceu do recurso de revista por deserção. Vencido o Ministro Cláudio Mascarenhas Brandão. </w:t>
      </w:r>
      <w:hyperlink r:id="rId10" w:history="1">
        <w:r w:rsidRPr="00D735BF">
          <w:rPr>
            <w:rStyle w:val="Hyperlink"/>
            <w:rFonts w:ascii="Times New Roman" w:hAnsi="Times New Roman" w:cs="Courier New"/>
            <w:lang w:val="pt-BR"/>
          </w:rPr>
          <w:t>TST-E-ED-RR-56200-94.2006.5.17.0009</w:t>
        </w:r>
      </w:hyperlink>
      <w:r>
        <w:rPr>
          <w:rFonts w:ascii="Times New Roman" w:hAnsi="Times New Roman"/>
          <w:u w:val="single"/>
          <w:lang w:val="pt-BR"/>
        </w:rPr>
        <w:t xml:space="preserve">, SBDI-I, rel. Min. </w:t>
      </w:r>
      <w:r w:rsidRPr="0027167B">
        <w:rPr>
          <w:rFonts w:ascii="Times New Roman" w:hAnsi="Times New Roman"/>
          <w:u w:val="single"/>
          <w:lang w:val="pt-BR"/>
        </w:rPr>
        <w:t>Hugo Carlos Scheuermann</w:t>
      </w:r>
      <w:r w:rsidRPr="009C5D63">
        <w:rPr>
          <w:rFonts w:ascii="Times New Roman" w:hAnsi="Times New Roman"/>
          <w:u w:val="single"/>
          <w:lang w:val="pt-BR"/>
        </w:rPr>
        <w:t xml:space="preserve">, </w:t>
      </w:r>
      <w:r>
        <w:rPr>
          <w:rFonts w:ascii="Times New Roman" w:hAnsi="Times New Roman"/>
          <w:u w:val="single"/>
          <w:lang w:val="pt-BR"/>
        </w:rPr>
        <w:t>12</w:t>
      </w:r>
      <w:r w:rsidRPr="009C5D63">
        <w:rPr>
          <w:rFonts w:ascii="Times New Roman" w:hAnsi="Times New Roman"/>
          <w:u w:val="single"/>
          <w:lang w:val="pt-BR"/>
        </w:rPr>
        <w:t>.</w:t>
      </w:r>
      <w:r>
        <w:rPr>
          <w:rFonts w:ascii="Times New Roman" w:hAnsi="Times New Roman"/>
          <w:u w:val="single"/>
          <w:lang w:val="pt-BR"/>
        </w:rPr>
        <w:t>3.2015</w:t>
      </w:r>
    </w:p>
    <w:p w:rsidR="005F0545" w:rsidRPr="00D735BF" w:rsidRDefault="005F0545" w:rsidP="005F0545">
      <w:pPr>
        <w:pStyle w:val="Corpo"/>
        <w:spacing w:line="240" w:lineRule="auto"/>
        <w:ind w:firstLine="0"/>
        <w:rPr>
          <w:rFonts w:ascii="Times New Roman" w:hAnsi="Times New Roman"/>
          <w:sz w:val="20"/>
          <w:szCs w:val="20"/>
          <w:u w:val="single"/>
          <w:lang w:val="pt-BR"/>
        </w:rPr>
      </w:pPr>
    </w:p>
    <w:p w:rsidR="005F0545" w:rsidRPr="005F0545" w:rsidRDefault="005F0545" w:rsidP="005F0545">
      <w:pPr>
        <w:jc w:val="both"/>
        <w:rPr>
          <w:b/>
          <w:bCs/>
          <w:sz w:val="24"/>
          <w:szCs w:val="24"/>
        </w:rPr>
      </w:pPr>
      <w:r w:rsidRPr="005F0545">
        <w:rPr>
          <w:b/>
          <w:bCs/>
          <w:i/>
          <w:sz w:val="24"/>
          <w:szCs w:val="24"/>
        </w:rPr>
        <w:t>Uniformes. Uso obrigatório ou necessário para a concepção da atividade econômica. Despesas com lavagem. Ressarcimento. Devido.</w:t>
      </w:r>
      <w:r w:rsidRPr="005F0545">
        <w:rPr>
          <w:b/>
          <w:bCs/>
          <w:sz w:val="24"/>
          <w:szCs w:val="24"/>
        </w:rPr>
        <w:t xml:space="preserve"> </w:t>
      </w:r>
    </w:p>
    <w:p w:rsidR="005F0545" w:rsidRPr="005F0545" w:rsidRDefault="005F0545" w:rsidP="005F0545">
      <w:pPr>
        <w:jc w:val="both"/>
        <w:rPr>
          <w:sz w:val="24"/>
          <w:szCs w:val="24"/>
          <w:u w:val="single"/>
        </w:rPr>
      </w:pPr>
      <w:r w:rsidRPr="005F0545">
        <w:rPr>
          <w:bCs/>
          <w:sz w:val="24"/>
          <w:szCs w:val="24"/>
        </w:rPr>
        <w:t xml:space="preserve">As despesas decorrentes de lavagem de uniformes, quando seu uso é imposto pelo empregador ou necessário para a concepção da atividade econômica, devem ser ressarcidas ao empregado, uma vez que os riscos do empreendimento são suportados pela empresa, cabendo a ela zelar pela higiene do estabelecimento. Inteligência do art. 2º da CLT. No caso, as reclamadas forneciam gratuitamente uniformes e impunham a sua utilização durante o horário de serviço em razão da atividade desenvolvida (indústria de laticínios). Assim, a SBDI-I, por unanimidade, conheceu do recurso de embargos, por divergência jurisprudencial, e, no mérito, por maioria, negou-lhe provimento, mantendo a decisão da Turma que ratificara a condenação ao ressarcimento das despesas efetuadas pelo reclamante com a lavagem de uniformes. Vencidos os Ministros Guilherme Caputo Bastos, relator, Ives Gandra Martins Filho, Márcio Eurico Vitral Amaro e Cláudio Mascarenhas Brandão, que davam provimento aos embargos para julgar improcedente o pedido de ressarcimento das despesas com a lavagem do fardamento, ao fundamento de que a higienização ordinária de uniformes não causa prejuízo indenizável, nem transfere os riscos do empreendimento ao empregado. </w:t>
      </w:r>
      <w:hyperlink r:id="rId11" w:history="1">
        <w:r w:rsidRPr="00D735BF">
          <w:rPr>
            <w:rStyle w:val="Hyperlink"/>
            <w:bCs/>
            <w:sz w:val="24"/>
            <w:szCs w:val="24"/>
          </w:rPr>
          <w:t>TST-E-RR-12-47.2012.5.04.0522</w:t>
        </w:r>
      </w:hyperlink>
      <w:r w:rsidRPr="005F0545">
        <w:rPr>
          <w:bCs/>
          <w:sz w:val="24"/>
          <w:szCs w:val="24"/>
          <w:u w:val="single"/>
        </w:rPr>
        <w:t xml:space="preserve">, </w:t>
      </w:r>
      <w:r w:rsidRPr="005F0545">
        <w:rPr>
          <w:sz w:val="24"/>
          <w:szCs w:val="24"/>
          <w:u w:val="single"/>
        </w:rPr>
        <w:t>SBDI-I, rel. Min. Guilherme Augusto Caputo Bastos, red. p/ acórdão Min. João Oreste Dalazen, 12.3.2015</w:t>
      </w:r>
    </w:p>
    <w:p w:rsidR="005F0545" w:rsidRPr="00D735BF" w:rsidRDefault="005F0545" w:rsidP="005F0545">
      <w:pPr>
        <w:pStyle w:val="Corpo"/>
        <w:spacing w:line="240" w:lineRule="auto"/>
        <w:ind w:firstLine="0"/>
        <w:rPr>
          <w:rFonts w:ascii="Times New Roman" w:hAnsi="Times New Roman"/>
          <w:sz w:val="20"/>
          <w:szCs w:val="20"/>
          <w:u w:val="single"/>
          <w:lang w:val="pt-BR"/>
        </w:rPr>
      </w:pPr>
    </w:p>
    <w:p w:rsidR="005F0545" w:rsidRDefault="005F0545" w:rsidP="005F054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Pr="00C1633E">
        <w:rPr>
          <w:b/>
          <w:i/>
          <w:sz w:val="24"/>
          <w:szCs w:val="24"/>
        </w:rPr>
        <w:t>viso prévio indenizado</w:t>
      </w:r>
      <w:r>
        <w:rPr>
          <w:b/>
          <w:i/>
          <w:sz w:val="24"/>
          <w:szCs w:val="24"/>
        </w:rPr>
        <w:t>. S</w:t>
      </w:r>
      <w:r w:rsidRPr="00C1633E">
        <w:rPr>
          <w:b/>
          <w:i/>
          <w:sz w:val="24"/>
          <w:szCs w:val="24"/>
        </w:rPr>
        <w:t>uperveniência de auxílio-doença</w:t>
      </w:r>
      <w:r>
        <w:rPr>
          <w:b/>
          <w:i/>
          <w:sz w:val="24"/>
          <w:szCs w:val="24"/>
        </w:rPr>
        <w:t>. Estabilidade provisória.  Previsão em i</w:t>
      </w:r>
      <w:r w:rsidRPr="00C1633E">
        <w:rPr>
          <w:b/>
          <w:i/>
          <w:sz w:val="24"/>
          <w:szCs w:val="24"/>
        </w:rPr>
        <w:t xml:space="preserve">nstrumento </w:t>
      </w:r>
      <w:r>
        <w:rPr>
          <w:b/>
          <w:i/>
          <w:sz w:val="24"/>
          <w:szCs w:val="24"/>
        </w:rPr>
        <w:t>c</w:t>
      </w:r>
      <w:r w:rsidRPr="00C1633E">
        <w:rPr>
          <w:b/>
          <w:i/>
          <w:sz w:val="24"/>
          <w:szCs w:val="24"/>
        </w:rPr>
        <w:t>oletivo</w:t>
      </w:r>
      <w:r>
        <w:rPr>
          <w:b/>
          <w:i/>
          <w:sz w:val="24"/>
          <w:szCs w:val="24"/>
        </w:rPr>
        <w:t>. Efeitos exclusivamente financeiros. Inviável a reintegração.</w:t>
      </w:r>
      <w:r w:rsidRPr="00C1633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</w:t>
      </w:r>
      <w:r w:rsidRPr="00C1633E">
        <w:rPr>
          <w:b/>
          <w:i/>
          <w:sz w:val="24"/>
          <w:szCs w:val="24"/>
        </w:rPr>
        <w:t>úmula nº 371</w:t>
      </w:r>
      <w:r w:rsidR="00DD19F4">
        <w:rPr>
          <w:b/>
          <w:i/>
          <w:sz w:val="24"/>
          <w:szCs w:val="24"/>
        </w:rPr>
        <w:t xml:space="preserve"> do </w:t>
      </w:r>
      <w:r>
        <w:rPr>
          <w:b/>
          <w:i/>
          <w:sz w:val="24"/>
          <w:szCs w:val="24"/>
        </w:rPr>
        <w:t xml:space="preserve">TST. </w:t>
      </w:r>
    </w:p>
    <w:p w:rsidR="005F0545" w:rsidRPr="00976081" w:rsidRDefault="005F0545" w:rsidP="005F0545">
      <w:pPr>
        <w:pStyle w:val="Corpo"/>
        <w:spacing w:line="240" w:lineRule="auto"/>
        <w:ind w:firstLine="0"/>
        <w:rPr>
          <w:rFonts w:ascii="Times New Roman" w:eastAsia="Calibri" w:hAnsi="Times New Roman"/>
          <w:snapToGrid w:val="0"/>
          <w:color w:val="auto"/>
          <w:lang w:val="pt-BR" w:eastAsia="en-US"/>
        </w:rPr>
      </w:pPr>
      <w:r>
        <w:rPr>
          <w:rFonts w:ascii="Times New Roman" w:eastAsia="Calibri" w:hAnsi="Times New Roman"/>
          <w:snapToGrid w:val="0"/>
          <w:color w:val="auto"/>
          <w:lang w:val="pt-BR" w:eastAsia="en-US"/>
        </w:rPr>
        <w:t>A</w:t>
      </w:r>
      <w:r w:rsidRPr="00A26A3E">
        <w:rPr>
          <w:rFonts w:ascii="Times New Roman" w:eastAsia="Calibri" w:hAnsi="Times New Roman"/>
          <w:snapToGrid w:val="0"/>
          <w:color w:val="auto"/>
          <w:lang w:val="pt-BR" w:eastAsia="en-US"/>
        </w:rPr>
        <w:t xml:space="preserve"> concessão do auxílio-doença no curso do aviso prévio indenizado </w:t>
      </w:r>
      <w:r>
        <w:rPr>
          <w:rFonts w:ascii="Times New Roman" w:eastAsia="Calibri" w:hAnsi="Times New Roman"/>
          <w:snapToGrid w:val="0"/>
          <w:color w:val="auto"/>
          <w:lang w:val="pt-BR" w:eastAsia="en-US"/>
        </w:rPr>
        <w:t>apenas</w:t>
      </w:r>
      <w:r w:rsidRPr="00A26A3E">
        <w:rPr>
          <w:rFonts w:ascii="Times New Roman" w:eastAsia="Calibri" w:hAnsi="Times New Roman"/>
          <w:snapToGrid w:val="0"/>
          <w:color w:val="auto"/>
          <w:lang w:val="pt-BR" w:eastAsia="en-US"/>
        </w:rPr>
        <w:t xml:space="preserve"> </w:t>
      </w:r>
      <w:r>
        <w:rPr>
          <w:rFonts w:ascii="Times New Roman" w:eastAsia="Calibri" w:hAnsi="Times New Roman"/>
          <w:snapToGrid w:val="0"/>
          <w:color w:val="auto"/>
          <w:lang w:val="pt-BR" w:eastAsia="en-US"/>
        </w:rPr>
        <w:t xml:space="preserve">adia </w:t>
      </w:r>
      <w:r w:rsidRPr="00A26A3E">
        <w:rPr>
          <w:rFonts w:ascii="Times New Roman" w:eastAsia="Calibri" w:hAnsi="Times New Roman"/>
          <w:snapToGrid w:val="0"/>
          <w:color w:val="auto"/>
          <w:lang w:val="pt-BR" w:eastAsia="en-US"/>
        </w:rPr>
        <w:t xml:space="preserve">os efeitos da dispensa para depois </w:t>
      </w:r>
      <w:r>
        <w:rPr>
          <w:rFonts w:ascii="Times New Roman" w:eastAsia="Calibri" w:hAnsi="Times New Roman"/>
          <w:snapToGrid w:val="0"/>
          <w:color w:val="auto"/>
          <w:lang w:val="pt-BR" w:eastAsia="en-US"/>
        </w:rPr>
        <w:t xml:space="preserve">do término </w:t>
      </w:r>
      <w:r w:rsidRPr="00A26A3E">
        <w:rPr>
          <w:rFonts w:ascii="Times New Roman" w:eastAsia="Calibri" w:hAnsi="Times New Roman"/>
          <w:snapToGrid w:val="0"/>
          <w:color w:val="auto"/>
          <w:lang w:val="pt-BR" w:eastAsia="en-US"/>
        </w:rPr>
        <w:t>do benefício previdenciário</w:t>
      </w:r>
      <w:r>
        <w:rPr>
          <w:rFonts w:ascii="Times New Roman" w:eastAsia="Calibri" w:hAnsi="Times New Roman"/>
          <w:snapToGrid w:val="0"/>
          <w:color w:val="auto"/>
          <w:lang w:val="pt-BR" w:eastAsia="en-US"/>
        </w:rPr>
        <w:t xml:space="preserve"> (Súmula nº 371 do TST), e </w:t>
      </w:r>
      <w:r w:rsidRPr="00A26A3E">
        <w:rPr>
          <w:rFonts w:ascii="Times New Roman" w:eastAsia="Calibri" w:hAnsi="Times New Roman"/>
          <w:snapToGrid w:val="0"/>
          <w:color w:val="auto"/>
          <w:lang w:val="pt-BR" w:eastAsia="en-US"/>
        </w:rPr>
        <w:t xml:space="preserve">não implica </w:t>
      </w:r>
      <w:r>
        <w:rPr>
          <w:rFonts w:ascii="Times New Roman" w:eastAsia="Calibri" w:hAnsi="Times New Roman"/>
          <w:snapToGrid w:val="0"/>
          <w:color w:val="auto"/>
          <w:lang w:val="pt-BR" w:eastAsia="en-US"/>
        </w:rPr>
        <w:t xml:space="preserve">em </w:t>
      </w:r>
      <w:r w:rsidRPr="00A26A3E">
        <w:rPr>
          <w:rFonts w:ascii="Times New Roman" w:eastAsia="Calibri" w:hAnsi="Times New Roman"/>
          <w:snapToGrid w:val="0"/>
          <w:color w:val="auto"/>
          <w:lang w:val="pt-BR" w:eastAsia="en-US"/>
        </w:rPr>
        <w:t>nulidade da d</w:t>
      </w:r>
      <w:r>
        <w:rPr>
          <w:rFonts w:ascii="Times New Roman" w:eastAsia="Calibri" w:hAnsi="Times New Roman"/>
          <w:snapToGrid w:val="0"/>
          <w:color w:val="auto"/>
          <w:lang w:val="pt-BR" w:eastAsia="en-US"/>
        </w:rPr>
        <w:t>espedida</w:t>
      </w:r>
      <w:r w:rsidRPr="00A26A3E">
        <w:rPr>
          <w:rFonts w:ascii="Times New Roman" w:eastAsia="Calibri" w:hAnsi="Times New Roman"/>
          <w:snapToGrid w:val="0"/>
          <w:color w:val="auto"/>
          <w:lang w:val="pt-BR" w:eastAsia="en-US"/>
        </w:rPr>
        <w:t xml:space="preserve">, </w:t>
      </w:r>
      <w:r>
        <w:rPr>
          <w:rFonts w:ascii="Times New Roman" w:eastAsia="Calibri" w:hAnsi="Times New Roman"/>
          <w:snapToGrid w:val="0"/>
          <w:color w:val="auto"/>
          <w:lang w:val="pt-BR" w:eastAsia="en-US"/>
        </w:rPr>
        <w:t xml:space="preserve">ainda que norma coletiva assegure </w:t>
      </w:r>
      <w:r w:rsidRPr="00A26A3E">
        <w:rPr>
          <w:rFonts w:ascii="Times New Roman" w:eastAsia="Calibri" w:hAnsi="Times New Roman"/>
          <w:snapToGrid w:val="0"/>
          <w:color w:val="auto"/>
          <w:lang w:val="pt-BR" w:eastAsia="en-US"/>
        </w:rPr>
        <w:t xml:space="preserve">estabilidade </w:t>
      </w:r>
      <w:r>
        <w:rPr>
          <w:rFonts w:ascii="Times New Roman" w:eastAsia="Calibri" w:hAnsi="Times New Roman"/>
          <w:snapToGrid w:val="0"/>
          <w:color w:val="auto"/>
          <w:lang w:val="pt-BR" w:eastAsia="en-US"/>
        </w:rPr>
        <w:t xml:space="preserve">provisória </w:t>
      </w:r>
      <w:r w:rsidRPr="00A26A3E">
        <w:rPr>
          <w:rFonts w:ascii="Times New Roman" w:eastAsia="Calibri" w:hAnsi="Times New Roman"/>
          <w:snapToGrid w:val="0"/>
          <w:color w:val="auto"/>
          <w:lang w:val="pt-BR" w:eastAsia="en-US"/>
        </w:rPr>
        <w:t>por sessenta dias após a concessão da alta médica.</w:t>
      </w:r>
      <w:r>
        <w:rPr>
          <w:rFonts w:ascii="Times New Roman" w:eastAsia="Calibri" w:hAnsi="Times New Roman"/>
          <w:snapToGrid w:val="0"/>
          <w:color w:val="auto"/>
          <w:lang w:val="pt-BR" w:eastAsia="en-US"/>
        </w:rPr>
        <w:t xml:space="preserve"> Desse modo, o empregado somente tem direito às</w:t>
      </w:r>
      <w:r w:rsidRPr="00A26A3E">
        <w:rPr>
          <w:rFonts w:ascii="Times New Roman" w:eastAsia="Calibri" w:hAnsi="Times New Roman"/>
          <w:snapToGrid w:val="0"/>
          <w:color w:val="auto"/>
          <w:lang w:val="pt-BR" w:eastAsia="en-US"/>
        </w:rPr>
        <w:t xml:space="preserve"> vantagens econômicas </w:t>
      </w:r>
      <w:r>
        <w:rPr>
          <w:rFonts w:ascii="Times New Roman" w:eastAsia="Calibri" w:hAnsi="Times New Roman"/>
          <w:snapToGrid w:val="0"/>
          <w:color w:val="auto"/>
          <w:lang w:val="pt-BR" w:eastAsia="en-US"/>
        </w:rPr>
        <w:t>previstas</w:t>
      </w:r>
      <w:r w:rsidRPr="00A26A3E">
        <w:rPr>
          <w:rFonts w:ascii="Times New Roman" w:eastAsia="Calibri" w:hAnsi="Times New Roman"/>
          <w:snapToGrid w:val="0"/>
          <w:color w:val="auto"/>
          <w:lang w:val="pt-BR" w:eastAsia="en-US"/>
        </w:rPr>
        <w:t xml:space="preserve"> na norma coletiva</w:t>
      </w:r>
      <w:r>
        <w:rPr>
          <w:rFonts w:ascii="Times New Roman" w:eastAsia="Calibri" w:hAnsi="Times New Roman"/>
          <w:snapToGrid w:val="0"/>
          <w:color w:val="auto"/>
          <w:lang w:val="pt-BR" w:eastAsia="en-US"/>
        </w:rPr>
        <w:t xml:space="preserve">, e, passado o período nela assegurado, pode o empregador extinguir o contrato de trabalho. 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>Com esse entendimento, a SBDI-I, por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unanimidade,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 xml:space="preserve"> conheceu dos embargos da reclamada por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contrariedade à Súmula nº 371 (má aplicação)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>, e, no mérito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, deu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>-lhes provimento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 w:rsidRPr="00976081">
        <w:rPr>
          <w:rFonts w:ascii="Times New Roman" w:hAnsi="Times New Roman"/>
          <w:lang w:val="pt-BR"/>
        </w:rPr>
        <w:t xml:space="preserve">para afastar a declaração da nulidade da dispensa e, consequentemente, a determinação de reintegração no emprego, reconhecendo que a condenação deve limitar-se a resguardar os direitos patrimoniais da </w:t>
      </w:r>
      <w:r>
        <w:rPr>
          <w:rFonts w:ascii="Times New Roman" w:hAnsi="Times New Roman"/>
          <w:lang w:val="pt-BR"/>
        </w:rPr>
        <w:t>reclamante</w:t>
      </w:r>
      <w:r w:rsidRPr="00976081">
        <w:rPr>
          <w:rFonts w:ascii="Times New Roman" w:hAnsi="Times New Roman"/>
          <w:lang w:val="pt-BR"/>
        </w:rPr>
        <w:t xml:space="preserve"> até a concretização da dispensa, ocorrida no período de sessenta dias após o término do benefício previdenciário.</w:t>
      </w:r>
      <w:r w:rsidRPr="00976081">
        <w:rPr>
          <w:lang w:val="pt-BR"/>
        </w:rPr>
        <w:t xml:space="preserve"> </w:t>
      </w:r>
      <w:hyperlink r:id="rId12" w:history="1">
        <w:r w:rsidRPr="00D735BF">
          <w:rPr>
            <w:rStyle w:val="Hyperlink"/>
            <w:rFonts w:ascii="Times New Roman" w:hAnsi="Times New Roman"/>
            <w:lang w:val="pt-BR"/>
          </w:rPr>
          <w:t>TST-E-ED-RR-59000-67.2005.5.01.0012</w:t>
        </w:r>
      </w:hyperlink>
      <w:r>
        <w:rPr>
          <w:rFonts w:ascii="Times New Roman" w:hAnsi="Times New Roman"/>
          <w:u w:val="single"/>
          <w:lang w:val="pt-BR"/>
        </w:rPr>
        <w:t xml:space="preserve">, SBDI-I, rel. Min. </w:t>
      </w:r>
      <w:r w:rsidRPr="00791BDA">
        <w:rPr>
          <w:rFonts w:ascii="Times New Roman" w:hAnsi="Times New Roman"/>
          <w:u w:val="single"/>
          <w:lang w:val="pt-BR"/>
        </w:rPr>
        <w:t>Renato de Lacerda Paiva</w:t>
      </w:r>
      <w:r>
        <w:rPr>
          <w:rFonts w:ascii="Times New Roman" w:hAnsi="Times New Roman"/>
          <w:u w:val="single"/>
          <w:lang w:val="pt-BR"/>
        </w:rPr>
        <w:t>, 12.3.2015</w:t>
      </w:r>
    </w:p>
    <w:p w:rsidR="005F0545" w:rsidRDefault="005F0545" w:rsidP="005F0545">
      <w:pPr>
        <w:pStyle w:val="Corpo"/>
        <w:spacing w:line="240" w:lineRule="auto"/>
        <w:ind w:firstLine="0"/>
        <w:rPr>
          <w:rFonts w:ascii="Times New Roman" w:hAnsi="Times New Roman"/>
          <w:u w:val="single"/>
          <w:lang w:val="pt-BR"/>
        </w:rPr>
      </w:pPr>
    </w:p>
    <w:p w:rsidR="00BC54BC" w:rsidRPr="00BC54BC" w:rsidRDefault="00BC54BC" w:rsidP="00C54185">
      <w:pPr>
        <w:jc w:val="both"/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D11B2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55" w:rsidRDefault="00F06855">
      <w:r>
        <w:separator/>
      </w:r>
    </w:p>
  </w:endnote>
  <w:endnote w:type="continuationSeparator" w:id="0">
    <w:p w:rsidR="00F06855" w:rsidRDefault="00F0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FE00A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18E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00AD" w:rsidRDefault="00187A3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187A3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 w:rsidR="00FE00AD">
      <w:rPr>
        <w:rStyle w:val="Nmerodepgina"/>
      </w:rPr>
      <w:fldChar w:fldCharType="begin"/>
    </w:r>
    <w:r w:rsidR="00FE00AD">
      <w:rPr>
        <w:rStyle w:val="Nmerodepgina"/>
      </w:rPr>
      <w:instrText xml:space="preserve"> PAGE </w:instrText>
    </w:r>
    <w:r w:rsidR="00FE00AD">
      <w:rPr>
        <w:rStyle w:val="Nmerodepgina"/>
      </w:rPr>
      <w:fldChar w:fldCharType="separate"/>
    </w:r>
    <w:r w:rsidR="007F18ED">
      <w:rPr>
        <w:rStyle w:val="Nmerodepgina"/>
        <w:noProof/>
      </w:rPr>
      <w:t>1</w:t>
    </w:r>
    <w:r w:rsidR="00FE00AD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55" w:rsidRDefault="00F06855">
      <w:r>
        <w:separator/>
      </w:r>
    </w:p>
  </w:footnote>
  <w:footnote w:type="continuationSeparator" w:id="0">
    <w:p w:rsidR="00F06855" w:rsidRDefault="00F06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Pr="00971E07" w:rsidRDefault="00FE00AD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 w:rsidR="00986D77"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 w:rsidR="007F66BC">
      <w:rPr>
        <w:shadow/>
        <w:sz w:val="24"/>
        <w:szCs w:val="24"/>
      </w:rPr>
      <w:t>10</w:t>
    </w:r>
    <w:r w:rsidR="00DD19F4">
      <w:rPr>
        <w:shadow/>
        <w:sz w:val="24"/>
        <w:szCs w:val="24"/>
      </w:rPr>
      <w:t>1</w:t>
    </w:r>
  </w:p>
  <w:p w:rsidR="00FE00AD" w:rsidRDefault="00187A37">
    <w:pPr>
      <w:pStyle w:val="Ttulo6"/>
      <w:spacing w:line="360" w:lineRule="auto"/>
      <w:jc w:val="right"/>
      <w:rPr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 w:rsidR="002168DE">
      <w:rPr>
        <w:sz w:val="20"/>
        <w:szCs w:val="20"/>
      </w:rPr>
      <w:t xml:space="preserve">Período: </w:t>
    </w:r>
    <w:r w:rsidR="00DD19F4">
      <w:rPr>
        <w:sz w:val="20"/>
        <w:szCs w:val="20"/>
      </w:rPr>
      <w:t xml:space="preserve">3 </w:t>
    </w:r>
    <w:r w:rsidR="007F66BC">
      <w:rPr>
        <w:sz w:val="20"/>
        <w:szCs w:val="20"/>
      </w:rPr>
      <w:t xml:space="preserve">a </w:t>
    </w:r>
    <w:r w:rsidR="00DD19F4">
      <w:rPr>
        <w:sz w:val="20"/>
        <w:szCs w:val="20"/>
      </w:rPr>
      <w:t>16</w:t>
    </w:r>
    <w:r w:rsidR="007F66BC">
      <w:rPr>
        <w:sz w:val="20"/>
        <w:szCs w:val="20"/>
      </w:rPr>
      <w:t xml:space="preserve"> de março de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075B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45pt;height:76.75pt">
          <v:imagedata r:id="rId1" o:title="TST LOGO"/>
        </v:shape>
      </w:pict>
    </w:r>
  </w:p>
  <w:p w:rsidR="00FE00AD" w:rsidRPr="002168DE" w:rsidRDefault="00A51749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 w:rsidR="00075BDB">
      <w:tab/>
    </w:r>
    <w:r w:rsidR="00075BDB">
      <w:tab/>
    </w:r>
    <w:r w:rsidR="00075BDB">
      <w:tab/>
    </w:r>
    <w:r w:rsidR="00075BDB">
      <w:tab/>
    </w:r>
    <w:r w:rsidR="00075BDB">
      <w:tab/>
    </w:r>
    <w:r w:rsidR="00FE00AD" w:rsidRPr="002168DE">
      <w:rPr>
        <w:b/>
        <w:sz w:val="40"/>
        <w:szCs w:val="40"/>
      </w:rPr>
      <w:t xml:space="preserve">Nº </w:t>
    </w:r>
    <w:r w:rsidR="00BC54BC">
      <w:rPr>
        <w:b/>
        <w:sz w:val="40"/>
        <w:szCs w:val="40"/>
      </w:rPr>
      <w:t>10</w:t>
    </w:r>
    <w:r w:rsidR="00BC2C67">
      <w:rPr>
        <w:b/>
        <w:sz w:val="40"/>
        <w:szCs w:val="40"/>
      </w:rPr>
      <w:t>1</w:t>
    </w:r>
  </w:p>
  <w:p w:rsidR="00FE00AD" w:rsidRPr="005D1DE4" w:rsidRDefault="00FE00AD">
    <w:pPr>
      <w:pStyle w:val="Cabealho"/>
      <w:jc w:val="right"/>
      <w:rPr>
        <w:i/>
        <w:iCs/>
        <w:sz w:val="10"/>
        <w:szCs w:val="10"/>
      </w:rPr>
    </w:pPr>
  </w:p>
  <w:p w:rsidR="00FE00AD" w:rsidRPr="005D1DE4" w:rsidRDefault="002168DE">
    <w:pPr>
      <w:pStyle w:val="Cabealho"/>
      <w:jc w:val="right"/>
    </w:pPr>
    <w:r>
      <w:rPr>
        <w:i/>
        <w:iCs/>
      </w:rPr>
      <w:t>Período:</w:t>
    </w:r>
    <w:r w:rsidR="00FE00AD" w:rsidRPr="005D1DE4">
      <w:rPr>
        <w:i/>
        <w:iCs/>
      </w:rPr>
      <w:t xml:space="preserve"> </w:t>
    </w:r>
    <w:r w:rsidR="00BC2C67">
      <w:rPr>
        <w:i/>
        <w:iCs/>
      </w:rPr>
      <w:t>3</w:t>
    </w:r>
    <w:r w:rsidR="00BC54BC">
      <w:rPr>
        <w:i/>
        <w:iCs/>
      </w:rPr>
      <w:t xml:space="preserve"> </w:t>
    </w:r>
    <w:r w:rsidR="004477EC">
      <w:rPr>
        <w:i/>
        <w:iCs/>
      </w:rPr>
      <w:t xml:space="preserve">a </w:t>
    </w:r>
    <w:r w:rsidR="005F0545">
      <w:rPr>
        <w:i/>
        <w:iCs/>
      </w:rPr>
      <w:t>16</w:t>
    </w:r>
    <w:r w:rsidR="00BC2C67">
      <w:rPr>
        <w:i/>
        <w:iCs/>
      </w:rPr>
      <w:t xml:space="preserve"> </w:t>
    </w:r>
    <w:r w:rsidR="00BC54BC">
      <w:rPr>
        <w:i/>
        <w:iCs/>
      </w:rPr>
      <w:t xml:space="preserve">de março </w:t>
    </w:r>
    <w:r w:rsidR="004A094C">
      <w:rPr>
        <w:i/>
        <w:iCs/>
      </w:rPr>
      <w:t>de 201</w:t>
    </w:r>
    <w:r w:rsidR="00C54185">
      <w:rPr>
        <w:i/>
        <w:iCs/>
      </w:rPr>
      <w:t>5</w:t>
    </w:r>
  </w:p>
  <w:p w:rsidR="00FE00AD" w:rsidRDefault="00FE00AD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2973"/>
    <w:rsid w:val="000B4D41"/>
    <w:rsid w:val="000B67DF"/>
    <w:rsid w:val="000B7CDE"/>
    <w:rsid w:val="000C3022"/>
    <w:rsid w:val="000C5AC6"/>
    <w:rsid w:val="000C672B"/>
    <w:rsid w:val="000E0A91"/>
    <w:rsid w:val="000E1DC1"/>
    <w:rsid w:val="0011575C"/>
    <w:rsid w:val="0011692E"/>
    <w:rsid w:val="00137564"/>
    <w:rsid w:val="00137DC1"/>
    <w:rsid w:val="00142C28"/>
    <w:rsid w:val="0015612D"/>
    <w:rsid w:val="00161CDE"/>
    <w:rsid w:val="00163142"/>
    <w:rsid w:val="00176D15"/>
    <w:rsid w:val="00184590"/>
    <w:rsid w:val="00187A37"/>
    <w:rsid w:val="0019151D"/>
    <w:rsid w:val="00193208"/>
    <w:rsid w:val="00197B15"/>
    <w:rsid w:val="001C04D2"/>
    <w:rsid w:val="001C271F"/>
    <w:rsid w:val="001C6C93"/>
    <w:rsid w:val="001D4CF9"/>
    <w:rsid w:val="001D5AB0"/>
    <w:rsid w:val="001D757D"/>
    <w:rsid w:val="001E14A9"/>
    <w:rsid w:val="001E14BB"/>
    <w:rsid w:val="001E4B57"/>
    <w:rsid w:val="001E5BD1"/>
    <w:rsid w:val="001E713B"/>
    <w:rsid w:val="001F030F"/>
    <w:rsid w:val="00206810"/>
    <w:rsid w:val="002168DE"/>
    <w:rsid w:val="00224AC2"/>
    <w:rsid w:val="0023559D"/>
    <w:rsid w:val="002402B0"/>
    <w:rsid w:val="002449F9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E78CB"/>
    <w:rsid w:val="0033397A"/>
    <w:rsid w:val="00352B27"/>
    <w:rsid w:val="0035374D"/>
    <w:rsid w:val="0036325E"/>
    <w:rsid w:val="003671FE"/>
    <w:rsid w:val="003708FD"/>
    <w:rsid w:val="0037667D"/>
    <w:rsid w:val="00384075"/>
    <w:rsid w:val="003908C5"/>
    <w:rsid w:val="00396053"/>
    <w:rsid w:val="003A4086"/>
    <w:rsid w:val="003A5E5B"/>
    <w:rsid w:val="003B045C"/>
    <w:rsid w:val="003B0A59"/>
    <w:rsid w:val="003B3EB5"/>
    <w:rsid w:val="003B4E23"/>
    <w:rsid w:val="003B767E"/>
    <w:rsid w:val="003C6FE7"/>
    <w:rsid w:val="003D032E"/>
    <w:rsid w:val="003D4205"/>
    <w:rsid w:val="003F2078"/>
    <w:rsid w:val="0042772A"/>
    <w:rsid w:val="004323B0"/>
    <w:rsid w:val="00444E88"/>
    <w:rsid w:val="004477EC"/>
    <w:rsid w:val="0045657C"/>
    <w:rsid w:val="004655CC"/>
    <w:rsid w:val="00466DB9"/>
    <w:rsid w:val="00486521"/>
    <w:rsid w:val="00486DFC"/>
    <w:rsid w:val="004922D6"/>
    <w:rsid w:val="004A094C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1E8"/>
    <w:rsid w:val="004E393E"/>
    <w:rsid w:val="004E4507"/>
    <w:rsid w:val="004E4619"/>
    <w:rsid w:val="004F0A7D"/>
    <w:rsid w:val="0051538E"/>
    <w:rsid w:val="00517E01"/>
    <w:rsid w:val="00521EEC"/>
    <w:rsid w:val="005460BD"/>
    <w:rsid w:val="00553197"/>
    <w:rsid w:val="0055409E"/>
    <w:rsid w:val="00556367"/>
    <w:rsid w:val="00556B35"/>
    <w:rsid w:val="00573E13"/>
    <w:rsid w:val="00584F82"/>
    <w:rsid w:val="00591DFA"/>
    <w:rsid w:val="005A5695"/>
    <w:rsid w:val="005B2F00"/>
    <w:rsid w:val="005B3792"/>
    <w:rsid w:val="005B57DE"/>
    <w:rsid w:val="005C1886"/>
    <w:rsid w:val="005C761E"/>
    <w:rsid w:val="005D0E5F"/>
    <w:rsid w:val="005D1DE4"/>
    <w:rsid w:val="005E35BD"/>
    <w:rsid w:val="005E3D4D"/>
    <w:rsid w:val="005E7FD1"/>
    <w:rsid w:val="005F0545"/>
    <w:rsid w:val="005F2858"/>
    <w:rsid w:val="006002E3"/>
    <w:rsid w:val="006145AC"/>
    <w:rsid w:val="00615F98"/>
    <w:rsid w:val="00621F9C"/>
    <w:rsid w:val="00631166"/>
    <w:rsid w:val="00631F1C"/>
    <w:rsid w:val="006366A4"/>
    <w:rsid w:val="00643B60"/>
    <w:rsid w:val="006456B1"/>
    <w:rsid w:val="006564EC"/>
    <w:rsid w:val="0066084C"/>
    <w:rsid w:val="00672CF9"/>
    <w:rsid w:val="00672E11"/>
    <w:rsid w:val="0068273B"/>
    <w:rsid w:val="00691234"/>
    <w:rsid w:val="006931CC"/>
    <w:rsid w:val="006947F2"/>
    <w:rsid w:val="00697919"/>
    <w:rsid w:val="006B3FCF"/>
    <w:rsid w:val="006B46CA"/>
    <w:rsid w:val="006C0391"/>
    <w:rsid w:val="006C28B3"/>
    <w:rsid w:val="006D1F66"/>
    <w:rsid w:val="006D306E"/>
    <w:rsid w:val="006D4497"/>
    <w:rsid w:val="006F6C15"/>
    <w:rsid w:val="00700B1B"/>
    <w:rsid w:val="0070727E"/>
    <w:rsid w:val="00710D3A"/>
    <w:rsid w:val="0071315F"/>
    <w:rsid w:val="00721942"/>
    <w:rsid w:val="00722BE7"/>
    <w:rsid w:val="00732DF2"/>
    <w:rsid w:val="007614F1"/>
    <w:rsid w:val="007618C5"/>
    <w:rsid w:val="00764066"/>
    <w:rsid w:val="00776118"/>
    <w:rsid w:val="007B0F83"/>
    <w:rsid w:val="007D29A1"/>
    <w:rsid w:val="007E0EA7"/>
    <w:rsid w:val="007E3F23"/>
    <w:rsid w:val="007F142E"/>
    <w:rsid w:val="007F18ED"/>
    <w:rsid w:val="007F66BC"/>
    <w:rsid w:val="007F7B5E"/>
    <w:rsid w:val="00802B1A"/>
    <w:rsid w:val="0080615C"/>
    <w:rsid w:val="0081027F"/>
    <w:rsid w:val="0081742D"/>
    <w:rsid w:val="00821F4D"/>
    <w:rsid w:val="00823906"/>
    <w:rsid w:val="008409D3"/>
    <w:rsid w:val="00845559"/>
    <w:rsid w:val="00854DB8"/>
    <w:rsid w:val="00854EF2"/>
    <w:rsid w:val="00863B86"/>
    <w:rsid w:val="00871F69"/>
    <w:rsid w:val="008842D0"/>
    <w:rsid w:val="00884AC4"/>
    <w:rsid w:val="0088579D"/>
    <w:rsid w:val="008A7953"/>
    <w:rsid w:val="008B3081"/>
    <w:rsid w:val="008B32D4"/>
    <w:rsid w:val="008C7AD0"/>
    <w:rsid w:val="008D0020"/>
    <w:rsid w:val="008D3C38"/>
    <w:rsid w:val="008D6A05"/>
    <w:rsid w:val="008E2AE5"/>
    <w:rsid w:val="008E3F89"/>
    <w:rsid w:val="008F26CB"/>
    <w:rsid w:val="008F6509"/>
    <w:rsid w:val="008F79D9"/>
    <w:rsid w:val="009027C8"/>
    <w:rsid w:val="0093467A"/>
    <w:rsid w:val="0094155C"/>
    <w:rsid w:val="00951531"/>
    <w:rsid w:val="00960A3B"/>
    <w:rsid w:val="00967DE0"/>
    <w:rsid w:val="00971E07"/>
    <w:rsid w:val="00980944"/>
    <w:rsid w:val="00986D77"/>
    <w:rsid w:val="009943EC"/>
    <w:rsid w:val="009A32D5"/>
    <w:rsid w:val="009B6012"/>
    <w:rsid w:val="009C102D"/>
    <w:rsid w:val="009C2A4F"/>
    <w:rsid w:val="009D4C59"/>
    <w:rsid w:val="009D7F91"/>
    <w:rsid w:val="009E20EF"/>
    <w:rsid w:val="009E26EE"/>
    <w:rsid w:val="009F21A2"/>
    <w:rsid w:val="00A32FBF"/>
    <w:rsid w:val="00A407EA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6E76"/>
    <w:rsid w:val="00AE3EAA"/>
    <w:rsid w:val="00AE5EDF"/>
    <w:rsid w:val="00B14F7F"/>
    <w:rsid w:val="00B16EB9"/>
    <w:rsid w:val="00B22F24"/>
    <w:rsid w:val="00B22F53"/>
    <w:rsid w:val="00B24DBE"/>
    <w:rsid w:val="00B34EB2"/>
    <w:rsid w:val="00B517C3"/>
    <w:rsid w:val="00B518B2"/>
    <w:rsid w:val="00B526EA"/>
    <w:rsid w:val="00B536FE"/>
    <w:rsid w:val="00B73FFA"/>
    <w:rsid w:val="00B874F1"/>
    <w:rsid w:val="00BC1DE7"/>
    <w:rsid w:val="00BC2C67"/>
    <w:rsid w:val="00BC54BC"/>
    <w:rsid w:val="00BC5AEE"/>
    <w:rsid w:val="00BD6029"/>
    <w:rsid w:val="00BE0541"/>
    <w:rsid w:val="00BE1ADB"/>
    <w:rsid w:val="00C070DE"/>
    <w:rsid w:val="00C26DFB"/>
    <w:rsid w:val="00C273FA"/>
    <w:rsid w:val="00C30D06"/>
    <w:rsid w:val="00C42067"/>
    <w:rsid w:val="00C432D0"/>
    <w:rsid w:val="00C4398E"/>
    <w:rsid w:val="00C54185"/>
    <w:rsid w:val="00C60B4A"/>
    <w:rsid w:val="00C65BDB"/>
    <w:rsid w:val="00C71A3B"/>
    <w:rsid w:val="00C76CFA"/>
    <w:rsid w:val="00C963F8"/>
    <w:rsid w:val="00C96BB1"/>
    <w:rsid w:val="00CA2F80"/>
    <w:rsid w:val="00CB0C2A"/>
    <w:rsid w:val="00CC4B2B"/>
    <w:rsid w:val="00CC579C"/>
    <w:rsid w:val="00CC5F5F"/>
    <w:rsid w:val="00CD3460"/>
    <w:rsid w:val="00CD4B61"/>
    <w:rsid w:val="00CD5043"/>
    <w:rsid w:val="00CE2928"/>
    <w:rsid w:val="00CE314A"/>
    <w:rsid w:val="00D01C50"/>
    <w:rsid w:val="00D11B24"/>
    <w:rsid w:val="00D11C18"/>
    <w:rsid w:val="00D133C8"/>
    <w:rsid w:val="00D14DB8"/>
    <w:rsid w:val="00D244D5"/>
    <w:rsid w:val="00D2776A"/>
    <w:rsid w:val="00D413DB"/>
    <w:rsid w:val="00D420E2"/>
    <w:rsid w:val="00D4459D"/>
    <w:rsid w:val="00D573F9"/>
    <w:rsid w:val="00D6058B"/>
    <w:rsid w:val="00D63EC5"/>
    <w:rsid w:val="00D64BC3"/>
    <w:rsid w:val="00D72C05"/>
    <w:rsid w:val="00D735BF"/>
    <w:rsid w:val="00D77672"/>
    <w:rsid w:val="00D80222"/>
    <w:rsid w:val="00D847CF"/>
    <w:rsid w:val="00DA0A99"/>
    <w:rsid w:val="00DA7603"/>
    <w:rsid w:val="00DA7E39"/>
    <w:rsid w:val="00DA7EDE"/>
    <w:rsid w:val="00DC0AB5"/>
    <w:rsid w:val="00DC3451"/>
    <w:rsid w:val="00DC50EB"/>
    <w:rsid w:val="00DD19F4"/>
    <w:rsid w:val="00DD3FA0"/>
    <w:rsid w:val="00DE5B2D"/>
    <w:rsid w:val="00DE5CE9"/>
    <w:rsid w:val="00E03064"/>
    <w:rsid w:val="00E04BD5"/>
    <w:rsid w:val="00E070D2"/>
    <w:rsid w:val="00E1539C"/>
    <w:rsid w:val="00E162B6"/>
    <w:rsid w:val="00E16E01"/>
    <w:rsid w:val="00E24A50"/>
    <w:rsid w:val="00E31469"/>
    <w:rsid w:val="00E35639"/>
    <w:rsid w:val="00E432CC"/>
    <w:rsid w:val="00E50711"/>
    <w:rsid w:val="00E60AD3"/>
    <w:rsid w:val="00E60EDA"/>
    <w:rsid w:val="00E62BBC"/>
    <w:rsid w:val="00E9503C"/>
    <w:rsid w:val="00E956D9"/>
    <w:rsid w:val="00EA1958"/>
    <w:rsid w:val="00EA29F5"/>
    <w:rsid w:val="00EA482D"/>
    <w:rsid w:val="00EB5FE6"/>
    <w:rsid w:val="00EB61A5"/>
    <w:rsid w:val="00EB6C1B"/>
    <w:rsid w:val="00EB7A09"/>
    <w:rsid w:val="00EC5AF4"/>
    <w:rsid w:val="00ED661C"/>
    <w:rsid w:val="00EE41B5"/>
    <w:rsid w:val="00EE66C9"/>
    <w:rsid w:val="00EF11A9"/>
    <w:rsid w:val="00EF38E1"/>
    <w:rsid w:val="00EF749A"/>
    <w:rsid w:val="00EF771E"/>
    <w:rsid w:val="00F02565"/>
    <w:rsid w:val="00F05542"/>
    <w:rsid w:val="00F06855"/>
    <w:rsid w:val="00F17A2C"/>
    <w:rsid w:val="00F26708"/>
    <w:rsid w:val="00F45608"/>
    <w:rsid w:val="00F511EE"/>
    <w:rsid w:val="00F558E7"/>
    <w:rsid w:val="00F62016"/>
    <w:rsid w:val="00F63F44"/>
    <w:rsid w:val="00F6746D"/>
    <w:rsid w:val="00F811CD"/>
    <w:rsid w:val="00F82D8F"/>
    <w:rsid w:val="00F83F62"/>
    <w:rsid w:val="00F9711D"/>
    <w:rsid w:val="00FA75E0"/>
    <w:rsid w:val="00FB20B1"/>
    <w:rsid w:val="00FB3AB4"/>
    <w:rsid w:val="00FC35EC"/>
    <w:rsid w:val="00FC56A4"/>
    <w:rsid w:val="00FD3D06"/>
    <w:rsid w:val="00FD5662"/>
    <w:rsid w:val="00FD72B6"/>
    <w:rsid w:val="00FE00AD"/>
    <w:rsid w:val="00FE206E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ao5.tst.jus.br/consultaProcessual/consultaTstNumUnica.do?consulta=Consultar&amp;conscsjt=&amp;numeroTst=10028&amp;digitoTst=29&amp;anoTst=2013&amp;orgaoTst=5&amp;tribunalTst=08&amp;varaTst=000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licacao5.tst.jus.br/consultaProcessual/consultaTstNumUnica.do?consulta=Consultar&amp;conscsjt=&amp;numeroTst=59000&amp;digitoTst=67&amp;anoTst=2005&amp;orgaoTst=5&amp;tribunalTst=01&amp;varaTst=00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cacao5.tst.jus.br/consultaProcessual/consultaTstNumUnica.do?consulta=Consultar&amp;conscsjt=&amp;numeroTst=12&amp;digitoTst=47&amp;anoTst=2012&amp;orgaoTst=5&amp;tribunalTst=04&amp;varaTst=05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plicacao5.tst.jus.br/consultaProcessual/consultaTstNumUnica.do?consulta=Consultar&amp;conscsjt=&amp;numeroTst=56200&amp;digitoTst=94&amp;anoTst=2006&amp;orgaoTst=5&amp;tribunalTst=17&amp;varaTst=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ao5.tst.jus.br/consultaProcessual/consultaTstNumUnica.do?consulta=Consultar&amp;conscsjt=&amp;numeroTst=869&amp;digitoTst=11&amp;anoTst=2011&amp;orgaoTst=5&amp;tribunalTst=04&amp;varaTst=0302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3156-F96B-4A46-8E8A-0BB532E8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1338</Words>
  <Characters>7228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8549</CharactersWithSpaces>
  <SharedDoc>false</SharedDoc>
  <HLinks>
    <vt:vector size="30" baseType="variant"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https://aplicacao5.tst.jus.br/consultaProcessual/consultaTstNumUnica.do?consulta=Consultar&amp;conscsjt=&amp;numeroTst=59000&amp;digitoTst=67&amp;anoTst=2005&amp;orgaoTst=5&amp;tribunalTst=01&amp;varaTst=0012</vt:lpwstr>
      </vt:variant>
      <vt:variant>
        <vt:lpwstr/>
      </vt:variant>
      <vt:variant>
        <vt:i4>5832778</vt:i4>
      </vt:variant>
      <vt:variant>
        <vt:i4>9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https://aplicacao5.tst.jus.br/consultaProcessual/consultaTstNumUnica.do?consulta=Consultar&amp;conscsjt=&amp;numeroTst=12&amp;digitoTst=47&amp;anoTst=2012&amp;orgaoTst=5&amp;tribunalTst=04&amp;varaTst=0522</vt:lpwstr>
      </vt:variant>
      <vt:variant>
        <vt:lpwstr/>
      </vt:variant>
      <vt:variant>
        <vt:i4>1114119</vt:i4>
      </vt:variant>
      <vt:variant>
        <vt:i4>6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https://aplicacao5.tst.jus.br/consultaProcessual/consultaTstNumUnica.do?consulta=Consultar&amp;conscsjt=&amp;numeroTst=56200&amp;digitoTst=94&amp;anoTst=2006&amp;orgaoTst=5&amp;tribunalTst=17&amp;varaTst=0009</vt:lpwstr>
      </vt:variant>
      <vt:variant>
        <vt:lpwstr/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https://aplicacao5.tst.jus.br/consultaProcessual/consultaTstNumUnica.do?consulta=Consultar&amp;conscsjt=&amp;numeroTst=869&amp;digitoTst=11&amp;anoTst=2011&amp;orgaoTst=5&amp;tribunalTst=04&amp;varaTst=0302</vt:lpwstr>
      </vt:variant>
      <vt:variant>
        <vt:lpwstr/>
      </vt:variant>
      <vt:variant>
        <vt:i4>1900548</vt:i4>
      </vt:variant>
      <vt:variant>
        <vt:i4>0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https://aplicacao5.tst.jus.br/consultaProcessual/consultaTstNumUnica.do?consulta=Consultar&amp;conscsjt=&amp;numeroTst=10028&amp;digitoTst=29&amp;anoTst=2013&amp;orgaoTst=5&amp;tribunalTst=08&amp;varaTst=0000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2015-03-19T20:01:00Z</cp:lastPrinted>
  <dcterms:created xsi:type="dcterms:W3CDTF">2018-06-27T21:49:00Z</dcterms:created>
  <dcterms:modified xsi:type="dcterms:W3CDTF">2018-06-27T21:49:00Z</dcterms:modified>
</cp:coreProperties>
</file>