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C71A3B" w:rsidRPr="00C54185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10"/>
          <w:szCs w:val="10"/>
          <w:lang w:val="pt-BR"/>
        </w:rPr>
      </w:pPr>
    </w:p>
    <w:p w:rsidR="00631F1C" w:rsidRPr="00971E07" w:rsidRDefault="00BC54B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</w:p>
    <w:p w:rsidR="004477EC" w:rsidRPr="00BC54BC" w:rsidRDefault="004477EC" w:rsidP="004A094C">
      <w:pPr>
        <w:jc w:val="both"/>
        <w:rPr>
          <w:b/>
          <w:bCs/>
          <w:i/>
        </w:rPr>
      </w:pPr>
    </w:p>
    <w:p w:rsidR="00BC54BC" w:rsidRDefault="00BC54BC" w:rsidP="00BC54B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Mandado de segurança. Servidor público federal. Filho portador de deficiência. Jornada especial sem compensação de horário. Ausên</w:t>
      </w:r>
      <w:r w:rsidR="00163142">
        <w:rPr>
          <w:b/>
          <w:i/>
          <w:sz w:val="24"/>
          <w:szCs w:val="24"/>
        </w:rPr>
        <w:t xml:space="preserve">cia de direito líquido e certo. </w:t>
      </w:r>
      <w:r>
        <w:rPr>
          <w:b/>
          <w:i/>
          <w:sz w:val="24"/>
          <w:szCs w:val="24"/>
        </w:rPr>
        <w:t xml:space="preserve">Ato vinculado. Limites estabelecidos nos arts. 44, II, e 98, § 3º, da Lei nº 8.112/90. </w:t>
      </w:r>
    </w:p>
    <w:p w:rsidR="00BC54BC" w:rsidRPr="004D4497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 acordo com os </w:t>
      </w:r>
      <w:r w:rsidRPr="00AB6332">
        <w:rPr>
          <w:rFonts w:ascii="Times New Roman" w:hAnsi="Times New Roman"/>
          <w:lang w:val="pt-BR"/>
        </w:rPr>
        <w:t xml:space="preserve">arts.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44, II, e 98, § 3º, da Lei nº 8.112/1990, o servidor público federal </w:t>
      </w:r>
      <w:r w:rsidRPr="00AB6332">
        <w:rPr>
          <w:rFonts w:ascii="Times New Roman" w:hAnsi="Times New Roman"/>
          <w:lang w:val="pt-BR"/>
        </w:rPr>
        <w:t>que tenha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cônjuge, filho ou dependente portador de deficiência tem direito à jornada especial</w:t>
      </w:r>
      <w:r w:rsidRPr="00BC54BC">
        <w:rPr>
          <w:rFonts w:ascii="Times New Roman" w:hAnsi="Times New Roman"/>
          <w:lang w:val="pt-BR"/>
        </w:rPr>
        <w:t>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exigindo-se, todavia, compensação de horário até o mês subsequente ao da ocorrência, a ser estabelecida pela chefia imediata.</w:t>
      </w:r>
      <w:r w:rsidRPr="00BC54BC">
        <w:rPr>
          <w:rFonts w:ascii="Times New Roman" w:hAnsi="Times New Roman"/>
          <w:lang w:val="pt-BR"/>
        </w:rPr>
        <w:t xml:space="preserve"> Assim, havendo lei a impor a compensação, o mandado de segurança não se constitui a via adequada para a solução do litígio, não havendo falar em direito líquido e certo da impetrante à jornada especial de trinta horas semanais, sem compensação e sem prejuízo da remuneração. </w:t>
      </w:r>
      <w:r w:rsidRPr="00F74574">
        <w:rPr>
          <w:rFonts w:ascii="Times New Roman" w:hAnsi="Times New Roman"/>
          <w:lang w:val="pt-BR"/>
        </w:rPr>
        <w:t>Na espécie, ressaltou-se que</w:t>
      </w:r>
      <w:r>
        <w:rPr>
          <w:rFonts w:ascii="Times New Roman" w:hAnsi="Times New Roman"/>
          <w:lang w:val="pt-BR"/>
        </w:rPr>
        <w:t xml:space="preserve"> a diminuição de jornada</w:t>
      </w:r>
      <w:r w:rsidRPr="00F74574">
        <w:rPr>
          <w:rFonts w:ascii="Times New Roman" w:hAnsi="Times New Roman"/>
          <w:lang w:val="pt-BR"/>
        </w:rPr>
        <w:t xml:space="preserve"> constitui ato vinculado, de modo que a autoridade coatora, ao indeferir o pedido de não compensação das horas reduzidas, apenas observou os limites do art. 98, § 3º, da Lei nº 8.112/90, não tendo praticado ato ilegal ou arbitrário, atendo-se, tão somente, ao princípio constitucional da legalidade administrativa. </w:t>
      </w:r>
      <w:r w:rsidRPr="00BC54BC">
        <w:rPr>
          <w:rFonts w:ascii="Times New Roman" w:hAnsi="Times New Roman"/>
          <w:lang w:val="pt-BR"/>
        </w:rPr>
        <w:t xml:space="preserve">Ademais, a dispensa de compensação no caso da concessão de jornada especial é matéria própria da via ordinária, em que parte da jurisprudência, inclusive, já tem reconhecido o direito pleiteado. Com esses fundamentos, o Órgão Especial, por maioria, conheceu do recurso ordinário interposto pela União e, no mérito, deu-lhe provimento para cassar a segurança concedida. Vencidos os Ministros Mauricio Godinho Delgado, Delaíde Miranda Arantes, Hugo Carlos Scheuermann, Alexandre Agra Belmonte e Augusto César Leite de Carvalho. </w:t>
      </w:r>
      <w:hyperlink r:id="rId8" w:history="1">
        <w:r w:rsidRPr="00FC35EC">
          <w:rPr>
            <w:rStyle w:val="Hyperlink"/>
            <w:rFonts w:ascii="Times New Roman" w:eastAsia="Calibri" w:hAnsi="Times New Roman"/>
            <w:lang w:val="pt-BR" w:eastAsia="en-US"/>
          </w:rPr>
          <w:t>TST-ReeNec e RO-41-80.2014.5.17.0000</w:t>
        </w:r>
      </w:hyperlink>
      <w:r w:rsidRPr="004D4497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Órgão Especial, rel. Min. Walmir Oliveira da Costa, 2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.</w:t>
      </w:r>
      <w:r w:rsidRPr="004D4497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3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.</w:t>
      </w:r>
      <w:r w:rsidRPr="004D4497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2015</w:t>
      </w:r>
    </w:p>
    <w:p w:rsidR="006456B1" w:rsidRPr="00BC54BC" w:rsidRDefault="006456B1" w:rsidP="00C54185">
      <w:pPr>
        <w:pStyle w:val="EXPLICAO"/>
        <w:spacing w:line="240" w:lineRule="auto"/>
        <w:ind w:left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54185" w:rsidRPr="00971E07" w:rsidRDefault="00C54185" w:rsidP="00C5418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C26DFB" w:rsidRPr="00BC54BC" w:rsidRDefault="00C26DFB">
      <w:pPr>
        <w:jc w:val="both"/>
        <w:rPr>
          <w:u w:val="single"/>
        </w:rPr>
      </w:pPr>
    </w:p>
    <w:p w:rsidR="00BC54BC" w:rsidRPr="00895CC6" w:rsidRDefault="00BC54BC" w:rsidP="00BC54B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Acordo</w:t>
      </w:r>
      <w:r w:rsidRPr="00895CC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Quitação ampla ao extinto contrato de trabalho. Nova reclamação pleiteando diferenças de c</w:t>
      </w:r>
      <w:r w:rsidR="00163142">
        <w:rPr>
          <w:b/>
          <w:i/>
          <w:sz w:val="24"/>
          <w:szCs w:val="24"/>
        </w:rPr>
        <w:t xml:space="preserve">omplementação de aposentadoria. Ofensa à coisa julgada. </w:t>
      </w:r>
      <w:r>
        <w:rPr>
          <w:b/>
          <w:i/>
          <w:sz w:val="24"/>
          <w:szCs w:val="24"/>
        </w:rPr>
        <w:t>Não configuração.</w:t>
      </w: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Não obstante celebrado acordo nos autos de reclamação trabalhista anterior, conferindo quitação ampla, geral e irrestrita das parcelas trabalhistas, não ofende a coisa julgada a concessão de diferenças de complementação de aposentadoria nos autos de demanda posterior, porquanto o benefício previdenciário postulado, embora decorrente do contrato de trabalho, tem natureza jurídica diversa. Assim, não há falar em identidade entre as ações, por falta de correspondência entre os pedidos e entre as causas de pedir, não podendo ter o acordo judicial entabulado a amplitude pretendida, quitando direitos alheios àqueles debatidos na primeira demanda, e que, ademais, são regidos pelo regulamento da entidade previdenciária e não pela legislação trabalhista. Assim, não vislumbrando contrariedade à Orientação Jurisprudencial nº 132 da SBDI-II, a SBDI-I, por maioria, não conheceu dos embargos dos reclamados. Vencidos os Ministros Dora Maria da Costa, relatora, João Oreste Dalazen, Brito Pereira e Lelio Bentes Corrêa. </w:t>
      </w:r>
      <w:hyperlink r:id="rId9" w:history="1">
        <w:r w:rsidRPr="00FC35EC">
          <w:rPr>
            <w:rStyle w:val="Hyperlink"/>
            <w:rFonts w:ascii="Times New Roman" w:hAnsi="Times New Roman" w:cs="Courier New"/>
            <w:lang w:val="pt-BR"/>
          </w:rPr>
          <w:t>TST-E-RR-1221-35.2010.5.09.0020</w:t>
        </w:r>
      </w:hyperlink>
      <w:r w:rsidRPr="00895CC6">
        <w:rPr>
          <w:rFonts w:ascii="Times New Roman" w:hAnsi="Times New Roman"/>
          <w:u w:val="single"/>
          <w:lang w:val="pt-BR"/>
        </w:rPr>
        <w:t>, SBDI-I, rel</w:t>
      </w:r>
      <w:r>
        <w:rPr>
          <w:rFonts w:ascii="Times New Roman" w:hAnsi="Times New Roman"/>
          <w:u w:val="single"/>
          <w:lang w:val="pt-BR"/>
        </w:rPr>
        <w:t xml:space="preserve">. Min. Dora Maria da Costa, red. p/ acórdão Min. </w:t>
      </w:r>
      <w:r w:rsidRPr="00895CC6">
        <w:rPr>
          <w:rFonts w:ascii="Times New Roman" w:hAnsi="Times New Roman"/>
          <w:u w:val="single"/>
          <w:lang w:val="pt-BR"/>
        </w:rPr>
        <w:t xml:space="preserve">Aloysio Corrêa da Veiga, </w:t>
      </w:r>
      <w:r>
        <w:rPr>
          <w:rFonts w:ascii="Times New Roman" w:hAnsi="Times New Roman"/>
          <w:u w:val="single"/>
          <w:lang w:val="pt-BR"/>
        </w:rPr>
        <w:t>12.2.15</w:t>
      </w:r>
    </w:p>
    <w:p w:rsidR="00BC54BC" w:rsidRPr="00BC54BC" w:rsidRDefault="00BC54BC" w:rsidP="00C54185">
      <w:pPr>
        <w:jc w:val="both"/>
      </w:pPr>
    </w:p>
    <w:p w:rsidR="00BC54BC" w:rsidRPr="00B43301" w:rsidRDefault="00BC54BC" w:rsidP="00BC54BC">
      <w:pPr>
        <w:jc w:val="both"/>
        <w:rPr>
          <w:b/>
          <w:i/>
          <w:sz w:val="24"/>
          <w:szCs w:val="24"/>
        </w:rPr>
      </w:pPr>
      <w:r w:rsidRPr="00B43301">
        <w:rPr>
          <w:b/>
          <w:i/>
          <w:sz w:val="24"/>
          <w:szCs w:val="24"/>
        </w:rPr>
        <w:t xml:space="preserve">Dano moral coletivo. Caracterização. Conduta antissindical. Convenção coletiva de trabalho. Financiamento do sindicato profissional com recursos provenientes do empregador.  </w:t>
      </w:r>
    </w:p>
    <w:p w:rsidR="00BC54BC" w:rsidRPr="00B43301" w:rsidRDefault="00BC54BC" w:rsidP="00BC54BC">
      <w:pPr>
        <w:jc w:val="both"/>
        <w:rPr>
          <w:b/>
          <w:i/>
          <w:sz w:val="24"/>
          <w:szCs w:val="24"/>
        </w:rPr>
      </w:pPr>
      <w:r w:rsidRPr="00B43301">
        <w:rPr>
          <w:sz w:val="24"/>
          <w:szCs w:val="24"/>
        </w:rPr>
        <w:lastRenderedPageBreak/>
        <w:t>O financiamento do sindicato profissional com recursos provenientes do empregador (taxa negocial), conforme firmado em cláusula de convenção coletiva de trabalho, configura conduta antissindical que, ao impossibilitar a autonomia da negociação coletiva, fragiliza o sistema sindical e a relação entre empregados e empregadores, ensejando, portanto, a reparação por dano moral coletivo. Na espécie, registrou-se que, embora a cláusula em questão tenha sido suspensa por força de liminar requerida pelo Ministério Público do Trabalho nos autos de ação civil pública, restou caracterizada a conduta ilícita, de modo que a inexistência de efetiva lesão não afasta a necessidade de reparação, sob pena de retirar a proteção jurídica dos direitos coletivos. Com esse entendimento, a SBDI-I, por unanimidade, conheceu dos embargos interpostos pelo MPT, por divergência jurisprudencial e, no mérito, deu-lhes provimento para restabelecer o acórdão do Regional, impondo a condenação no importe de R$</w:t>
      </w:r>
      <w:r>
        <w:rPr>
          <w:sz w:val="24"/>
          <w:szCs w:val="24"/>
        </w:rPr>
        <w:t xml:space="preserve"> </w:t>
      </w:r>
      <w:r w:rsidRPr="00B43301">
        <w:rPr>
          <w:sz w:val="24"/>
          <w:szCs w:val="24"/>
        </w:rPr>
        <w:t xml:space="preserve">10.000,00 a título de dano moral coletivo. </w:t>
      </w:r>
      <w:hyperlink r:id="rId10" w:history="1">
        <w:r w:rsidRPr="00FC35EC">
          <w:rPr>
            <w:rStyle w:val="Hyperlink"/>
            <w:sz w:val="24"/>
            <w:szCs w:val="24"/>
          </w:rPr>
          <w:t>TST-E-ARR-64800-98.2008.5.15.0071</w:t>
        </w:r>
      </w:hyperlink>
      <w:r w:rsidRPr="00B43301">
        <w:rPr>
          <w:sz w:val="24"/>
          <w:szCs w:val="24"/>
          <w:u w:val="single"/>
        </w:rPr>
        <w:t xml:space="preserve">, SBDI-I, rel. Min. Aloysio Corrêa da Veiga, </w:t>
      </w:r>
      <w:r>
        <w:rPr>
          <w:sz w:val="24"/>
          <w:szCs w:val="24"/>
          <w:u w:val="single"/>
        </w:rPr>
        <w:t>12.</w:t>
      </w:r>
      <w:r w:rsidRPr="00B43301">
        <w:rPr>
          <w:sz w:val="24"/>
          <w:szCs w:val="24"/>
          <w:u w:val="single"/>
        </w:rPr>
        <w:t>2.2015</w:t>
      </w:r>
    </w:p>
    <w:p w:rsidR="00BC54BC" w:rsidRPr="00BC54BC" w:rsidRDefault="00BC54BC" w:rsidP="00C54185">
      <w:pPr>
        <w:jc w:val="both"/>
      </w:pP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Exceção de incompetência em razão do lugar. Ajuizamento de reclamação trabalhista no foro do domicílio do empregado. </w:t>
      </w:r>
      <w:r w:rsidRPr="009A261D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Aplicação ampliativa do § 3º do art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.</w:t>
      </w:r>
      <w:r w:rsidRPr="009A261D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 651 da CLT.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 Impossibilidade. Não demonstração de que a empresa demandada presta serviços em diferentes localidades do país. </w:t>
      </w: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>E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>m observância ao princípio constitucional do amplo acesso à jurisdição (art. 5º, XXXV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da CF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 xml:space="preserve">),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é possível o ajuizamento de demanda trabalhista n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 xml:space="preserve">o foro do domicílio do empregado,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desde que seja 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>mais favorável que a regra do art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651 da CLT e que fique demonstrado 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 xml:space="preserve">que a empresa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reclamada</w:t>
      </w:r>
      <w:r w:rsidRPr="00A140D4">
        <w:rPr>
          <w:rFonts w:ascii="Times New Roman" w:eastAsia="Calibri" w:hAnsi="Times New Roman" w:cs="Times New Roman"/>
          <w:color w:val="auto"/>
          <w:lang w:val="pt-BR" w:eastAsia="en-US"/>
        </w:rPr>
        <w:t xml:space="preserve"> regularmente presta serviços em diversas localidades do território nacional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No caso, </w:t>
      </w:r>
      <w:r w:rsidRPr="004B6292">
        <w:rPr>
          <w:rFonts w:ascii="Times New Roman" w:eastAsia="Calibri" w:hAnsi="Times New Roman" w:cs="Times New Roman"/>
          <w:color w:val="auto"/>
          <w:lang w:val="pt-BR" w:eastAsia="en-US"/>
        </w:rPr>
        <w:t>o reclamante foi contratado e prestou serviços na cidade de Brusque/SC, local diverso do se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u atual domicílio, Pelotas/RS, </w:t>
      </w:r>
      <w:r w:rsidRPr="004B6292">
        <w:rPr>
          <w:rFonts w:ascii="Times New Roman" w:eastAsia="Calibri" w:hAnsi="Times New Roman" w:cs="Times New Roman"/>
          <w:color w:val="auto"/>
          <w:lang w:val="pt-BR" w:eastAsia="en-US"/>
        </w:rPr>
        <w:t>onde ajuizou a reclamatória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Contudo, </w:t>
      </w:r>
      <w:r w:rsidRPr="009A261D">
        <w:rPr>
          <w:rFonts w:ascii="Times New Roman" w:eastAsia="Calibri" w:hAnsi="Times New Roman" w:cs="Times New Roman"/>
          <w:color w:val="auto"/>
          <w:lang w:val="pt-BR" w:eastAsia="en-US"/>
        </w:rPr>
        <w:t>não há notícia nos autos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de</w:t>
      </w:r>
      <w:r w:rsidRPr="009A261D">
        <w:rPr>
          <w:rFonts w:ascii="Times New Roman" w:eastAsia="Calibri" w:hAnsi="Times New Roman" w:cs="Times New Roman"/>
          <w:color w:val="auto"/>
          <w:lang w:val="pt-BR" w:eastAsia="en-US"/>
        </w:rPr>
        <w:t xml:space="preserve"> que 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empresa demandada</w:t>
      </w:r>
      <w:r w:rsidRPr="009A261D">
        <w:rPr>
          <w:rFonts w:ascii="Times New Roman" w:eastAsia="Calibri" w:hAnsi="Times New Roman" w:cs="Times New Roman"/>
          <w:color w:val="auto"/>
          <w:lang w:val="pt-BR" w:eastAsia="en-US"/>
        </w:rPr>
        <w:t xml:space="preserve"> preste serviços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em diferentes localidades do país, razão pela qual não há cogitar em aplicação ampliativa do § 3º do art. 651 da CLT, prevalecendo, portanto, a regra geral que estabelece a competência da vara do trabalho do local da prestação dos serviços. Com esse entendimento,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 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por unanimidade, conheceu dos embargos interpostos pelo reclamante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>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por divergência jurisprudencial,</w:t>
      </w:r>
      <w:r w:rsidRPr="009C5D63">
        <w:rPr>
          <w:rFonts w:ascii="Times New Roman" w:eastAsia="Calibri" w:hAnsi="Times New Roman" w:cs="Times New Roman"/>
          <w:color w:val="auto"/>
          <w:lang w:val="pt-BR" w:eastAsia="en-US"/>
        </w:rPr>
        <w:t xml:space="preserve"> e, no mérito,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por maioria, negou-lhes provimento. Vencidos os Ministros </w:t>
      </w:r>
      <w:r w:rsidRPr="00D56929">
        <w:rPr>
          <w:rFonts w:ascii="Times New Roman" w:eastAsia="Calibri" w:hAnsi="Times New Roman" w:cs="Times New Roman"/>
          <w:color w:val="auto"/>
          <w:lang w:val="pt-BR" w:eastAsia="en-US"/>
        </w:rPr>
        <w:t>José Roberto Freire Pimenta, Lelio Bentes Corrêa, Hugo Carlos Scheuermann e Cláudio Mascarenhas Brandão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11" w:history="1">
        <w:r w:rsidRPr="00FC35EC">
          <w:rPr>
            <w:rStyle w:val="Hyperlink"/>
            <w:rFonts w:ascii="Times New Roman" w:hAnsi="Times New Roman" w:cs="Courier New"/>
            <w:lang w:val="pt-BR"/>
          </w:rPr>
          <w:t>TST-E-RR-420-37.2012.5.04.0102</w:t>
        </w:r>
      </w:hyperlink>
      <w:r w:rsidRPr="009C5D63">
        <w:rPr>
          <w:rFonts w:ascii="Times New Roman" w:hAnsi="Times New Roman"/>
          <w:u w:val="single"/>
          <w:lang w:val="pt-BR"/>
        </w:rPr>
        <w:t>, SBDI-I</w:t>
      </w:r>
      <w:r>
        <w:rPr>
          <w:rFonts w:ascii="Times New Roman" w:hAnsi="Times New Roman"/>
          <w:u w:val="single"/>
          <w:lang w:val="pt-BR"/>
        </w:rPr>
        <w:t>, rel. Min. Renato de Lacerda Paiva, 19.2.2015</w:t>
      </w:r>
    </w:p>
    <w:p w:rsidR="00BC54BC" w:rsidRPr="00BC54BC" w:rsidRDefault="00BC54BC" w:rsidP="00BC54BC">
      <w:pPr>
        <w:pStyle w:val="Corpo"/>
        <w:spacing w:line="240" w:lineRule="auto"/>
        <w:ind w:firstLine="0"/>
        <w:rPr>
          <w:rFonts w:ascii="Times New Roman" w:hAnsi="Times New Roman"/>
          <w:sz w:val="20"/>
          <w:szCs w:val="20"/>
          <w:u w:val="single"/>
          <w:lang w:val="pt-BR"/>
        </w:rPr>
      </w:pPr>
    </w:p>
    <w:p w:rsidR="00BC54BC" w:rsidRDefault="00BC54BC" w:rsidP="00BC54BC">
      <w:pPr>
        <w:jc w:val="both"/>
        <w:rPr>
          <w:b/>
          <w:i/>
          <w:sz w:val="24"/>
          <w:szCs w:val="24"/>
        </w:rPr>
      </w:pPr>
      <w:r w:rsidRPr="00BD6BB5">
        <w:rPr>
          <w:b/>
          <w:i/>
          <w:sz w:val="24"/>
          <w:szCs w:val="24"/>
        </w:rPr>
        <w:t xml:space="preserve">Representação </w:t>
      </w:r>
      <w:r>
        <w:rPr>
          <w:b/>
          <w:i/>
          <w:sz w:val="24"/>
          <w:szCs w:val="24"/>
        </w:rPr>
        <w:t>s</w:t>
      </w:r>
      <w:r w:rsidRPr="00BD6BB5">
        <w:rPr>
          <w:b/>
          <w:i/>
          <w:sz w:val="24"/>
          <w:szCs w:val="24"/>
        </w:rPr>
        <w:t>indical.</w:t>
      </w:r>
      <w:r>
        <w:rPr>
          <w:b/>
          <w:i/>
          <w:sz w:val="24"/>
          <w:szCs w:val="24"/>
        </w:rPr>
        <w:t xml:space="preserve"> Sinthoresp x Sindifast. </w:t>
      </w:r>
      <w:r w:rsidRPr="00BD6BB5">
        <w:rPr>
          <w:b/>
          <w:i/>
          <w:sz w:val="24"/>
          <w:szCs w:val="24"/>
        </w:rPr>
        <w:t xml:space="preserve">Princípio </w:t>
      </w:r>
      <w:r>
        <w:rPr>
          <w:b/>
          <w:i/>
          <w:sz w:val="24"/>
          <w:szCs w:val="24"/>
        </w:rPr>
        <w:t>d</w:t>
      </w:r>
      <w:r w:rsidRPr="00BD6BB5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e</w:t>
      </w:r>
      <w:r w:rsidRPr="00BD6BB5">
        <w:rPr>
          <w:b/>
          <w:i/>
          <w:sz w:val="24"/>
          <w:szCs w:val="24"/>
        </w:rPr>
        <w:t xml:space="preserve">specificidade. </w:t>
      </w:r>
      <w:r>
        <w:rPr>
          <w:b/>
          <w:i/>
          <w:sz w:val="24"/>
          <w:szCs w:val="24"/>
        </w:rPr>
        <w:t xml:space="preserve">Prevalência. </w:t>
      </w:r>
      <w:r w:rsidRPr="00BD6BB5">
        <w:rPr>
          <w:b/>
          <w:i/>
          <w:sz w:val="24"/>
          <w:szCs w:val="24"/>
        </w:rPr>
        <w:t>Art</w:t>
      </w:r>
      <w:r>
        <w:rPr>
          <w:b/>
          <w:i/>
          <w:sz w:val="24"/>
          <w:szCs w:val="24"/>
        </w:rPr>
        <w:t xml:space="preserve">. </w:t>
      </w:r>
      <w:r w:rsidRPr="00BD6BB5">
        <w:rPr>
          <w:b/>
          <w:i/>
          <w:sz w:val="24"/>
          <w:szCs w:val="24"/>
        </w:rPr>
        <w:t>57</w:t>
      </w:r>
      <w:r>
        <w:rPr>
          <w:b/>
          <w:i/>
          <w:sz w:val="24"/>
          <w:szCs w:val="24"/>
        </w:rPr>
        <w:t>0</w:t>
      </w:r>
      <w:r w:rsidRPr="00BD6BB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 w:rsidRPr="00BD6BB5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CLT</w:t>
      </w:r>
      <w:r w:rsidRPr="00BD6BB5">
        <w:rPr>
          <w:b/>
          <w:i/>
          <w:sz w:val="24"/>
          <w:szCs w:val="24"/>
        </w:rPr>
        <w:t>.</w:t>
      </w: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 w:rsidRPr="00521D93">
        <w:rPr>
          <w:rFonts w:ascii="Times New Roman" w:eastAsia="Calibri" w:hAnsi="Times New Roman" w:cs="Times New Roman"/>
          <w:color w:val="auto"/>
          <w:lang w:val="pt-BR" w:eastAsia="en-US"/>
        </w:rPr>
        <w:t>O critério definidor do enquadramento sindical é o da especificidade, previsto no art. 570 da CLT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de modo que o critério da agregação tem caráter subsidiário, aplicando-se apenas quando não for possível aos exercentes de quaisquer atividades ou profissões se sindicalizarem eficientemente com base na especificidade</w:t>
      </w:r>
      <w:r w:rsidRPr="00521D93"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Nesse sentido, e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>m ação de cobrança de contribuição sindical ajuizada pelo 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inthoresp 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(Sindicato dos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Trabalhadores em H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otéis,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part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H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otéis,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M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otéis,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F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lats,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ensões,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H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ospedarias,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ousadas,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R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estaurantes,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hurrascarias,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antinas,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izzarias,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B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ares,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Lanchonetes, S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orveterias,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onfeitarias,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Docerias, B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uffets,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F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 xml:space="preserve">ast-foods e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Assemelhados de São Paulo e R</w:t>
      </w:r>
      <w:r w:rsidRPr="009B6D5B">
        <w:rPr>
          <w:rFonts w:ascii="Times New Roman" w:eastAsia="Calibri" w:hAnsi="Times New Roman" w:cs="Times New Roman"/>
          <w:color w:val="auto"/>
          <w:lang w:val="pt-BR" w:eastAsia="en-US"/>
        </w:rPr>
        <w:t>egião) em face da empresa Burger King do Brasil S.A. – BGK, decidiu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-se que a legitimidade para representar os empregados da empresa que atua no ramo de refeições rápidas é do Sindifast (Sindicato dos Trabalhadores nas Empresas de Refeições Rápidas (Fast Food) de São Paulo), pois não é possível imaginar que as condições de trabalho em restaurantes à </w:t>
      </w:r>
      <w:r>
        <w:rPr>
          <w:rFonts w:ascii="Times New Roman" w:eastAsia="Calibri" w:hAnsi="Times New Roman" w:cs="Times New Roman"/>
          <w:i/>
          <w:color w:val="auto"/>
          <w:lang w:val="pt-BR" w:eastAsia="en-US"/>
        </w:rPr>
        <w:t>la carte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possam ser identificadas com aquelas típicas de estabelecimentos </w:t>
      </w:r>
      <w:r>
        <w:rPr>
          <w:rFonts w:ascii="Times New Roman" w:eastAsia="Calibri" w:hAnsi="Times New Roman" w:cs="Times New Roman"/>
          <w:i/>
          <w:color w:val="auto"/>
          <w:lang w:val="pt-BR" w:eastAsia="en-US"/>
        </w:rPr>
        <w:t>fast food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em que não há sequer o sistema de gorjetas. Com esses fundamentos, a SBDI-I, por unanimidade, rejeitou a preliminar de ilegitimidade recursal arguida em impugnação, conheceu dos embargos interpostos pelo Sindifast, por divergência jurisprudencial, e, no mérito, deu-lhes provimento para julgar improcedente a ação de cobrança ajuizada pelo Sinthoresp e restabelecer a sentença. Ressalvaram entendimento os Ministros Ives Gandra Martins Filho, Luiz Philippe Vieira de Mello Filho e Augusto César Leite de Carvalho. </w:t>
      </w:r>
      <w:hyperlink r:id="rId12" w:history="1">
        <w:r w:rsidRPr="00FC35EC">
          <w:rPr>
            <w:rStyle w:val="Hyperlink"/>
            <w:rFonts w:ascii="Times New Roman" w:eastAsia="Calibri" w:hAnsi="Times New Roman"/>
            <w:lang w:val="pt-BR" w:eastAsia="en-US"/>
          </w:rPr>
          <w:t>TST-E-ED-RR-880-42.2010.5.02.0072</w:t>
        </w:r>
      </w:hyperlink>
      <w:r w:rsidRPr="00C16F49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SBDI-I, rel. Min. Alexandre Agra Belmonte, 26.2.2015</w:t>
      </w: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</w:p>
    <w:p w:rsidR="00BC54BC" w:rsidRPr="00C75778" w:rsidRDefault="00BC54BC" w:rsidP="00BC54BC">
      <w:pPr>
        <w:jc w:val="both"/>
        <w:rPr>
          <w:b/>
          <w:i/>
          <w:sz w:val="24"/>
          <w:szCs w:val="24"/>
        </w:rPr>
      </w:pPr>
      <w:r w:rsidRPr="00C75778">
        <w:rPr>
          <w:b/>
          <w:i/>
          <w:sz w:val="24"/>
          <w:szCs w:val="24"/>
        </w:rPr>
        <w:lastRenderedPageBreak/>
        <w:t>Divergência jurisprudencial. Exigência de confronto analítico entre as decisões discordantes. Súmula nº 337, I, “b”, do TST.</w:t>
      </w:r>
    </w:p>
    <w:p w:rsidR="00BC54BC" w:rsidRPr="00C75778" w:rsidRDefault="00BC54BC" w:rsidP="00BC54BC">
      <w:pPr>
        <w:jc w:val="both"/>
        <w:rPr>
          <w:sz w:val="24"/>
          <w:szCs w:val="24"/>
        </w:rPr>
      </w:pPr>
      <w:r w:rsidRPr="00C75778">
        <w:rPr>
          <w:sz w:val="24"/>
          <w:szCs w:val="24"/>
        </w:rPr>
        <w:t xml:space="preserve">Para a demonstração de divergência jurisprudencial justificadora do recurso, não é suficiente que o recorrente apenas transcreva a ementa de aresto potencialmente discordante do acórdão atacado, sendo indispensável que haja o confronto analítico de teses, conforme exigido pela Súmula nº 337, I, "b", do TST. No caso, ao interpor o recurso de revista, o recorrente limitou-se a reproduzir as ementas dos arestos paradigmas, com o registro da origem e fonte de publicação, sem, contudo, apresentar argumentação que comprovasse o conflito entre a tese neles fixada e a contida na decisão do TRT, tendo alegado que não haveria propriamente a exigência de cotejo analítico na apresentação dos arestos.  Nesse contexto, a SBDI-I, por unanimidade, não conheceu dos embargos do reclamado, destacando que a indicação de contrariedade à Súmula nº 337 do TST, de caráter processual, só viabiliza o conhecimento do recurso de embargos quando a decisão embargada nega a existência da tese consagrada no enunciado da própria súmula, o que não se verificou na hipótese, e que os julgados colacionados eram inespecíficos, não atendendo, portanto, ao disposto no item I da Súmula nº 296 do TST. </w:t>
      </w:r>
      <w:hyperlink r:id="rId13" w:history="1">
        <w:r w:rsidRPr="00FC35EC">
          <w:rPr>
            <w:rStyle w:val="Hyperlink"/>
            <w:sz w:val="24"/>
            <w:szCs w:val="24"/>
          </w:rPr>
          <w:t>TST-E-ED-RR-33200-08.2004.5.04.0006</w:t>
        </w:r>
      </w:hyperlink>
      <w:r w:rsidRPr="00C75778">
        <w:rPr>
          <w:sz w:val="24"/>
          <w:szCs w:val="24"/>
          <w:u w:val="single"/>
        </w:rPr>
        <w:t>, SBDI-</w:t>
      </w:r>
      <w:r w:rsidR="00FC35EC">
        <w:rPr>
          <w:sz w:val="24"/>
          <w:szCs w:val="24"/>
          <w:u w:val="single"/>
        </w:rPr>
        <w:t>I</w:t>
      </w:r>
      <w:r w:rsidRPr="00C75778">
        <w:rPr>
          <w:sz w:val="24"/>
          <w:szCs w:val="24"/>
          <w:u w:val="single"/>
        </w:rPr>
        <w:t>, rel. Min. Augusto César Leite de Carvalho, 26.2.2015</w:t>
      </w:r>
    </w:p>
    <w:p w:rsidR="00BC54BC" w:rsidRPr="00BC54BC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val="pt-BR" w:eastAsia="en-US"/>
        </w:rPr>
      </w:pPr>
    </w:p>
    <w:p w:rsidR="00BC54BC" w:rsidRPr="00EA0BF0" w:rsidRDefault="00BC54BC" w:rsidP="00BC54BC">
      <w:pPr>
        <w:jc w:val="both"/>
        <w:rPr>
          <w:b/>
          <w:i/>
          <w:snapToGrid w:val="0"/>
          <w:color w:val="000000"/>
          <w:sz w:val="24"/>
        </w:rPr>
      </w:pPr>
      <w:r w:rsidRPr="00EA0BF0">
        <w:rPr>
          <w:b/>
          <w:i/>
          <w:snapToGrid w:val="0"/>
          <w:color w:val="000000"/>
          <w:sz w:val="24"/>
        </w:rPr>
        <w:t xml:space="preserve">Turnos ininterruptos de revezamento. </w:t>
      </w:r>
      <w:r>
        <w:rPr>
          <w:b/>
          <w:i/>
          <w:snapToGrid w:val="0"/>
          <w:color w:val="000000"/>
          <w:sz w:val="24"/>
        </w:rPr>
        <w:t xml:space="preserve">Regime de 4X2. Norma coletiva. Fixação de </w:t>
      </w:r>
      <w:r w:rsidRPr="00EA0BF0">
        <w:rPr>
          <w:b/>
          <w:i/>
          <w:snapToGrid w:val="0"/>
          <w:color w:val="000000"/>
          <w:sz w:val="24"/>
        </w:rPr>
        <w:t xml:space="preserve">jornada </w:t>
      </w:r>
      <w:r>
        <w:rPr>
          <w:b/>
          <w:i/>
          <w:snapToGrid w:val="0"/>
          <w:color w:val="000000"/>
          <w:sz w:val="24"/>
        </w:rPr>
        <w:t xml:space="preserve">superior a </w:t>
      </w:r>
      <w:r w:rsidRPr="00EA0BF0">
        <w:rPr>
          <w:b/>
          <w:i/>
          <w:snapToGrid w:val="0"/>
          <w:color w:val="000000"/>
          <w:sz w:val="24"/>
        </w:rPr>
        <w:t>oito horas. Invalidade.</w:t>
      </w:r>
      <w:r>
        <w:rPr>
          <w:b/>
          <w:i/>
          <w:snapToGrid w:val="0"/>
          <w:color w:val="000000"/>
          <w:sz w:val="24"/>
        </w:rPr>
        <w:t xml:space="preserve"> </w:t>
      </w:r>
      <w:r w:rsidRPr="00EA0BF0">
        <w:rPr>
          <w:b/>
          <w:i/>
          <w:snapToGrid w:val="0"/>
          <w:color w:val="000000"/>
          <w:sz w:val="24"/>
        </w:rPr>
        <w:t xml:space="preserve"> </w:t>
      </w:r>
    </w:p>
    <w:p w:rsidR="00BC54BC" w:rsidRDefault="00BC54BC" w:rsidP="00BC54BC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 w:rsidRPr="00EA0BF0">
        <w:rPr>
          <w:rFonts w:ascii="Times New Roman" w:eastAsia="Calibri" w:hAnsi="Times New Roman" w:cs="Times New Roman"/>
          <w:color w:val="auto"/>
          <w:lang w:val="pt-BR" w:eastAsia="en-US"/>
        </w:rPr>
        <w:t>A extrapolação habitual da jornada de oito horas, ajustada por negociação coletiva para o trabalho realizado em turnos ininterruptos de revezamento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no regime de 4x2</w:t>
      </w:r>
      <w:r w:rsidRPr="00EA0BF0">
        <w:rPr>
          <w:rFonts w:ascii="Times New Roman" w:eastAsia="Calibri" w:hAnsi="Times New Roman" w:cs="Times New Roman"/>
          <w:color w:val="auto"/>
          <w:lang w:val="pt-BR" w:eastAsia="en-US"/>
        </w:rPr>
        <w:t xml:space="preserve">, invalida o ajuste,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por frustrar </w:t>
      </w:r>
      <w:r w:rsidRPr="004460D8">
        <w:rPr>
          <w:rFonts w:ascii="Times New Roman" w:eastAsia="Calibri" w:hAnsi="Times New Roman" w:cs="Times New Roman"/>
          <w:color w:val="auto"/>
          <w:lang w:val="pt-BR" w:eastAsia="en-US"/>
        </w:rPr>
        <w:t>a proteção constitucional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prevista no </w:t>
      </w:r>
      <w:r w:rsidRPr="004460D8">
        <w:rPr>
          <w:rFonts w:ascii="Times New Roman" w:eastAsia="Calibri" w:hAnsi="Times New Roman" w:cs="Times New Roman"/>
          <w:color w:val="auto"/>
          <w:lang w:val="pt-BR" w:eastAsia="en-US"/>
        </w:rPr>
        <w:t>art. 7º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XIV, da CF, além de ofender os princípios de proteção da dignidade da pessoa humana e dos valores sociais do trabalho. Assim, uma vez que a norma coletiva não produz efeitos jurídicos, aplica-se ao caso concreto a jornada de seis horas, devendo o período excedente à sexta hora ser pago como extra. Com esse entendimento, a SBDI-I, por unanimidade, negou provimento ao agravo regimental interposto pelo reclamado visando reformar decisão que denegara seguimento aos embargos por não vislumbrar divergência jurisprudencial específica, nem contrariedade à Súmula nº 423 do TST. </w:t>
      </w:r>
      <w:hyperlink r:id="rId14" w:history="1">
        <w:r w:rsidRPr="00FC35EC">
          <w:rPr>
            <w:rStyle w:val="Hyperlink"/>
            <w:rFonts w:ascii="Times New Roman" w:hAnsi="Times New Roman" w:cs="Courier New"/>
            <w:lang w:val="pt-BR"/>
          </w:rPr>
          <w:t>TST-Ag-E-ED-RR-97300-08.2011.5.17.0121</w:t>
        </w:r>
      </w:hyperlink>
      <w:r w:rsidRPr="00895CC6">
        <w:rPr>
          <w:rFonts w:ascii="Times New Roman" w:hAnsi="Times New Roman"/>
          <w:u w:val="single"/>
          <w:lang w:val="pt-BR"/>
        </w:rPr>
        <w:t xml:space="preserve">, SBDI-I, rel. Min. </w:t>
      </w:r>
      <w:r>
        <w:rPr>
          <w:rFonts w:ascii="Times New Roman" w:hAnsi="Times New Roman"/>
          <w:u w:val="single"/>
          <w:lang w:val="pt-BR"/>
        </w:rPr>
        <w:t>João Oreste Dalazen</w:t>
      </w:r>
      <w:r w:rsidRPr="00895CC6">
        <w:rPr>
          <w:rFonts w:ascii="Times New Roman" w:hAnsi="Times New Roman"/>
          <w:u w:val="single"/>
          <w:lang w:val="pt-BR"/>
        </w:rPr>
        <w:t>, 26.</w:t>
      </w:r>
      <w:r>
        <w:rPr>
          <w:rFonts w:ascii="Times New Roman" w:hAnsi="Times New Roman"/>
          <w:u w:val="single"/>
          <w:lang w:val="pt-BR"/>
        </w:rPr>
        <w:t>2.2015</w:t>
      </w:r>
    </w:p>
    <w:p w:rsidR="00C54185" w:rsidRPr="00BC54BC" w:rsidRDefault="00C54185" w:rsidP="00C54185">
      <w:pPr>
        <w:jc w:val="both"/>
      </w:pPr>
    </w:p>
    <w:p w:rsidR="00BC54BC" w:rsidRPr="00971E07" w:rsidRDefault="00BC54BC" w:rsidP="00BC54B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BC54BC" w:rsidRPr="00BC54BC" w:rsidRDefault="00BC54BC" w:rsidP="00BC54BC">
      <w:pPr>
        <w:jc w:val="both"/>
        <w:rPr>
          <w:u w:val="single"/>
        </w:rPr>
      </w:pPr>
    </w:p>
    <w:p w:rsidR="00BC54BC" w:rsidRDefault="00BC54BC" w:rsidP="00BC54B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301D67">
        <w:rPr>
          <w:b/>
          <w:i/>
          <w:sz w:val="24"/>
          <w:szCs w:val="24"/>
        </w:rPr>
        <w:t>ção rescisória</w:t>
      </w:r>
      <w:r>
        <w:rPr>
          <w:b/>
          <w:i/>
          <w:sz w:val="24"/>
          <w:szCs w:val="24"/>
        </w:rPr>
        <w:t>. E</w:t>
      </w:r>
      <w:r w:rsidRPr="00301D67">
        <w:rPr>
          <w:b/>
          <w:i/>
          <w:sz w:val="24"/>
          <w:szCs w:val="24"/>
        </w:rPr>
        <w:t>mbargos de terceiro</w:t>
      </w:r>
      <w:r>
        <w:rPr>
          <w:b/>
          <w:i/>
          <w:sz w:val="24"/>
          <w:szCs w:val="24"/>
        </w:rPr>
        <w:t>. D</w:t>
      </w:r>
      <w:r w:rsidRPr="00301D67">
        <w:rPr>
          <w:b/>
          <w:i/>
          <w:sz w:val="24"/>
          <w:szCs w:val="24"/>
        </w:rPr>
        <w:t xml:space="preserve">efesa da posse decorrente de </w:t>
      </w:r>
      <w:r>
        <w:rPr>
          <w:b/>
          <w:i/>
          <w:sz w:val="24"/>
          <w:szCs w:val="24"/>
        </w:rPr>
        <w:t>instrumento particular</w:t>
      </w:r>
      <w:r w:rsidRPr="00301D67">
        <w:rPr>
          <w:b/>
          <w:i/>
          <w:sz w:val="24"/>
          <w:szCs w:val="24"/>
        </w:rPr>
        <w:t xml:space="preserve"> de compra e venda desprovido de registro</w:t>
      </w:r>
      <w:r>
        <w:rPr>
          <w:b/>
          <w:i/>
          <w:sz w:val="24"/>
          <w:szCs w:val="24"/>
        </w:rPr>
        <w:t xml:space="preserve"> na matrícula do imóvel.  Possibilidade. V</w:t>
      </w:r>
      <w:r w:rsidRPr="00301D67">
        <w:rPr>
          <w:b/>
          <w:i/>
          <w:sz w:val="24"/>
          <w:szCs w:val="24"/>
        </w:rPr>
        <w:t>iolação do art</w:t>
      </w:r>
      <w:r>
        <w:rPr>
          <w:b/>
          <w:i/>
          <w:sz w:val="24"/>
          <w:szCs w:val="24"/>
        </w:rPr>
        <w:t xml:space="preserve">. </w:t>
      </w:r>
      <w:r w:rsidRPr="00301D67">
        <w:rPr>
          <w:b/>
          <w:i/>
          <w:sz w:val="24"/>
          <w:szCs w:val="24"/>
        </w:rPr>
        <w:t xml:space="preserve">1.046, § 1º, do </w:t>
      </w:r>
      <w:r>
        <w:rPr>
          <w:b/>
          <w:i/>
          <w:sz w:val="24"/>
          <w:szCs w:val="24"/>
        </w:rPr>
        <w:t>CPC. Configuração.</w:t>
      </w:r>
    </w:p>
    <w:p w:rsidR="00BC54BC" w:rsidRPr="00895CC6" w:rsidRDefault="00BC54BC" w:rsidP="00BC54BC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Viola o art. 1.046, §1º, do CPC a sentença rescindenda mediante a qual se despreza a possibilidade de ajuizamento de embargos de terceiro para tutela da posse advinda de instrumento particular de compra e venda desprovido de registro na matrícula do imóvel, conforme exigido pelo art. 1.245 do CC. Ademais, no caso concreto, restou evidente, tanto no processo rescindendo, quanto na ação rescisória, a ausência de controvérsia acerca da posse ou da boa-fé dos terceiros embargantes, bem como ficou demonstrado que o imóvel penhorado saiu da esfera patrimonial do sócio da empresa executada muito antes do ajuizamento da reclamação trabalhista, ou seja, em data </w:t>
      </w:r>
      <w:r w:rsidRPr="008862A6">
        <w:rPr>
          <w:rFonts w:ascii="Times New Roman" w:eastAsia="Calibri" w:hAnsi="Times New Roman" w:cs="Times New Roman"/>
          <w:color w:val="auto"/>
          <w:lang w:val="pt-BR" w:eastAsia="en-US"/>
        </w:rPr>
        <w:t>anterior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8862A6">
        <w:rPr>
          <w:rFonts w:ascii="Times New Roman" w:eastAsia="Calibri" w:hAnsi="Times New Roman" w:cs="Times New Roman"/>
          <w:color w:val="auto"/>
          <w:lang w:val="pt-BR" w:eastAsia="en-US"/>
        </w:rPr>
        <w:t>ao direcionamento da execução contra o patrimônio dos sócios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Com esse entendimento, a SBDI-I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I, por unanimidade, decidiu conhecer do recurso ordinário </w:t>
      </w:r>
      <w:r w:rsidRPr="006C5A69">
        <w:rPr>
          <w:rFonts w:ascii="Times New Roman" w:eastAsia="Calibri" w:hAnsi="Times New Roman" w:cs="Times New Roman"/>
          <w:color w:val="auto"/>
          <w:lang w:val="pt-BR" w:eastAsia="en-US"/>
        </w:rPr>
        <w:t>e, no mérito, dar-lhe provimento, para, caracterizada violação do art. 1.046, § 1º, do CPC, rescindir a sentença prolatada</w:t>
      </w:r>
      <w:r w:rsidRPr="007E44F1">
        <w:rPr>
          <w:rFonts w:ascii="Times New Roman" w:eastAsia="Calibri" w:hAnsi="Times New Roman" w:cs="Times New Roman"/>
          <w:color w:val="FF0000"/>
          <w:lang w:val="pt-BR" w:eastAsia="en-US"/>
        </w:rPr>
        <w:t xml:space="preserve"> </w:t>
      </w:r>
      <w:r w:rsidRPr="001D4563">
        <w:rPr>
          <w:rFonts w:ascii="Times New Roman" w:eastAsia="Calibri" w:hAnsi="Times New Roman" w:cs="Times New Roman"/>
          <w:color w:val="auto"/>
          <w:lang w:val="pt-BR" w:eastAsia="en-US"/>
        </w:rPr>
        <w:t xml:space="preserve">nos autos dos embargos de terceiros, </w:t>
      </w:r>
      <w:r w:rsidRPr="006C5A69">
        <w:rPr>
          <w:rFonts w:ascii="Times New Roman" w:eastAsia="Calibri" w:hAnsi="Times New Roman" w:cs="Times New Roman"/>
          <w:color w:val="auto"/>
          <w:lang w:val="pt-BR" w:eastAsia="en-US"/>
        </w:rPr>
        <w:t>e, em juízo rescisório, julgar procedentes os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referidos</w:t>
      </w:r>
      <w:r w:rsidRPr="006C5A69">
        <w:rPr>
          <w:rFonts w:ascii="Times New Roman" w:eastAsia="Calibri" w:hAnsi="Times New Roman" w:cs="Times New Roman"/>
          <w:color w:val="auto"/>
          <w:lang w:val="pt-BR" w:eastAsia="en-US"/>
        </w:rPr>
        <w:t xml:space="preserve"> embargos para desconstituir a penhora que recaiu sobre </w:t>
      </w:r>
      <w:r w:rsidRPr="00F0468B">
        <w:rPr>
          <w:rFonts w:ascii="Times New Roman" w:eastAsia="Calibri" w:hAnsi="Times New Roman" w:cs="Times New Roman"/>
          <w:color w:val="auto"/>
          <w:lang w:val="pt-BR" w:eastAsia="en-US"/>
        </w:rPr>
        <w:t xml:space="preserve">o imóvel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em questão</w:t>
      </w:r>
      <w:r w:rsidRPr="00F0468B"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FF0000"/>
          <w:lang w:val="pt-BR" w:eastAsia="en-US"/>
        </w:rPr>
        <w:t xml:space="preserve"> </w:t>
      </w:r>
      <w:hyperlink r:id="rId15" w:history="1">
        <w:r w:rsidRPr="00FC35EC">
          <w:rPr>
            <w:rStyle w:val="Hyperlink"/>
            <w:rFonts w:ascii="Times New Roman" w:hAnsi="Times New Roman" w:cs="Courier New"/>
            <w:lang w:val="pt-BR"/>
          </w:rPr>
          <w:t>TST-RO-2035-68.2011.5.02.0000</w:t>
        </w:r>
      </w:hyperlink>
      <w:r w:rsidRPr="00895CC6">
        <w:rPr>
          <w:rFonts w:ascii="Times New Roman" w:hAnsi="Times New Roman"/>
          <w:u w:val="single"/>
          <w:lang w:val="pt-BR"/>
        </w:rPr>
        <w:t>, SBDI-I</w:t>
      </w:r>
      <w:r>
        <w:rPr>
          <w:rFonts w:ascii="Times New Roman" w:hAnsi="Times New Roman"/>
          <w:u w:val="single"/>
          <w:lang w:val="pt-BR"/>
        </w:rPr>
        <w:t>I</w:t>
      </w:r>
      <w:r w:rsidRPr="00895CC6">
        <w:rPr>
          <w:rFonts w:ascii="Times New Roman" w:hAnsi="Times New Roman"/>
          <w:u w:val="single"/>
          <w:lang w:val="pt-BR"/>
        </w:rPr>
        <w:t xml:space="preserve">, rel. Min. </w:t>
      </w:r>
      <w:r w:rsidRPr="00F0468B">
        <w:rPr>
          <w:rFonts w:ascii="Times New Roman" w:hAnsi="Times New Roman"/>
          <w:u w:val="single"/>
          <w:lang w:val="pt-BR"/>
        </w:rPr>
        <w:t xml:space="preserve">Alberto Luiz </w:t>
      </w:r>
      <w:r>
        <w:rPr>
          <w:rFonts w:ascii="Times New Roman" w:hAnsi="Times New Roman"/>
          <w:u w:val="single"/>
          <w:lang w:val="pt-BR"/>
        </w:rPr>
        <w:t>Bresciani d</w:t>
      </w:r>
      <w:r w:rsidRPr="00F0468B">
        <w:rPr>
          <w:rFonts w:ascii="Times New Roman" w:hAnsi="Times New Roman"/>
          <w:u w:val="single"/>
          <w:lang w:val="pt-BR"/>
        </w:rPr>
        <w:t>e Fontan Pereira</w:t>
      </w:r>
      <w:r w:rsidRPr="00895CC6">
        <w:rPr>
          <w:rFonts w:ascii="Times New Roman" w:hAnsi="Times New Roman"/>
          <w:u w:val="single"/>
          <w:lang w:val="pt-BR"/>
        </w:rPr>
        <w:t xml:space="preserve">, </w:t>
      </w:r>
      <w:r>
        <w:rPr>
          <w:rFonts w:ascii="Times New Roman" w:hAnsi="Times New Roman"/>
          <w:u w:val="single"/>
          <w:lang w:val="pt-BR"/>
        </w:rPr>
        <w:t>10</w:t>
      </w:r>
      <w:r w:rsidRPr="00895CC6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2</w:t>
      </w:r>
      <w:r w:rsidRPr="00895CC6">
        <w:rPr>
          <w:rFonts w:ascii="Times New Roman" w:hAnsi="Times New Roman"/>
          <w:u w:val="single"/>
          <w:lang w:val="pt-BR"/>
        </w:rPr>
        <w:t>.201</w:t>
      </w:r>
      <w:r>
        <w:rPr>
          <w:rFonts w:ascii="Times New Roman" w:hAnsi="Times New Roman"/>
          <w:u w:val="single"/>
          <w:lang w:val="pt-BR"/>
        </w:rPr>
        <w:t>5</w:t>
      </w:r>
    </w:p>
    <w:p w:rsidR="00BC54BC" w:rsidRDefault="00BC54BC" w:rsidP="00C54185">
      <w:pPr>
        <w:jc w:val="both"/>
        <w:rPr>
          <w:sz w:val="24"/>
          <w:szCs w:val="24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72" w:rsidRDefault="00D77672">
      <w:r>
        <w:separator/>
      </w:r>
    </w:p>
  </w:endnote>
  <w:endnote w:type="continuationSeparator" w:id="0">
    <w:p w:rsidR="00D77672" w:rsidRDefault="00D7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280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65280C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72" w:rsidRDefault="00D77672">
      <w:r>
        <w:separator/>
      </w:r>
    </w:p>
  </w:footnote>
  <w:footnote w:type="continuationSeparator" w:id="0">
    <w:p w:rsidR="00D77672" w:rsidRDefault="00D7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7F66BC">
      <w:rPr>
        <w:shadow/>
        <w:sz w:val="24"/>
        <w:szCs w:val="24"/>
      </w:rPr>
      <w:t>100</w:t>
    </w:r>
  </w:p>
  <w:p w:rsidR="00FE00AD" w:rsidRDefault="00187A37">
    <w:pPr>
      <w:pStyle w:val="Ttulo6"/>
      <w:spacing w:line="360" w:lineRule="auto"/>
      <w:jc w:val="right"/>
      <w:rPr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EB6C1B">
      <w:rPr>
        <w:sz w:val="20"/>
        <w:szCs w:val="20"/>
      </w:rPr>
      <w:t>1</w:t>
    </w:r>
    <w:r w:rsidR="007F66BC">
      <w:rPr>
        <w:sz w:val="20"/>
        <w:szCs w:val="20"/>
      </w:rPr>
      <w:t>0 de fevereiro a 2 de março de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5pt;height:76.7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BC54BC">
      <w:rPr>
        <w:b/>
        <w:sz w:val="40"/>
        <w:szCs w:val="40"/>
      </w:rPr>
      <w:t>100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BC54BC">
      <w:rPr>
        <w:i/>
        <w:iCs/>
      </w:rPr>
      <w:t xml:space="preserve">10 de fevereiro </w:t>
    </w:r>
    <w:r w:rsidR="004477EC">
      <w:rPr>
        <w:i/>
        <w:iCs/>
      </w:rPr>
      <w:t xml:space="preserve">a </w:t>
    </w:r>
    <w:r w:rsidR="00BC54BC">
      <w:rPr>
        <w:i/>
        <w:iCs/>
      </w:rPr>
      <w:t xml:space="preserve">2 de março </w:t>
    </w:r>
    <w:r w:rsidR="004A094C">
      <w:rPr>
        <w:i/>
        <w:iCs/>
      </w:rPr>
      <w:t>de 201</w:t>
    </w:r>
    <w:r w:rsidR="00C54185">
      <w:rPr>
        <w:i/>
        <w:iCs/>
      </w:rPr>
      <w:t>5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0E1DC1"/>
    <w:rsid w:val="0011575C"/>
    <w:rsid w:val="0011692E"/>
    <w:rsid w:val="00137564"/>
    <w:rsid w:val="00137DC1"/>
    <w:rsid w:val="00142C28"/>
    <w:rsid w:val="0015612D"/>
    <w:rsid w:val="00161CDE"/>
    <w:rsid w:val="00163142"/>
    <w:rsid w:val="00176D15"/>
    <w:rsid w:val="00184590"/>
    <w:rsid w:val="00187A37"/>
    <w:rsid w:val="0019151D"/>
    <w:rsid w:val="00193208"/>
    <w:rsid w:val="00197B15"/>
    <w:rsid w:val="001C04D2"/>
    <w:rsid w:val="001C271F"/>
    <w:rsid w:val="001C6C93"/>
    <w:rsid w:val="001D4CF9"/>
    <w:rsid w:val="001D5AB0"/>
    <w:rsid w:val="001D757D"/>
    <w:rsid w:val="001E14A9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477EC"/>
    <w:rsid w:val="0045657C"/>
    <w:rsid w:val="004655CC"/>
    <w:rsid w:val="00466DB9"/>
    <w:rsid w:val="00486521"/>
    <w:rsid w:val="00486DFC"/>
    <w:rsid w:val="004922D6"/>
    <w:rsid w:val="004A094C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280C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0B1B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66BC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4BC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54185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1C18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64BC3"/>
    <w:rsid w:val="00D72C05"/>
    <w:rsid w:val="00D77672"/>
    <w:rsid w:val="00D80222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AD3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456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35EC"/>
    <w:rsid w:val="00FC56A4"/>
    <w:rsid w:val="00FD3D06"/>
    <w:rsid w:val="00FD5662"/>
    <w:rsid w:val="00FD72B6"/>
    <w:rsid w:val="00FE00AD"/>
    <w:rsid w:val="00FE206E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41&amp;digitoTst=80&amp;anoTst=2014&amp;orgaoTst=5&amp;tribunalTst=17&amp;varaTst=0000" TargetMode="External"/><Relationship Id="rId13" Type="http://schemas.openxmlformats.org/officeDocument/2006/relationships/hyperlink" Target="https://aplicacao5.tst.jus.br/consultaProcessual/consultaTstNumUnica.do?consulta=Consultar&amp;conscsjt=&amp;numeroTst=33200&amp;digitoTst=08&amp;anoTst=2004&amp;orgaoTst=5&amp;tribunalTst=04&amp;varaTst=000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880&amp;digitoTst=42&amp;anoTst=2010&amp;orgaoTst=5&amp;tribunalTst=02&amp;varaTst=007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420&amp;digitoTst=37&amp;anoTst=2012&amp;orgaoTst=5&amp;tribunalTst=04&amp;varaTst=0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cacao5.tst.jus.br/consultaProcessual/consultaTstNumUnica.do?consulta=Consultar&amp;conscsjt=&amp;numeroTst=2035&amp;digitoTst=68&amp;anoTst=2011&amp;orgaoTst=5&amp;tribunalTst=02&amp;varaTst=0000" TargetMode="External"/><Relationship Id="rId10" Type="http://schemas.openxmlformats.org/officeDocument/2006/relationships/hyperlink" Target="https://aplicacao5.tst.jus.br/consultaProcessual/consultaTstNumUnica.do?consulta=Consultar&amp;conscsjt=&amp;numeroTst=64800&amp;digitoTst=98&amp;anoTst=2008&amp;orgaoTst=5&amp;tribunalTst=15&amp;varaTst=007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221&amp;digitoTst=35&amp;anoTst=2010&amp;orgaoTst=5&amp;tribunalTst=09&amp;varaTst=0020" TargetMode="External"/><Relationship Id="rId14" Type="http://schemas.openxmlformats.org/officeDocument/2006/relationships/hyperlink" Target="https://aplicacao5.tst.jus.br/consultaProcessual/consultaTstNumUnica.do?consulta=Consultar&amp;conscsjt=&amp;numeroTst=97300&amp;digitoTst=08&amp;anoTst=2011&amp;orgaoTst=5&amp;tribunalTst=17&amp;varaTst=01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13B0-C4F1-4E10-82EF-D995B9B0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2161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13809</CharactersWithSpaces>
  <SharedDoc>false</SharedDoc>
  <HLinks>
    <vt:vector size="48" baseType="variant">
      <vt:variant>
        <vt:i4>6357114</vt:i4>
      </vt:variant>
      <vt:variant>
        <vt:i4>21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https://aplicacao5.tst.jus.br/consultaProcessual/consultaTstNumUnica.do?consulta=Consultar&amp;conscsjt=&amp;numeroTst=2035&amp;digitoTst=68&amp;anoTst=2011&amp;orgaoTst=5&amp;tribunalTst=02&amp;varaTst=0000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https://aplicacao5.tst.jus.br/consultaProcessual/consultaTstNumUnica.do?consulta=Consultar&amp;conscsjt=&amp;numeroTst=97300&amp;digitoTst=08&amp;anoTst=2011&amp;orgaoTst=5&amp;tribunalTst=17&amp;varaTst=0121</vt:lpwstr>
      </vt:variant>
      <vt:variant>
        <vt:lpwstr/>
      </vt:variant>
      <vt:variant>
        <vt:i4>1048591</vt:i4>
      </vt:variant>
      <vt:variant>
        <vt:i4>15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https://aplicacao5.tst.jus.br/consultaProcessual/consultaTstNumUnica.do?consulta=Consultar&amp;conscsjt=&amp;numeroTst=33200&amp;digitoTst=08&amp;anoTst=2004&amp;orgaoTst=5&amp;tribunalTst=04&amp;varaTst=0006</vt:lpwstr>
      </vt:variant>
      <vt:variant>
        <vt:lpwstr/>
      </vt:variant>
      <vt:variant>
        <vt:i4>2621499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https://aplicacao5.tst.jus.br/consultaProcessual/consultaTstNumUnica.do?consulta=Consultar&amp;conscsjt=&amp;numeroTst=880&amp;digitoTst=42&amp;anoTst=2010&amp;orgaoTst=5&amp;tribunalTst=02&amp;varaTst=0072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https://aplicacao5.tst.jus.br/consultaProcessual/consultaTstNumUnica.do?consulta=Consultar&amp;conscsjt=&amp;numeroTst=420&amp;digitoTst=37&amp;anoTst=2012&amp;orgaoTst=5&amp;tribunalTst=04&amp;varaTst=0102</vt:lpwstr>
      </vt:variant>
      <vt:variant>
        <vt:lpwstr/>
      </vt:variant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https://aplicacao5.tst.jus.br/consultaProcessual/consultaTstNumUnica.do?consulta=Consultar&amp;conscsjt=&amp;numeroTst=64800&amp;digitoTst=98&amp;anoTst=2008&amp;orgaoTst=5&amp;tribunalTst=15&amp;varaTst=0071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https://aplicacao5.tst.jus.br/consultaProcessual/consultaTstNumUnica.do?consulta=Consultar&amp;conscsjt=&amp;numeroTst=1221&amp;digitoTst=35&amp;anoTst=2010&amp;orgaoTst=5&amp;tribunalTst=09&amp;varaTst=0020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https://aplicacao5.tst.jus.br/consultaProcessual/consultaTstNumUnica.do?consulta=Consultar&amp;conscsjt=&amp;numeroTst=41&amp;digitoTst=80&amp;anoTst=2014&amp;orgaoTst=5&amp;tribunalTst=17&amp;varaTst=0000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2018-06-27T21:49:00Z</dcterms:created>
  <dcterms:modified xsi:type="dcterms:W3CDTF">2018-06-27T21:49:00Z</dcterms:modified>
</cp:coreProperties>
</file>