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EDD" w:rsidRPr="00977EDD" w:rsidRDefault="00977EDD">
      <w:pPr>
        <w:rPr>
          <w:sz w:val="10"/>
          <w:szCs w:val="10"/>
        </w:rPr>
      </w:pPr>
      <w:bookmarkStart w:id="0" w:name="_GoBack"/>
      <w:bookmarkEnd w:id="0"/>
    </w:p>
    <w:tbl>
      <w:tblPr>
        <w:tblW w:w="9659" w:type="dxa"/>
        <w:tblInd w:w="70" w:type="dxa"/>
        <w:tblLayout w:type="fixed"/>
        <w:tblCellMar>
          <w:left w:w="70" w:type="dxa"/>
          <w:right w:w="70" w:type="dxa"/>
        </w:tblCellMar>
        <w:tblLook w:val="0000" w:firstRow="0" w:lastRow="0" w:firstColumn="0" w:lastColumn="0" w:noHBand="0" w:noVBand="0"/>
      </w:tblPr>
      <w:tblGrid>
        <w:gridCol w:w="9659"/>
      </w:tblGrid>
      <w:tr w:rsidR="00C26DFB" w:rsidRPr="00187A37" w:rsidTr="00977EDD">
        <w:tblPrEx>
          <w:tblCellMar>
            <w:top w:w="0" w:type="dxa"/>
            <w:bottom w:w="0" w:type="dxa"/>
          </w:tblCellMar>
        </w:tblPrEx>
        <w:trPr>
          <w:trHeight w:val="613"/>
        </w:trPr>
        <w:tc>
          <w:tcPr>
            <w:tcW w:w="9659" w:type="dxa"/>
          </w:tcPr>
          <w:p w:rsidR="00C26DFB" w:rsidRDefault="00C26DFB" w:rsidP="00DC50EB">
            <w:pPr>
              <w:pStyle w:val="Cabealho"/>
              <w:tabs>
                <w:tab w:val="clear" w:pos="4419"/>
                <w:tab w:val="clear" w:pos="8838"/>
              </w:tabs>
              <w:jc w:val="both"/>
              <w:rPr>
                <w:sz w:val="16"/>
                <w:szCs w:val="16"/>
              </w:rPr>
            </w:pPr>
            <w:r w:rsidRPr="00187A37">
              <w:rPr>
                <w:sz w:val="16"/>
                <w:szCs w:val="16"/>
              </w:rPr>
              <w:t>Este Informativo, elaborado a partir de notas tomadas nas sessões de julgamentos, contém resumos não</w:t>
            </w:r>
            <w:r w:rsidR="00DC50EB" w:rsidRPr="00187A37">
              <w:rPr>
                <w:sz w:val="16"/>
                <w:szCs w:val="16"/>
              </w:rPr>
              <w:t xml:space="preserve"> </w:t>
            </w:r>
            <w:r w:rsidRPr="00187A37">
              <w:rPr>
                <w:sz w:val="16"/>
                <w:szCs w:val="16"/>
              </w:rPr>
              <w:t>oficiais de decisões proferidas pelo Tribunal. A fidelidade dos resumos ao conteúdo efetivo das decisões, embora seja uma das metas perseguidas neste trabalho, somente poderá ser aferida após a sua publicação no Diário</w:t>
            </w:r>
            <w:r w:rsidR="00980944" w:rsidRPr="00187A37">
              <w:rPr>
                <w:sz w:val="16"/>
                <w:szCs w:val="16"/>
              </w:rPr>
              <w:t xml:space="preserve"> Eletrônico </w:t>
            </w:r>
            <w:r w:rsidRPr="00187A37">
              <w:rPr>
                <w:sz w:val="16"/>
                <w:szCs w:val="16"/>
              </w:rPr>
              <w:t>da Justiça</w:t>
            </w:r>
            <w:r w:rsidR="00980944" w:rsidRPr="00187A37">
              <w:rPr>
                <w:sz w:val="16"/>
                <w:szCs w:val="16"/>
              </w:rPr>
              <w:t xml:space="preserve"> do Trabalho</w:t>
            </w:r>
            <w:r w:rsidRPr="00187A37">
              <w:rPr>
                <w:sz w:val="16"/>
                <w:szCs w:val="16"/>
              </w:rPr>
              <w:t>.</w:t>
            </w:r>
          </w:p>
          <w:p w:rsidR="00977EDD" w:rsidRPr="00187A37" w:rsidRDefault="00977EDD" w:rsidP="00DC50EB">
            <w:pPr>
              <w:pStyle w:val="Cabealho"/>
              <w:tabs>
                <w:tab w:val="clear" w:pos="4419"/>
                <w:tab w:val="clear" w:pos="8838"/>
              </w:tabs>
              <w:jc w:val="both"/>
              <w:rPr>
                <w:sz w:val="10"/>
                <w:szCs w:val="10"/>
              </w:rPr>
            </w:pPr>
          </w:p>
        </w:tc>
      </w:tr>
    </w:tbl>
    <w:p w:rsidR="00631F1C" w:rsidRPr="00971E07" w:rsidRDefault="00631F1C" w:rsidP="00631F1C">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shadow/>
          <w:color w:val="auto"/>
          <w:sz w:val="26"/>
          <w:szCs w:val="26"/>
          <w:lang w:val="pt-BR"/>
        </w:rPr>
      </w:pPr>
      <w:r w:rsidRPr="00971E07">
        <w:rPr>
          <w:rFonts w:ascii="Times New Roman" w:hAnsi="Times New Roman" w:cs="Times New Roman"/>
          <w:b/>
          <w:bCs/>
          <w:shadow/>
          <w:color w:val="auto"/>
          <w:sz w:val="26"/>
          <w:szCs w:val="26"/>
          <w:lang w:val="pt-BR"/>
        </w:rPr>
        <w:t>S</w:t>
      </w:r>
      <w:r>
        <w:rPr>
          <w:rFonts w:ascii="Times New Roman" w:hAnsi="Times New Roman" w:cs="Times New Roman"/>
          <w:b/>
          <w:bCs/>
          <w:shadow/>
          <w:color w:val="auto"/>
          <w:sz w:val="26"/>
          <w:szCs w:val="26"/>
          <w:lang w:val="pt-BR"/>
        </w:rPr>
        <w:t xml:space="preserve">UBSEÇÃO I </w:t>
      </w:r>
      <w:r w:rsidRPr="00971E07">
        <w:rPr>
          <w:rFonts w:ascii="Times New Roman" w:hAnsi="Times New Roman" w:cs="Times New Roman"/>
          <w:b/>
          <w:bCs/>
          <w:shadow/>
          <w:color w:val="auto"/>
          <w:sz w:val="26"/>
          <w:szCs w:val="26"/>
          <w:lang w:val="pt-BR"/>
        </w:rPr>
        <w:t xml:space="preserve">ESPECIALIZADA EM DISSÍDIOS </w:t>
      </w:r>
      <w:r>
        <w:rPr>
          <w:rFonts w:ascii="Times New Roman" w:hAnsi="Times New Roman" w:cs="Times New Roman"/>
          <w:b/>
          <w:bCs/>
          <w:shadow/>
          <w:color w:val="auto"/>
          <w:sz w:val="26"/>
          <w:szCs w:val="26"/>
          <w:lang w:val="pt-BR"/>
        </w:rPr>
        <w:t>INDIVIDUAIS</w:t>
      </w:r>
    </w:p>
    <w:p w:rsidR="002C2904" w:rsidRPr="005D1DE4" w:rsidRDefault="002C2904" w:rsidP="002C2904">
      <w:pPr>
        <w:ind w:right="-567"/>
        <w:jc w:val="both"/>
        <w:rPr>
          <w:sz w:val="10"/>
          <w:szCs w:val="10"/>
        </w:rPr>
      </w:pPr>
    </w:p>
    <w:p w:rsidR="00280CAF" w:rsidRPr="00977EDD" w:rsidRDefault="00280CAF" w:rsidP="00450A2B">
      <w:pPr>
        <w:pStyle w:val="Pr-formataoHTML"/>
        <w:tabs>
          <w:tab w:val="clear" w:pos="10076"/>
          <w:tab w:val="left" w:pos="9639"/>
        </w:tabs>
        <w:jc w:val="both"/>
        <w:rPr>
          <w:rFonts w:ascii="Times New Roman" w:eastAsia="Calibri" w:hAnsi="Times New Roman" w:cs="Times New Roman"/>
          <w:b/>
          <w:i/>
          <w:sz w:val="24"/>
          <w:szCs w:val="24"/>
          <w:lang w:eastAsia="en-US"/>
        </w:rPr>
      </w:pPr>
      <w:r w:rsidRPr="00977EDD">
        <w:rPr>
          <w:rFonts w:ascii="Times New Roman" w:eastAsia="Calibri" w:hAnsi="Times New Roman" w:cs="Times New Roman"/>
          <w:b/>
          <w:i/>
          <w:sz w:val="24"/>
          <w:szCs w:val="24"/>
          <w:lang w:eastAsia="en-US"/>
        </w:rPr>
        <w:t xml:space="preserve">Estabilidade provisória em razão de acidente de trabalho no curso de contrato por prazo determinado. Arestos que tratam da estabilidade provisória durante contrato de experiência. Divergência jurisprudencial. Não configuração. Dispositivos de lei distintos. </w:t>
      </w:r>
    </w:p>
    <w:p w:rsidR="00280CAF" w:rsidRPr="00977EDD" w:rsidRDefault="00280CAF" w:rsidP="00450A2B">
      <w:pPr>
        <w:pStyle w:val="Pr-formataoHTML"/>
        <w:tabs>
          <w:tab w:val="clear" w:pos="10076"/>
          <w:tab w:val="left" w:pos="9639"/>
        </w:tabs>
        <w:jc w:val="both"/>
        <w:rPr>
          <w:rFonts w:ascii="Times New Roman" w:eastAsia="Calibri" w:hAnsi="Times New Roman" w:cs="Times New Roman"/>
          <w:sz w:val="24"/>
          <w:szCs w:val="24"/>
          <w:u w:val="single"/>
          <w:lang w:eastAsia="en-US"/>
        </w:rPr>
      </w:pPr>
      <w:r w:rsidRPr="00977EDD">
        <w:rPr>
          <w:rFonts w:ascii="Times New Roman" w:eastAsia="Calibri" w:hAnsi="Times New Roman" w:cs="Times New Roman"/>
          <w:sz w:val="24"/>
          <w:szCs w:val="24"/>
          <w:lang w:eastAsia="en-US"/>
        </w:rPr>
        <w:t xml:space="preserve">Tendo em conta que a configuração de divergência jurisprudencial específica pressupõe a existência de teses diversas acerca da interpretação de um mesmo dispositivo legal (Súmula n.º 296, I, do TST), a SBDI-I, por maioria, não conheceu de embargos na hipótese em que, para confrontar decisão da Segunda Turma que dera provimento a recurso de revista para restabelecer a sentença que julgara improcedente o pedido de estabilidade provisória em razão de acidente de trabalho no curso de contrato por prazo determinado regido pela Lei n.º 6.019/74, o embargante colacionou arestos que versavam sobre estabilidade provisória durante contrato de experiência previsto no art. 443 da CLT. Vencidos os Ministros Horácio Raymundo de Senna Pires, José Roberto Freire Pimenta, Delaíde Miranda Arantes e Luiz Philippe Vieira de Mello Filho, os quais vislumbravam a existência de divergência jurisprudencial específica pois, ainda que o contrato temporário e o contrato de experiência estejam previstos em dispositivos de lei distintos, a questão central, tanto da decisão recorrida quanto dos arestos colacionados, diz respeito ao trabalhador que sofre acidente no curso de contrato com data de extinção previamente ajustada, existindo, portanto, identidade de situação fática apta a ensejar o conhecimento do recurso. </w:t>
      </w:r>
      <w:hyperlink r:id="rId8" w:history="1">
        <w:r w:rsidRPr="00977EDD">
          <w:rPr>
            <w:rStyle w:val="Hyperlink"/>
            <w:rFonts w:ascii="Times New Roman" w:eastAsia="Calibri" w:hAnsi="Times New Roman"/>
            <w:sz w:val="24"/>
            <w:szCs w:val="24"/>
            <w:lang w:eastAsia="en-US"/>
          </w:rPr>
          <w:t>TST-E-RR-34600-17.2001.5.17.0001</w:t>
        </w:r>
      </w:hyperlink>
      <w:r w:rsidRPr="00977EDD">
        <w:rPr>
          <w:rFonts w:ascii="Times New Roman" w:eastAsia="Calibri" w:hAnsi="Times New Roman" w:cs="Times New Roman"/>
          <w:sz w:val="24"/>
          <w:szCs w:val="24"/>
          <w:u w:val="single"/>
          <w:lang w:eastAsia="en-US"/>
        </w:rPr>
        <w:t>, SBDI-I, rel. Min. Augusto César Leite de Carvalho, 24.5.2012.</w:t>
      </w:r>
    </w:p>
    <w:p w:rsidR="00977EDD" w:rsidRPr="00977EDD" w:rsidRDefault="00977EDD" w:rsidP="00450A2B">
      <w:pPr>
        <w:pStyle w:val="Pr-formataoHTML"/>
        <w:tabs>
          <w:tab w:val="clear" w:pos="10076"/>
          <w:tab w:val="left" w:pos="9639"/>
        </w:tabs>
        <w:jc w:val="both"/>
        <w:rPr>
          <w:rFonts w:ascii="Times New Roman" w:eastAsia="Calibri" w:hAnsi="Times New Roman" w:cs="Times New Roman"/>
          <w:sz w:val="10"/>
          <w:szCs w:val="10"/>
          <w:u w:val="single"/>
          <w:lang w:eastAsia="en-US"/>
        </w:rPr>
      </w:pPr>
    </w:p>
    <w:p w:rsidR="00977EDD" w:rsidRPr="00977EDD" w:rsidRDefault="00977EDD" w:rsidP="00977EDD">
      <w:pPr>
        <w:jc w:val="both"/>
        <w:rPr>
          <w:b/>
          <w:i/>
          <w:sz w:val="24"/>
          <w:szCs w:val="24"/>
        </w:rPr>
      </w:pPr>
      <w:r w:rsidRPr="00977EDD">
        <w:rPr>
          <w:b/>
          <w:i/>
          <w:sz w:val="24"/>
          <w:szCs w:val="24"/>
        </w:rPr>
        <w:t>Bancário. Superintendente de negócio. Pagamento de horas extras. Controle de frequência. Art. 62, II, da CLT. Não incidência.</w:t>
      </w:r>
    </w:p>
    <w:p w:rsidR="00977EDD" w:rsidRPr="00977EDD" w:rsidRDefault="00977EDD" w:rsidP="00977EDD">
      <w:pPr>
        <w:jc w:val="both"/>
        <w:rPr>
          <w:sz w:val="24"/>
          <w:szCs w:val="24"/>
        </w:rPr>
      </w:pPr>
      <w:r w:rsidRPr="00977EDD">
        <w:rPr>
          <w:sz w:val="24"/>
          <w:szCs w:val="24"/>
        </w:rPr>
        <w:t xml:space="preserve">A regra do enquadramento no art. 62, II, da CLT, do bancário exercente de cargo de direção, quando é a autoridade máxima na agência ou região, não prevalece na hipótese de haver prova de controle de frequência ou pagamento espontâneo de horas extras. </w:t>
      </w:r>
      <w:r w:rsidRPr="00977EDD">
        <w:rPr>
          <w:i/>
          <w:sz w:val="24"/>
          <w:szCs w:val="24"/>
        </w:rPr>
        <w:t>In casu</w:t>
      </w:r>
      <w:r w:rsidRPr="00977EDD">
        <w:rPr>
          <w:sz w:val="24"/>
          <w:szCs w:val="24"/>
        </w:rPr>
        <w:t xml:space="preserve">, o reclamante era superintendente de negócio, recebeu horas extras e teve controle de frequência em algumas oportunidades durante o período contratual. Assim, a SBDI-I, por maioria, conheceu dos embargos por contrariedade à Súmula n.º 287 e, no mérito, deu-lhes provimento para condenar a reclamada ao pagamento das horas extras e reflexos, a partir da oitava hora. Vencidos os Ministros Dora Maria da Costa, Brito Pereira e Maria Cristina Peduzzi. </w:t>
      </w:r>
      <w:hyperlink r:id="rId9" w:history="1">
        <w:r w:rsidRPr="00977EDD">
          <w:rPr>
            <w:rStyle w:val="Hyperlink"/>
            <w:sz w:val="24"/>
            <w:szCs w:val="24"/>
          </w:rPr>
          <w:t>TST-E-ED-ED-ED-RR-116101-50.2005.5.12.0014</w:t>
        </w:r>
      </w:hyperlink>
      <w:r w:rsidRPr="00977EDD">
        <w:rPr>
          <w:sz w:val="24"/>
          <w:szCs w:val="24"/>
          <w:u w:val="single"/>
        </w:rPr>
        <w:t>, SBDI-I, rel. Min. Horácio Raymundo de Senna Pires</w:t>
      </w:r>
      <w:r>
        <w:rPr>
          <w:sz w:val="24"/>
          <w:szCs w:val="24"/>
          <w:u w:val="single"/>
        </w:rPr>
        <w:t>,</w:t>
      </w:r>
      <w:r w:rsidRPr="00977EDD">
        <w:rPr>
          <w:sz w:val="24"/>
          <w:szCs w:val="24"/>
          <w:u w:val="single"/>
        </w:rPr>
        <w:t xml:space="preserve"> 24.5.2012.</w:t>
      </w:r>
    </w:p>
    <w:p w:rsidR="00C26DFB" w:rsidRPr="00977EDD" w:rsidRDefault="00C26DFB">
      <w:pPr>
        <w:jc w:val="both"/>
        <w:rPr>
          <w:sz w:val="10"/>
          <w:szCs w:val="10"/>
          <w:u w:val="single"/>
        </w:rPr>
      </w:pPr>
    </w:p>
    <w:p w:rsidR="00280CAF" w:rsidRPr="00977EDD" w:rsidRDefault="00280CAF" w:rsidP="00280CAF">
      <w:pPr>
        <w:pStyle w:val="Corpo"/>
        <w:spacing w:line="240" w:lineRule="auto"/>
        <w:ind w:firstLine="0"/>
        <w:rPr>
          <w:rFonts w:ascii="Times New Roman" w:hAnsi="Times New Roman"/>
          <w:b/>
          <w:bCs/>
          <w:i/>
          <w:iCs/>
          <w:lang w:val="pt-BR"/>
        </w:rPr>
      </w:pPr>
      <w:r w:rsidRPr="00977EDD">
        <w:rPr>
          <w:rFonts w:ascii="Times New Roman" w:hAnsi="Times New Roman" w:cs="Times New Roman"/>
          <w:b/>
          <w:i/>
          <w:color w:val="auto"/>
          <w:lang w:val="pt-BR"/>
        </w:rPr>
        <w:t>Aposentadoria por invalidez decorrente de acidente de trabalho. Suspensão do contrato de trabalho. Recolhimento do FGTS. Indevido. Art. 15, § 5º, da Lei n.º 8.036/90. Não incidência</w:t>
      </w:r>
      <w:r w:rsidRPr="00977EDD">
        <w:rPr>
          <w:rFonts w:ascii="Times New Roman" w:hAnsi="Times New Roman"/>
          <w:b/>
          <w:bCs/>
          <w:i/>
          <w:iCs/>
          <w:lang w:val="pt-BR"/>
        </w:rPr>
        <w:t>.</w:t>
      </w:r>
    </w:p>
    <w:p w:rsidR="00280CAF" w:rsidRPr="00977EDD" w:rsidRDefault="00280CAF" w:rsidP="00280CAF">
      <w:pPr>
        <w:pStyle w:val="Ementa"/>
        <w:ind w:left="0"/>
        <w:rPr>
          <w:rFonts w:ascii="Times New Roman" w:hAnsi="Times New Roman"/>
          <w:bCs/>
          <w:iCs/>
          <w:color w:val="000000"/>
          <w:u w:val="single"/>
          <w:lang w:val="pt-BR"/>
        </w:rPr>
      </w:pPr>
      <w:r w:rsidRPr="00977EDD">
        <w:rPr>
          <w:rFonts w:ascii="Times New Roman" w:hAnsi="Times New Roman"/>
          <w:bCs/>
          <w:iCs/>
          <w:color w:val="000000"/>
          <w:lang w:val="pt-BR"/>
        </w:rPr>
        <w:t>Tendo em conta que a aposentadoria por invalidez suspende o contrato de trabalho, conforme dicção do art. 475 da CLT, é indevido o recolhimento do FGTS no período em que o empregado estiver no gozo desse benefício previdenciário, ainda que o afastamento tenha decorrido de acidente de trabalho. Com esse entendimento, a SBDI-I, em sua composição plena, por maioria, negou provimento ao recurso de embargos, vencidos os Ministros Renato de Lacerda Paiva, Lelio Bentes Corrêa, José Roberto Freire Pimenta e Delaíde Miranda Arantes.</w:t>
      </w:r>
      <w:r w:rsidRPr="00977EDD">
        <w:rPr>
          <w:rFonts w:ascii="Times New Roman" w:hAnsi="Times New Roman"/>
          <w:iCs/>
          <w:color w:val="auto"/>
          <w:lang w:val="pt-BR"/>
        </w:rPr>
        <w:t xml:space="preserve"> Ressaltou o Ministro relator que o art. 15, § 5º, da Lei n.º 8.036/90, ao determinar que a licença por acidente de trabalho será causa de interrupção do contrato de trabalho, com obrigatoriedade de recolhimento do FGTS, estabeleceu situação excepcional que não admite interpretação ampliativa para abarcar a aposentadoria por </w:t>
      </w:r>
      <w:r w:rsidRPr="00977EDD">
        <w:rPr>
          <w:rFonts w:ascii="Times New Roman" w:hAnsi="Times New Roman"/>
          <w:iCs/>
          <w:color w:val="auto"/>
          <w:lang w:val="pt-BR"/>
        </w:rPr>
        <w:lastRenderedPageBreak/>
        <w:t xml:space="preserve">invalidez decorrente de acidente de trabalho. </w:t>
      </w:r>
      <w:hyperlink r:id="rId10" w:history="1">
        <w:r w:rsidRPr="00977EDD">
          <w:rPr>
            <w:rStyle w:val="Hyperlink"/>
            <w:rFonts w:ascii="Times New Roman" w:hAnsi="Times New Roman" w:cs="Courier New"/>
            <w:bCs/>
            <w:iCs/>
            <w:lang w:val="pt-BR"/>
          </w:rPr>
          <w:t>TST-EEDRR-133900-84.2009.5.03.0057</w:t>
        </w:r>
      </w:hyperlink>
      <w:r w:rsidRPr="00977EDD">
        <w:rPr>
          <w:rFonts w:ascii="Times New Roman" w:hAnsi="Times New Roman"/>
          <w:bCs/>
          <w:iCs/>
          <w:color w:val="000000"/>
          <w:u w:val="single"/>
          <w:lang w:val="pt-BR"/>
        </w:rPr>
        <w:t>, SBDI-I, rel. Min. Horácio Raymundo de Senna Pires</w:t>
      </w:r>
      <w:r w:rsidR="00977EDD">
        <w:rPr>
          <w:rFonts w:ascii="Times New Roman" w:hAnsi="Times New Roman"/>
          <w:bCs/>
          <w:iCs/>
          <w:color w:val="000000"/>
          <w:u w:val="single"/>
          <w:lang w:val="pt-BR"/>
        </w:rPr>
        <w:t>,</w:t>
      </w:r>
      <w:r w:rsidRPr="00977EDD">
        <w:rPr>
          <w:rFonts w:ascii="Times New Roman" w:hAnsi="Times New Roman"/>
          <w:bCs/>
          <w:iCs/>
          <w:color w:val="000000"/>
          <w:u w:val="single"/>
          <w:lang w:val="pt-BR"/>
        </w:rPr>
        <w:t xml:space="preserve"> 24.5.2012.</w:t>
      </w:r>
    </w:p>
    <w:p w:rsidR="00280CAF" w:rsidRPr="00977EDD" w:rsidRDefault="00280CAF">
      <w:pPr>
        <w:jc w:val="both"/>
        <w:rPr>
          <w:sz w:val="10"/>
          <w:szCs w:val="10"/>
          <w:u w:val="single"/>
        </w:rPr>
      </w:pPr>
    </w:p>
    <w:p w:rsidR="005E3043" w:rsidRPr="00977EDD" w:rsidRDefault="005E3043" w:rsidP="005B0F6E">
      <w:pPr>
        <w:jc w:val="both"/>
        <w:rPr>
          <w:b/>
          <w:i/>
          <w:sz w:val="24"/>
          <w:szCs w:val="24"/>
        </w:rPr>
      </w:pPr>
      <w:r w:rsidRPr="00977EDD">
        <w:rPr>
          <w:b/>
          <w:i/>
          <w:sz w:val="24"/>
          <w:szCs w:val="24"/>
        </w:rPr>
        <w:t xml:space="preserve">Competência da Justiça do Trabalho. Execução de ofício de contribuição previdenciária. Acordo firmado perante Comissão de Conciliação Prévia. </w:t>
      </w:r>
    </w:p>
    <w:p w:rsidR="005E3043" w:rsidRPr="00977EDD" w:rsidRDefault="005E3043" w:rsidP="005B0F6E">
      <w:pPr>
        <w:jc w:val="both"/>
        <w:rPr>
          <w:sz w:val="24"/>
          <w:szCs w:val="24"/>
          <w:u w:val="single"/>
        </w:rPr>
      </w:pPr>
      <w:r w:rsidRPr="00977EDD">
        <w:rPr>
          <w:sz w:val="24"/>
          <w:szCs w:val="24"/>
        </w:rPr>
        <w:t xml:space="preserve">A Justiça do Trabalho é competente para executar, de ofício, as contribuições previdenciárias referentes ao valor fixado em acordo firmado perante Comissão de Conciliação Prévia, nos termos do art. 114, IX, da CF c/c o art. 43, § 6º, da Lei n.º 8.212/91 e os arts. 876 e 877-A da CLT. Com esse entendimento, a SBDI-I, em sua composição plena, vislumbrando divergência jurisprudencial específica, conheceu dos embargos, por maioria, e, no mérito, ainda por maioria, deu-lhes provimento para restabelecer a decisão do Regional. Vencidos, quanto ao conhecimento, os Ministros Lelio Bentes Corrêa e Dora Maria da Costa e, no mérito, a Ministra Maria Cristina Peduzzi. </w:t>
      </w:r>
      <w:hyperlink r:id="rId11" w:history="1">
        <w:r w:rsidRPr="00977EDD">
          <w:rPr>
            <w:rStyle w:val="Hyperlink"/>
            <w:sz w:val="24"/>
            <w:szCs w:val="24"/>
          </w:rPr>
          <w:t>TST-E-RR-40600-80.2009.5.09.0096</w:t>
        </w:r>
      </w:hyperlink>
      <w:r w:rsidRPr="00977EDD">
        <w:rPr>
          <w:sz w:val="24"/>
          <w:szCs w:val="24"/>
          <w:u w:val="single"/>
        </w:rPr>
        <w:t>, SBDI-</w:t>
      </w:r>
      <w:r w:rsidR="00977EDD">
        <w:rPr>
          <w:sz w:val="24"/>
          <w:szCs w:val="24"/>
          <w:u w:val="single"/>
        </w:rPr>
        <w:t>I</w:t>
      </w:r>
      <w:r w:rsidRPr="00977EDD">
        <w:rPr>
          <w:sz w:val="24"/>
          <w:szCs w:val="24"/>
          <w:u w:val="single"/>
        </w:rPr>
        <w:t>, rel. Min. José Roberto Freire Pimenta, 24.5.2012.</w:t>
      </w:r>
    </w:p>
    <w:p w:rsidR="00280CAF" w:rsidRPr="00977EDD" w:rsidRDefault="00280CAF">
      <w:pPr>
        <w:jc w:val="both"/>
        <w:rPr>
          <w:sz w:val="10"/>
          <w:szCs w:val="10"/>
          <w:u w:val="single"/>
        </w:rPr>
      </w:pPr>
    </w:p>
    <w:p w:rsidR="005E3043" w:rsidRPr="00977EDD" w:rsidRDefault="005E3043" w:rsidP="005E3043">
      <w:pPr>
        <w:ind w:right="-71"/>
        <w:jc w:val="both"/>
        <w:rPr>
          <w:b/>
          <w:i/>
          <w:sz w:val="24"/>
          <w:szCs w:val="24"/>
        </w:rPr>
      </w:pPr>
      <w:r w:rsidRPr="00977EDD">
        <w:rPr>
          <w:b/>
          <w:i/>
          <w:sz w:val="24"/>
          <w:szCs w:val="24"/>
        </w:rPr>
        <w:t>Revelia e confissão ficta. Atraso do preposto à audiência inaugural. Comparecimento antes da tentativa de conciliação. Ausência de contrariedade à Orientação Jurisprudencial n.º 245 da SBDI-I.</w:t>
      </w:r>
    </w:p>
    <w:p w:rsidR="005E3043" w:rsidRPr="00977EDD" w:rsidRDefault="005E3043" w:rsidP="005E3043">
      <w:pPr>
        <w:jc w:val="both"/>
        <w:rPr>
          <w:sz w:val="24"/>
          <w:szCs w:val="24"/>
          <w:u w:val="single"/>
        </w:rPr>
      </w:pPr>
      <w:r w:rsidRPr="00977EDD">
        <w:rPr>
          <w:sz w:val="24"/>
          <w:szCs w:val="24"/>
        </w:rPr>
        <w:t xml:space="preserve">Conquanto a Orientação Jurisprudencial n.º 245 da SBDI-I estabeleça que “inexiste previsão legal tolerando o atraso no horário de comparecimento da parte na audiência”, esse entendimento deve ser conjugado com os princípios da informalidade e da simplicidade que regem o Processo do Trabalho. Assim, tendo em conta que, no caso, a audiência teve início com a presença do advogado da reclamada e o preposto adentrou a sala sete minutos após o início, no momento em que o juiz designava perito, porém antes da tentativa de conciliação, participando da sessão até seu término, a SBDI-I, em sua composição plena, decidiu, pelo voto prevalente da Presidência, não conhecer dos embargos, ressaltando que, no caso, não há registro de que o comparecimento tardio do preposto tenha causado prejuízo à audiência ou retardado ato processual.  Vencidos os Ministros Rosa Maria Weber, relatora, Antônio José de Barros Levenhagen, Lelio Bentes Corrêa, Horácio Raymundo de Senna Pires, Augusto César Leite de Carvalho, José Roberto Freire Pimenta e Delaíde Miranda Arantes, os quais conheciam do recurso por contrariedade à Orientação Jurisprudencial n.º 245 da SBDI-I e, no mérito, davam-lhe provimento para declarar a revelia e aplicar a confissão à reclamada quanto à matéria de fato. </w:t>
      </w:r>
      <w:hyperlink r:id="rId12" w:history="1">
        <w:r w:rsidRPr="00977EDD">
          <w:rPr>
            <w:rStyle w:val="Hyperlink"/>
            <w:sz w:val="24"/>
            <w:szCs w:val="24"/>
          </w:rPr>
          <w:t>TST-E-RR-28400-60.2004.5.10.0008</w:t>
        </w:r>
      </w:hyperlink>
      <w:r w:rsidRPr="00977EDD">
        <w:rPr>
          <w:sz w:val="24"/>
          <w:szCs w:val="24"/>
          <w:u w:val="single"/>
        </w:rPr>
        <w:t>, SBDI-I, rel. Min. Rosa Maria Weber, red. p/ acórdão Min. Maria Cristina Irigoyen Peduzzi, 24.5.2012.</w:t>
      </w:r>
    </w:p>
    <w:p w:rsidR="005E3043" w:rsidRPr="00977EDD" w:rsidRDefault="005E3043">
      <w:pPr>
        <w:jc w:val="both"/>
        <w:rPr>
          <w:sz w:val="10"/>
          <w:szCs w:val="10"/>
          <w:u w:val="single"/>
        </w:rPr>
      </w:pPr>
    </w:p>
    <w:p w:rsidR="005E3043" w:rsidRPr="00977EDD" w:rsidRDefault="005E3043" w:rsidP="005B0F6E">
      <w:pPr>
        <w:jc w:val="both"/>
        <w:rPr>
          <w:b/>
          <w:i/>
          <w:sz w:val="24"/>
          <w:szCs w:val="24"/>
        </w:rPr>
      </w:pPr>
      <w:r w:rsidRPr="00977EDD">
        <w:rPr>
          <w:b/>
          <w:i/>
          <w:sz w:val="24"/>
          <w:szCs w:val="24"/>
        </w:rPr>
        <w:t xml:space="preserve">Horas </w:t>
      </w:r>
      <w:r w:rsidRPr="00977EDD">
        <w:rPr>
          <w:i/>
          <w:sz w:val="24"/>
          <w:szCs w:val="24"/>
        </w:rPr>
        <w:t>in itinere</w:t>
      </w:r>
      <w:r w:rsidRPr="00977EDD">
        <w:rPr>
          <w:b/>
          <w:i/>
          <w:sz w:val="24"/>
          <w:szCs w:val="24"/>
        </w:rPr>
        <w:t xml:space="preserve">. Norma coletiva que fixa o número de horas a serem pagas em quantidade muito inferior ao tempo gasto no trajeto. Invalidade.  </w:t>
      </w:r>
    </w:p>
    <w:p w:rsidR="005E3043" w:rsidRPr="00977EDD" w:rsidRDefault="005E3043" w:rsidP="005E3043">
      <w:pPr>
        <w:jc w:val="both"/>
        <w:rPr>
          <w:sz w:val="24"/>
          <w:szCs w:val="24"/>
        </w:rPr>
      </w:pPr>
      <w:r w:rsidRPr="00977EDD">
        <w:rPr>
          <w:sz w:val="24"/>
          <w:szCs w:val="24"/>
        </w:rPr>
        <w:t xml:space="preserve">Em regra, é válida a norma coletiva que estabelece um tempo fixo diário a ser pago a título de horas </w:t>
      </w:r>
      <w:r w:rsidRPr="00977EDD">
        <w:rPr>
          <w:i/>
          <w:sz w:val="24"/>
          <w:szCs w:val="24"/>
        </w:rPr>
        <w:t>in itinere</w:t>
      </w:r>
      <w:r w:rsidRPr="00977EDD">
        <w:rPr>
          <w:sz w:val="24"/>
          <w:szCs w:val="24"/>
        </w:rPr>
        <w:t xml:space="preserve"> (art. 7º, XXVI, da CF). Todavia, o tempo ajustado deve guardar proporcionalidade com o tempo efetivamente gasto nos deslocamentos, a fim de não configurar subversão ao direito à livre negociação coletiva e verdadeira renúncia a direito garantido por lei (art. 58, § 2º, da CLT), resultando em prejuízo ao empregado. </w:t>
      </w:r>
      <w:r w:rsidRPr="00977EDD">
        <w:rPr>
          <w:i/>
          <w:sz w:val="24"/>
          <w:szCs w:val="24"/>
        </w:rPr>
        <w:t>In casu</w:t>
      </w:r>
      <w:r w:rsidRPr="00977EDD">
        <w:rPr>
          <w:sz w:val="24"/>
          <w:szCs w:val="24"/>
        </w:rPr>
        <w:t xml:space="preserve">, foi ajustado o pagamento de uma hora diária, a despeito de o tempo efetivamente gasto nos percursos de ida e volta ao trabalho ser de duas horas e quinze minutos. Com esse entendimento, a SBDI-I, em sua composição plena, por unanimidade, conheceu do recurso de embargos, por divergência jurisprudencial, e, no mérito, por maioria, deu-lhe provimento para restabelecer o acórdão do TRT que condenara a empresa ao pagamento, como extras, de duas horas e quinze minutos diários a título de horas </w:t>
      </w:r>
      <w:r w:rsidRPr="00977EDD">
        <w:rPr>
          <w:i/>
          <w:sz w:val="24"/>
          <w:szCs w:val="24"/>
        </w:rPr>
        <w:t>in itinere</w:t>
      </w:r>
      <w:r w:rsidRPr="00977EDD">
        <w:rPr>
          <w:sz w:val="24"/>
          <w:szCs w:val="24"/>
        </w:rPr>
        <w:t xml:space="preserve"> e reflexos. Vencidos os Ministros Maria Cristina Irigoyen Peduzzi, João Oreste Dalazen, Antonio José de Barros Levenhagen, Ives Gandra da Silva Martins Filho, Brito Pereira e Dora Maria da Costa. </w:t>
      </w:r>
      <w:hyperlink r:id="rId13" w:history="1">
        <w:r w:rsidRPr="00977EDD">
          <w:rPr>
            <w:rStyle w:val="Hyperlink"/>
            <w:sz w:val="24"/>
            <w:szCs w:val="24"/>
          </w:rPr>
          <w:t>TST-E-RR-470-29.2010.5.09.0091</w:t>
        </w:r>
      </w:hyperlink>
      <w:r w:rsidRPr="00977EDD">
        <w:rPr>
          <w:sz w:val="24"/>
          <w:szCs w:val="24"/>
          <w:u w:val="single"/>
        </w:rPr>
        <w:t>, SBDI-I, rel. Min. Renato de Lacerda Paiva, 24.5.2012</w:t>
      </w:r>
      <w:r w:rsidRPr="00977EDD">
        <w:rPr>
          <w:sz w:val="24"/>
          <w:szCs w:val="24"/>
        </w:rPr>
        <w:t>.</w:t>
      </w:r>
    </w:p>
    <w:p w:rsidR="005E3043" w:rsidRPr="00977EDD" w:rsidRDefault="005E3043" w:rsidP="005E3043">
      <w:pPr>
        <w:jc w:val="both"/>
        <w:rPr>
          <w:sz w:val="10"/>
          <w:szCs w:val="10"/>
          <w:u w:val="single"/>
        </w:rPr>
      </w:pPr>
    </w:p>
    <w:p w:rsidR="005E3043" w:rsidRPr="00977EDD" w:rsidRDefault="005E3043" w:rsidP="005B0F6E">
      <w:pPr>
        <w:jc w:val="both"/>
        <w:rPr>
          <w:b/>
          <w:i/>
          <w:sz w:val="24"/>
          <w:szCs w:val="24"/>
        </w:rPr>
      </w:pPr>
      <w:r w:rsidRPr="00977EDD">
        <w:rPr>
          <w:b/>
          <w:i/>
          <w:sz w:val="24"/>
          <w:szCs w:val="24"/>
        </w:rPr>
        <w:t>Danos morais e materiais decorrentes da relação de emprego não oriundos de acidente de trabalho. Indenização. Lesão anterior à vigência da EC n.º 45/2004.  Prescrição cível.</w:t>
      </w:r>
    </w:p>
    <w:p w:rsidR="005E3043" w:rsidRPr="00977EDD" w:rsidRDefault="005E3043" w:rsidP="005B0F6E">
      <w:pPr>
        <w:jc w:val="both"/>
        <w:rPr>
          <w:sz w:val="24"/>
          <w:szCs w:val="24"/>
        </w:rPr>
      </w:pPr>
      <w:r w:rsidRPr="00977EDD">
        <w:rPr>
          <w:sz w:val="24"/>
          <w:szCs w:val="24"/>
        </w:rPr>
        <w:t xml:space="preserve">Na hipótese em que se postula o pagamento de indenização por danos morais e materiais que tenham origem na relação de emprego, ainda que não decorram de acidente de trabalho, a regra prescricional aplicável é definida levando-se em conta a data da lesão ou da ciência inequívoca do evento danoso, se anterior ou posterior à Emenda Constitucional nº 45/2004. Assim, ocorrida a lesão antes da vigência da referida emenda, incide o prazo cível, observando-se o disposto no art. 206, § 3º, V, do CC e a regra de transição prevista no art. 2.028 do mesmo diploma legal. De outra sorte, em sendo o dano posterior à EC nº 45/2004, aplica-se a prescrição trabalhista de que trata o art. 7º, XXIX, da CF. Com base nessas premissas e tendo em conta que, no caso, o dano ocorreu em momento anterior à publicação da EC nº 45/04 e que, pela regra de transição, não há falar em prescrição, a SBDI-I, em sua composição plena, por unanimidade, conheceu dos embargos, por divergência jurisprudencial, e, no mérito, por maioria, deu-lhes provimento para determinar o retorno dos autos à Vara do Trabalho de origem para, afastada a prescrição trabalhista, julgar a pretensão como entender de direito. Vencidos os Ministros Maria Cristina Peduzzi, Dora Maria da Costa e Antônio José de Barros Levenhagen. </w:t>
      </w:r>
      <w:hyperlink r:id="rId14" w:history="1">
        <w:r w:rsidRPr="00977EDD">
          <w:rPr>
            <w:rStyle w:val="Hyperlink"/>
            <w:sz w:val="24"/>
            <w:szCs w:val="24"/>
          </w:rPr>
          <w:t>TST-E-ED-RR-22300-29.2006.5.02.0433</w:t>
        </w:r>
      </w:hyperlink>
      <w:r w:rsidRPr="00977EDD">
        <w:rPr>
          <w:sz w:val="24"/>
          <w:szCs w:val="24"/>
          <w:u w:val="single"/>
        </w:rPr>
        <w:t>, SBDI-I, rel. Min. Brito Pereira, 24.5.2012.</w:t>
      </w:r>
    </w:p>
    <w:p w:rsidR="00C26DFB" w:rsidRPr="00977EDD" w:rsidRDefault="00C26DFB" w:rsidP="005B0F6E">
      <w:pPr>
        <w:jc w:val="both"/>
        <w:rPr>
          <w:sz w:val="10"/>
          <w:szCs w:val="10"/>
          <w:u w:val="single"/>
        </w:rPr>
      </w:pPr>
    </w:p>
    <w:p w:rsidR="00A77134" w:rsidRPr="00977EDD" w:rsidRDefault="00A77134" w:rsidP="005B0F6E">
      <w:pPr>
        <w:jc w:val="both"/>
        <w:rPr>
          <w:b/>
          <w:i/>
          <w:sz w:val="24"/>
          <w:szCs w:val="24"/>
        </w:rPr>
      </w:pPr>
      <w:r w:rsidRPr="00977EDD">
        <w:rPr>
          <w:b/>
          <w:i/>
          <w:sz w:val="24"/>
          <w:szCs w:val="24"/>
        </w:rPr>
        <w:t>CEF. Auxílio alimentação instituído em norma regulamentar. Posterior adesão ao PAT. Modificação da natureza jurídica da parcela. Prescrição total. Súmula n.º 294 do TST.</w:t>
      </w:r>
    </w:p>
    <w:p w:rsidR="00A77134" w:rsidRPr="00977EDD" w:rsidRDefault="00A77134" w:rsidP="005B0F6E">
      <w:pPr>
        <w:jc w:val="both"/>
        <w:rPr>
          <w:sz w:val="24"/>
          <w:szCs w:val="24"/>
        </w:rPr>
      </w:pPr>
      <w:r w:rsidRPr="00977EDD">
        <w:rPr>
          <w:sz w:val="24"/>
          <w:szCs w:val="24"/>
        </w:rPr>
        <w:t xml:space="preserve">O auxílio alimentação pago pela Caixa Econômica Federal aos seus empregados foi instituído por norma regulamentar, razão pela qual a pretensão às diferenças decorrentes da modificação da natureza jurídica da parcela, oriunda da inscrição da CEF no Programa de Alimentação do Trabalhador (PAT), configura pedido de prestações sucessivas decorrentes de alteração contratual envolvendo verba não prevista em lei a atrair a incidência da prescrição total, nos termos da Súmula n.º 294 do TST. Com base nesse entendimento, a SBDI-I, em sua composição plena, conheceu dos embargos por contrariedade à Súmula n.º 294 do TST, à unanimidade, e, no mérito, por maioria, deu provimento ao recurso para restabelecer o acórdão do Regional, que pronunciara a prescrição total da pretensão. Vencidos os Ministros Aloysio Corrêa da Veiga, relator, Horácio Raymundo de Senna Pires, Augusto César Leite de Carvalho, José Roberto Freire Pimenta, Delaíde Miranda Arantes e Lelio Bentes Corrêa. </w:t>
      </w:r>
      <w:hyperlink r:id="rId15" w:history="1">
        <w:r w:rsidRPr="00977EDD">
          <w:rPr>
            <w:rStyle w:val="Hyperlink"/>
            <w:sz w:val="24"/>
            <w:szCs w:val="24"/>
          </w:rPr>
          <w:t>TST-E-ED-RR-157000-82.2007.5.03.0075</w:t>
        </w:r>
      </w:hyperlink>
      <w:r w:rsidRPr="00977EDD">
        <w:rPr>
          <w:sz w:val="24"/>
          <w:szCs w:val="24"/>
          <w:u w:val="single"/>
        </w:rPr>
        <w:t>, SBDI-I, rel. Min. Aloysio Corrêa da Veiga, red. p/ acórdão Min. Ives Gandra da Silva Martins Filho, 24.5.2012.</w:t>
      </w:r>
    </w:p>
    <w:p w:rsidR="005E3043" w:rsidRPr="00977EDD" w:rsidRDefault="005E3043">
      <w:pPr>
        <w:jc w:val="both"/>
        <w:rPr>
          <w:sz w:val="10"/>
          <w:szCs w:val="10"/>
          <w:u w:val="single"/>
        </w:rPr>
      </w:pPr>
    </w:p>
    <w:p w:rsidR="00A77134" w:rsidRPr="00977EDD" w:rsidRDefault="00A77134" w:rsidP="00A77134">
      <w:pPr>
        <w:pStyle w:val="Default"/>
        <w:jc w:val="both"/>
        <w:rPr>
          <w:b/>
          <w:bCs/>
          <w:i/>
          <w:iCs/>
        </w:rPr>
      </w:pPr>
      <w:r w:rsidRPr="00977EDD">
        <w:rPr>
          <w:b/>
          <w:bCs/>
          <w:i/>
          <w:iCs/>
        </w:rPr>
        <w:t>Majoração lesiva da jornada de trabalho. Alteração do pactuado. Pagamento de horas extras. Prescrição total. Súmula n.º 294 do TST.</w:t>
      </w:r>
    </w:p>
    <w:p w:rsidR="00A77134" w:rsidRPr="00977EDD" w:rsidRDefault="00A77134" w:rsidP="00A77134">
      <w:pPr>
        <w:pStyle w:val="Default"/>
        <w:jc w:val="both"/>
        <w:rPr>
          <w:color w:val="auto"/>
        </w:rPr>
      </w:pPr>
      <w:r w:rsidRPr="00977EDD">
        <w:t xml:space="preserve">Incide a prescrição total sobre a pretensão de recebimento de horas extras fundada na alteração lesiva da jornada de trabalho de 180 para 220 horas, porquanto não há preceito de lei que assegure a carga horária de 180 horas mensais. Configura-se, portanto, alteração do pactuado a atrair a incidência da primeira parte da Súmula n.º 294 do TST. Com esse entendimento a SBDI-I, em sua composição plena, conheceu dos embargos por unanimidade e, no mérito, por maioria, negou-lhes provimento. Vencidos os Ministros </w:t>
      </w:r>
      <w:r w:rsidRPr="00977EDD">
        <w:rPr>
          <w:color w:val="auto"/>
        </w:rPr>
        <w:t xml:space="preserve">Rosa Maria Weber, relatora, Horácio Senna Pires, Augusto César de Carvalho, José Roberto Pimenta, Delaíde Miranda Arantes e o Desembargador Convocado Sebastião Geraldo de Oliveira. </w:t>
      </w:r>
      <w:hyperlink r:id="rId16" w:history="1">
        <w:r w:rsidRPr="00977EDD">
          <w:rPr>
            <w:rStyle w:val="Hyperlink"/>
          </w:rPr>
          <w:t>TST-E-ED-RR-113840-26.2003.5.04.0008</w:t>
        </w:r>
      </w:hyperlink>
      <w:r w:rsidRPr="00977EDD">
        <w:rPr>
          <w:color w:val="auto"/>
          <w:u w:val="single"/>
        </w:rPr>
        <w:t>, SBDI-I, rel. Min. Rosa Maria Weber, red. p/ acórdão Min. Maria Cristina Irigoyen Peduzzi, 24.5.2012</w:t>
      </w:r>
      <w:r w:rsidRPr="00977EDD">
        <w:rPr>
          <w:color w:val="auto"/>
        </w:rPr>
        <w:t>.</w:t>
      </w:r>
    </w:p>
    <w:p w:rsidR="00A77134" w:rsidRPr="00977EDD" w:rsidRDefault="00A77134">
      <w:pPr>
        <w:jc w:val="both"/>
        <w:rPr>
          <w:sz w:val="10"/>
          <w:szCs w:val="10"/>
          <w:u w:val="single"/>
        </w:rPr>
      </w:pPr>
    </w:p>
    <w:p w:rsidR="00450A2B" w:rsidRPr="00977EDD" w:rsidRDefault="00450A2B" w:rsidP="00450A2B">
      <w:pPr>
        <w:pStyle w:val="Ementa"/>
        <w:ind w:left="0"/>
        <w:rPr>
          <w:rFonts w:ascii="Times New Roman" w:hAnsi="Times New Roman"/>
          <w:b/>
          <w:i/>
          <w:color w:val="auto"/>
          <w:lang w:val="pt-BR"/>
        </w:rPr>
      </w:pPr>
      <w:r w:rsidRPr="00977EDD">
        <w:rPr>
          <w:rFonts w:ascii="Times New Roman" w:hAnsi="Times New Roman"/>
          <w:b/>
          <w:i/>
          <w:color w:val="auto"/>
          <w:lang w:val="pt-BR"/>
        </w:rPr>
        <w:t xml:space="preserve">Terço constitucional. Art. 7º, XVII, da CF. Férias não usufruídas em razão de concessão de licença remunerada superior a 30 dias. Art. 133, II, da CLT. Devido. </w:t>
      </w:r>
    </w:p>
    <w:p w:rsidR="00450A2B" w:rsidRPr="00977EDD" w:rsidRDefault="00450A2B" w:rsidP="00450A2B">
      <w:pPr>
        <w:pStyle w:val="Corpodetexto2"/>
        <w:tabs>
          <w:tab w:val="left" w:pos="8364"/>
        </w:tabs>
        <w:rPr>
          <w:sz w:val="24"/>
          <w:szCs w:val="24"/>
        </w:rPr>
      </w:pPr>
      <w:r w:rsidRPr="00977EDD">
        <w:rPr>
          <w:sz w:val="24"/>
          <w:szCs w:val="24"/>
        </w:rPr>
        <w:t xml:space="preserve">O empregado que perdeu o direito às férias em razão da concessão, durante o período aquisitivo, de licença remunerada por período superior a trinta dias, nos termos do art. 133, II, da CLT, faz jus à percepção do terço constitucional (art. 7º, XVII, da CF). À época em que editado o Decreto-lei n.º 1.535/77, que conferiu nova redação ao art. 133 da CLT, vigia a Constituição anterior, que assegurava ao trabalhador apenas o direito às férias anuais remuneradas, sem o respectivo adicional, de modo que o referido dispositivo consolidado não tem o condão de retirar direito criado após a sua edição. Ademais, na espécie, a referida licença não decorreu de requerimento do empregado, mas de paralisação das atividades da empresa por força de interdição judicial, razão pela qual a não percepção do terço constitucional também implicaria em transferir os riscos da atividade econômica ao trabalhador, impondo-lhe prejuízo inaceitável. Com esse entendimento, a SBDI-I, em sua composição plena, por maioria, deu provimento aos embargos para acrescer à condenação o pagamento do adicional de 1/3 das férias, previsto no art. 7º, XVII, da CF, atinente aos períodos em que o autor foi afastado em razão de gozo de licença remunerada, observada a prescrição pronunciada. Vencidos os Ministros Maria Cristina Peduzzi, João Oreste Dalazen, Brito Pereira, Lelio Bentes Corrêa e Dora Maria da Costa. </w:t>
      </w:r>
      <w:hyperlink r:id="rId17" w:history="1">
        <w:r w:rsidRPr="00977EDD">
          <w:rPr>
            <w:rStyle w:val="Hyperlink"/>
            <w:sz w:val="24"/>
            <w:szCs w:val="24"/>
          </w:rPr>
          <w:t>TST-E-RR-42700-67.2002.5.02.0251</w:t>
        </w:r>
      </w:hyperlink>
      <w:r w:rsidRPr="00977EDD">
        <w:rPr>
          <w:sz w:val="24"/>
          <w:szCs w:val="24"/>
          <w:u w:val="single"/>
        </w:rPr>
        <w:t>, SBDI-I, rel. Min. Rosa Maria Weber,</w:t>
      </w:r>
      <w:r w:rsidR="00977EDD">
        <w:rPr>
          <w:sz w:val="24"/>
          <w:szCs w:val="24"/>
          <w:u w:val="single"/>
        </w:rPr>
        <w:t xml:space="preserve"> </w:t>
      </w:r>
      <w:r w:rsidRPr="00977EDD">
        <w:rPr>
          <w:sz w:val="24"/>
          <w:szCs w:val="24"/>
          <w:u w:val="single"/>
        </w:rPr>
        <w:t>24.5.2012.</w:t>
      </w:r>
    </w:p>
    <w:p w:rsidR="00450A2B" w:rsidRPr="00977EDD" w:rsidRDefault="00450A2B">
      <w:pPr>
        <w:jc w:val="both"/>
        <w:rPr>
          <w:sz w:val="24"/>
          <w:szCs w:val="24"/>
          <w:u w:val="single"/>
        </w:rPr>
      </w:pPr>
    </w:p>
    <w:p w:rsidR="00184590" w:rsidRPr="005D1DE4"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outlineLvl w:val="0"/>
        <w:rPr>
          <w:b w:val="0"/>
          <w:bCs w:val="0"/>
          <w:snapToGrid w:val="0"/>
          <w:sz w:val="20"/>
          <w:szCs w:val="20"/>
        </w:rPr>
      </w:pPr>
      <w:r w:rsidRPr="005D1DE4">
        <w:rPr>
          <w:b w:val="0"/>
          <w:bCs w:val="0"/>
          <w:snapToGrid w:val="0"/>
          <w:sz w:val="20"/>
          <w:szCs w:val="20"/>
        </w:rPr>
        <w:t xml:space="preserve">Informativo TST é mantido pela </w:t>
      </w:r>
    </w:p>
    <w:p w:rsidR="00184590" w:rsidRPr="005D1DE4"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rPr>
          <w:b w:val="0"/>
          <w:bCs w:val="0"/>
          <w:snapToGrid w:val="0"/>
          <w:sz w:val="20"/>
          <w:szCs w:val="20"/>
        </w:rPr>
      </w:pPr>
      <w:r w:rsidRPr="005D1DE4">
        <w:rPr>
          <w:b w:val="0"/>
          <w:bCs w:val="0"/>
          <w:snapToGrid w:val="0"/>
          <w:sz w:val="20"/>
          <w:szCs w:val="20"/>
        </w:rPr>
        <w:t>Coordenadoria de Jurisprudência – CJUR</w:t>
      </w:r>
    </w:p>
    <w:p w:rsidR="00184590" w:rsidRPr="005D1DE4"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rPr>
      </w:pPr>
      <w:r w:rsidRPr="005D1DE4">
        <w:rPr>
          <w:snapToGrid w:val="0"/>
        </w:rPr>
        <w:t>Informações/Sugestões/Críticas</w:t>
      </w:r>
      <w:r w:rsidRPr="005D1DE4">
        <w:rPr>
          <w:snapToGrid w:val="0"/>
          <w:sz w:val="22"/>
          <w:szCs w:val="22"/>
        </w:rPr>
        <w:t xml:space="preserve">: </w:t>
      </w:r>
      <w:r w:rsidRPr="005D1DE4">
        <w:rPr>
          <w:snapToGrid w:val="0"/>
        </w:rPr>
        <w:t>(61)3043</w:t>
      </w:r>
      <w:r w:rsidR="00352B27">
        <w:rPr>
          <w:snapToGrid w:val="0"/>
        </w:rPr>
        <w:t>-</w:t>
      </w:r>
      <w:r w:rsidRPr="005D1DE4">
        <w:rPr>
          <w:snapToGrid w:val="0"/>
        </w:rPr>
        <w:t>4</w:t>
      </w:r>
      <w:r w:rsidR="00D72C05" w:rsidRPr="005D1DE4">
        <w:rPr>
          <w:snapToGrid w:val="0"/>
        </w:rPr>
        <w:t>417</w:t>
      </w:r>
    </w:p>
    <w:p w:rsidR="007614F1" w:rsidRPr="005D1DE4"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2"/>
          <w:szCs w:val="22"/>
        </w:rPr>
      </w:pPr>
      <w:r w:rsidRPr="005D1DE4">
        <w:rPr>
          <w:snapToGrid w:val="0"/>
        </w:rPr>
        <w:t>cjur@tst.jus.br</w:t>
      </w:r>
    </w:p>
    <w:sectPr w:rsidR="007614F1" w:rsidRPr="005D1DE4" w:rsidSect="00D11B24">
      <w:headerReference w:type="default" r:id="rId18"/>
      <w:footerReference w:type="default" r:id="rId19"/>
      <w:headerReference w:type="first" r:id="rId20"/>
      <w:footerReference w:type="first" r:id="rId21"/>
      <w:type w:val="continuous"/>
      <w:pgSz w:w="11907" w:h="16839" w:code="9"/>
      <w:pgMar w:top="1304" w:right="1134" w:bottom="851" w:left="1134" w:header="709" w:footer="709"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72F" w:rsidRDefault="0021472F">
      <w:r>
        <w:separator/>
      </w:r>
    </w:p>
  </w:endnote>
  <w:endnote w:type="continuationSeparator" w:id="0">
    <w:p w:rsidR="0021472F" w:rsidRDefault="00214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Default="00FE00AD">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6209F">
      <w:rPr>
        <w:rStyle w:val="Nmerodepgina"/>
        <w:noProof/>
      </w:rPr>
      <w:t>4</w:t>
    </w:r>
    <w:r>
      <w:rPr>
        <w:rStyle w:val="Nmerodepgina"/>
      </w:rPr>
      <w:fldChar w:fldCharType="end"/>
    </w:r>
  </w:p>
  <w:p w:rsidR="00FE00AD" w:rsidRDefault="00187A37">
    <w:pPr>
      <w:pStyle w:val="Rodap"/>
      <w:ind w:right="360"/>
    </w:pPr>
    <w:r>
      <w:rPr>
        <w:noProof/>
      </w:rPr>
      <w:pict>
        <v:line id="_x0000_s2050" style="position:absolute;z-index:251658240" from=".9pt,-3.55pt" to="497.7pt,-3.55pt" o:allowincell="f" strokecolor="#969696"/>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Default="00187A37">
    <w:pPr>
      <w:pStyle w:val="Rodap"/>
      <w:jc w:val="right"/>
    </w:pPr>
    <w:r>
      <w:rPr>
        <w:noProof/>
      </w:rPr>
      <w:pict>
        <v:line id="_x0000_s2054" style="position:absolute;left:0;text-align:left;flip:y;z-index:251659264" from=".9pt,-3.55pt" to="497.7pt,-3.4pt" o:allowincell="f" strokecolor="#969696"/>
      </w:pict>
    </w:r>
    <w:r w:rsidR="00FE00AD">
      <w:rPr>
        <w:rStyle w:val="Nmerodepgina"/>
      </w:rPr>
      <w:fldChar w:fldCharType="begin"/>
    </w:r>
    <w:r w:rsidR="00FE00AD">
      <w:rPr>
        <w:rStyle w:val="Nmerodepgina"/>
      </w:rPr>
      <w:instrText xml:space="preserve"> PAGE </w:instrText>
    </w:r>
    <w:r w:rsidR="00FE00AD">
      <w:rPr>
        <w:rStyle w:val="Nmerodepgina"/>
      </w:rPr>
      <w:fldChar w:fldCharType="separate"/>
    </w:r>
    <w:r w:rsidR="00EB1FBC">
      <w:rPr>
        <w:rStyle w:val="Nmerodepgina"/>
        <w:noProof/>
      </w:rPr>
      <w:t>1</w:t>
    </w:r>
    <w:r w:rsidR="00FE00AD">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72F" w:rsidRDefault="0021472F">
      <w:r>
        <w:separator/>
      </w:r>
    </w:p>
  </w:footnote>
  <w:footnote w:type="continuationSeparator" w:id="0">
    <w:p w:rsidR="0021472F" w:rsidRDefault="00214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Pr="00971E07" w:rsidRDefault="00FE00AD">
    <w:pPr>
      <w:pStyle w:val="Corpodetexto"/>
      <w:jc w:val="right"/>
      <w:rPr>
        <w:shadow/>
        <w:sz w:val="24"/>
        <w:szCs w:val="24"/>
      </w:rPr>
    </w:pPr>
    <w:r w:rsidRPr="00971E07">
      <w:rPr>
        <w:shadow/>
        <w:sz w:val="24"/>
        <w:szCs w:val="24"/>
      </w:rPr>
      <w:t xml:space="preserve">Informativo TST - </w:t>
    </w:r>
    <w:r w:rsidR="00986D77">
      <w:rPr>
        <w:shadow/>
        <w:sz w:val="24"/>
        <w:szCs w:val="24"/>
      </w:rPr>
      <w:t>n</w:t>
    </w:r>
    <w:r w:rsidRPr="00971E07">
      <w:rPr>
        <w:shadow/>
        <w:sz w:val="24"/>
        <w:szCs w:val="24"/>
      </w:rPr>
      <w:t xml:space="preserve">º </w:t>
    </w:r>
    <w:r w:rsidR="00AE5EDF" w:rsidRPr="00971E07">
      <w:rPr>
        <w:shadow/>
        <w:sz w:val="24"/>
        <w:szCs w:val="24"/>
      </w:rPr>
      <w:t>1</w:t>
    </w:r>
    <w:r w:rsidR="00450A2B">
      <w:rPr>
        <w:shadow/>
        <w:sz w:val="24"/>
        <w:szCs w:val="24"/>
      </w:rPr>
      <w:t>0</w:t>
    </w:r>
  </w:p>
  <w:p w:rsidR="00FE00AD" w:rsidRPr="00971E07" w:rsidRDefault="00187A37">
    <w:pPr>
      <w:pStyle w:val="Ttulo6"/>
      <w:spacing w:line="360" w:lineRule="auto"/>
      <w:jc w:val="right"/>
      <w:rPr>
        <w:i/>
        <w:iCs/>
        <w:sz w:val="20"/>
        <w:szCs w:val="20"/>
      </w:rPr>
    </w:pPr>
    <w:r>
      <w:rPr>
        <w:noProof/>
      </w:rPr>
      <w:pict>
        <v:line id="_x0000_s2049" style="position:absolute;left:0;text-align:left;flip:x;z-index:251657216" from=".9pt,10.15pt" to="497.7pt,10.15pt" o:allowincell="f" strokecolor="#969696"/>
      </w:pict>
    </w:r>
    <w:r w:rsidR="002168DE">
      <w:rPr>
        <w:sz w:val="20"/>
        <w:szCs w:val="20"/>
      </w:rPr>
      <w:t xml:space="preserve">Período: </w:t>
    </w:r>
    <w:r w:rsidR="00450A2B">
      <w:rPr>
        <w:sz w:val="20"/>
        <w:szCs w:val="20"/>
      </w:rPr>
      <w:t xml:space="preserve">24 a </w:t>
    </w:r>
    <w:r w:rsidR="00593C40">
      <w:rPr>
        <w:sz w:val="20"/>
        <w:szCs w:val="20"/>
      </w:rPr>
      <w:t>30</w:t>
    </w:r>
    <w:r w:rsidR="00FE00AD" w:rsidRPr="00971E07">
      <w:rPr>
        <w:sz w:val="20"/>
        <w:szCs w:val="20"/>
      </w:rPr>
      <w:t xml:space="preserve"> de ma</w:t>
    </w:r>
    <w:r w:rsidR="00450A2B">
      <w:rPr>
        <w:sz w:val="20"/>
        <w:szCs w:val="20"/>
      </w:rPr>
      <w:t>io</w:t>
    </w:r>
    <w:r w:rsidR="00FE00AD" w:rsidRPr="00971E07">
      <w:rPr>
        <w:sz w:val="20"/>
        <w:szCs w:val="20"/>
      </w:rPr>
      <w:t xml:space="preserve"> de 20</w:t>
    </w:r>
    <w:r w:rsidR="00E16E01" w:rsidRPr="00971E07">
      <w:rPr>
        <w:sz w:val="20"/>
        <w:szCs w:val="20"/>
      </w:rPr>
      <w:t>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Default="00075BDB">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65.7pt;margin-top:25pt;width:381.6pt;height:36pt;z-index:251656192" o:allowincell="f" fillcolor="black">
          <v:shadow color="#868686"/>
          <v:textpath style="font-family:&quot;Times New Roman&quot;;v-text-kern:t" trim="t" fitpath="t" string="INFORMATIVO TST"/>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35pt;height:77pt">
          <v:imagedata r:id="rId1" o:title="TST LOGO"/>
        </v:shape>
      </w:pict>
    </w:r>
  </w:p>
  <w:p w:rsidR="00FE00AD" w:rsidRPr="002168DE" w:rsidRDefault="00A51749" w:rsidP="00075BDB">
    <w:pPr>
      <w:pStyle w:val="Cabealho"/>
      <w:tabs>
        <w:tab w:val="clear" w:pos="4419"/>
        <w:tab w:val="clear" w:pos="8838"/>
        <w:tab w:val="left" w:pos="2793"/>
      </w:tabs>
      <w:jc w:val="right"/>
      <w:rPr>
        <w:b/>
        <w:sz w:val="40"/>
        <w:szCs w:val="40"/>
      </w:rPr>
    </w:pPr>
    <w:r>
      <w:tab/>
    </w:r>
    <w:r w:rsidR="00075BDB">
      <w:tab/>
    </w:r>
    <w:r w:rsidR="00075BDB">
      <w:tab/>
    </w:r>
    <w:r w:rsidR="00075BDB">
      <w:tab/>
    </w:r>
    <w:r w:rsidR="00075BDB">
      <w:tab/>
    </w:r>
    <w:r w:rsidR="00075BDB">
      <w:tab/>
    </w:r>
    <w:r w:rsidR="00FE00AD" w:rsidRPr="002168DE">
      <w:rPr>
        <w:b/>
        <w:sz w:val="40"/>
        <w:szCs w:val="40"/>
      </w:rPr>
      <w:t xml:space="preserve">Nº </w:t>
    </w:r>
    <w:r w:rsidR="00AE5EDF" w:rsidRPr="002168DE">
      <w:rPr>
        <w:b/>
        <w:sz w:val="40"/>
        <w:szCs w:val="40"/>
      </w:rPr>
      <w:t>1</w:t>
    </w:r>
    <w:r w:rsidR="00D60B22">
      <w:rPr>
        <w:b/>
        <w:sz w:val="40"/>
        <w:szCs w:val="40"/>
      </w:rPr>
      <w:t>0</w:t>
    </w:r>
  </w:p>
  <w:p w:rsidR="00FE00AD" w:rsidRPr="005D1DE4" w:rsidRDefault="00FE00AD">
    <w:pPr>
      <w:pStyle w:val="Cabealho"/>
      <w:jc w:val="right"/>
      <w:rPr>
        <w:i/>
        <w:iCs/>
        <w:sz w:val="10"/>
        <w:szCs w:val="10"/>
      </w:rPr>
    </w:pPr>
  </w:p>
  <w:p w:rsidR="00FE00AD" w:rsidRPr="005D1DE4" w:rsidRDefault="002168DE">
    <w:pPr>
      <w:pStyle w:val="Cabealho"/>
      <w:jc w:val="right"/>
    </w:pPr>
    <w:r>
      <w:rPr>
        <w:i/>
        <w:iCs/>
      </w:rPr>
      <w:t>Período:</w:t>
    </w:r>
    <w:r w:rsidR="00FE00AD" w:rsidRPr="005D1DE4">
      <w:rPr>
        <w:i/>
        <w:iCs/>
      </w:rPr>
      <w:t xml:space="preserve"> </w:t>
    </w:r>
    <w:r w:rsidR="00D60B22">
      <w:rPr>
        <w:i/>
        <w:iCs/>
      </w:rPr>
      <w:t xml:space="preserve">24 a </w:t>
    </w:r>
    <w:r w:rsidR="00593C40">
      <w:rPr>
        <w:i/>
        <w:iCs/>
      </w:rPr>
      <w:t>30</w:t>
    </w:r>
    <w:r w:rsidR="00D60B22">
      <w:rPr>
        <w:i/>
        <w:iCs/>
      </w:rPr>
      <w:t xml:space="preserve"> de maio </w:t>
    </w:r>
    <w:r w:rsidR="00FE00AD" w:rsidRPr="005D1DE4">
      <w:rPr>
        <w:i/>
        <w:iCs/>
      </w:rPr>
      <w:t>de 2012</w:t>
    </w:r>
  </w:p>
  <w:p w:rsidR="00FE00AD" w:rsidRDefault="00FE00AD" w:rsidP="00631F1C">
    <w:pPr>
      <w:pStyle w:val="Cabealho"/>
      <w:pBdr>
        <w:bottom w:val="single" w:sz="4" w:space="1" w:color="auto"/>
      </w:pBdr>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908C3"/>
    <w:multiLevelType w:val="multilevel"/>
    <w:tmpl w:val="1292BA3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41C61C72"/>
    <w:multiLevelType w:val="multilevel"/>
    <w:tmpl w:val="E452BD52"/>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5986985"/>
    <w:multiLevelType w:val="multilevel"/>
    <w:tmpl w:val="D854AEF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o:colormenu v:ext="edit" fillcolor="none [3213]"/>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6FE"/>
    <w:rsid w:val="00002CE3"/>
    <w:rsid w:val="00004C36"/>
    <w:rsid w:val="000228E6"/>
    <w:rsid w:val="00032056"/>
    <w:rsid w:val="000322FB"/>
    <w:rsid w:val="000425FC"/>
    <w:rsid w:val="00050E85"/>
    <w:rsid w:val="00056752"/>
    <w:rsid w:val="00057B87"/>
    <w:rsid w:val="0006020E"/>
    <w:rsid w:val="000733B4"/>
    <w:rsid w:val="00073880"/>
    <w:rsid w:val="00075BDB"/>
    <w:rsid w:val="00080F10"/>
    <w:rsid w:val="0009237D"/>
    <w:rsid w:val="00093AE9"/>
    <w:rsid w:val="00093BA8"/>
    <w:rsid w:val="000A04E6"/>
    <w:rsid w:val="000B4D41"/>
    <w:rsid w:val="000B67DF"/>
    <w:rsid w:val="000B7CDE"/>
    <w:rsid w:val="000C3022"/>
    <w:rsid w:val="000C672B"/>
    <w:rsid w:val="000E0A91"/>
    <w:rsid w:val="0011575C"/>
    <w:rsid w:val="0011692E"/>
    <w:rsid w:val="00137564"/>
    <w:rsid w:val="00137DC1"/>
    <w:rsid w:val="00152ADC"/>
    <w:rsid w:val="0015612D"/>
    <w:rsid w:val="00176D15"/>
    <w:rsid w:val="00184590"/>
    <w:rsid w:val="00187A37"/>
    <w:rsid w:val="0019151D"/>
    <w:rsid w:val="00193208"/>
    <w:rsid w:val="001C04D2"/>
    <w:rsid w:val="001C271F"/>
    <w:rsid w:val="001C6C93"/>
    <w:rsid w:val="001D4CF9"/>
    <w:rsid w:val="001D5AB0"/>
    <w:rsid w:val="001D757D"/>
    <w:rsid w:val="001E14BB"/>
    <w:rsid w:val="001E4B57"/>
    <w:rsid w:val="001E5BD1"/>
    <w:rsid w:val="001E713B"/>
    <w:rsid w:val="001F030F"/>
    <w:rsid w:val="00206810"/>
    <w:rsid w:val="0021472F"/>
    <w:rsid w:val="002168DE"/>
    <w:rsid w:val="00224AC2"/>
    <w:rsid w:val="0023559D"/>
    <w:rsid w:val="002402B0"/>
    <w:rsid w:val="002449F9"/>
    <w:rsid w:val="0026209F"/>
    <w:rsid w:val="002635ED"/>
    <w:rsid w:val="002662BA"/>
    <w:rsid w:val="00266D49"/>
    <w:rsid w:val="00271C5C"/>
    <w:rsid w:val="00271E67"/>
    <w:rsid w:val="002730B5"/>
    <w:rsid w:val="00280594"/>
    <w:rsid w:val="00280CAF"/>
    <w:rsid w:val="00285064"/>
    <w:rsid w:val="002A219D"/>
    <w:rsid w:val="002A546D"/>
    <w:rsid w:val="002B4738"/>
    <w:rsid w:val="002B6377"/>
    <w:rsid w:val="002C2904"/>
    <w:rsid w:val="002E78CB"/>
    <w:rsid w:val="0033397A"/>
    <w:rsid w:val="00352B27"/>
    <w:rsid w:val="0036325E"/>
    <w:rsid w:val="003671FE"/>
    <w:rsid w:val="003708FD"/>
    <w:rsid w:val="0037667D"/>
    <w:rsid w:val="00384075"/>
    <w:rsid w:val="003908C5"/>
    <w:rsid w:val="00396053"/>
    <w:rsid w:val="003A4086"/>
    <w:rsid w:val="003A5E5B"/>
    <w:rsid w:val="003B045C"/>
    <w:rsid w:val="003B0A59"/>
    <w:rsid w:val="003B3EB5"/>
    <w:rsid w:val="003B4E23"/>
    <w:rsid w:val="003B767E"/>
    <w:rsid w:val="003C6FE7"/>
    <w:rsid w:val="003D032E"/>
    <w:rsid w:val="003D4205"/>
    <w:rsid w:val="003F2078"/>
    <w:rsid w:val="00424A77"/>
    <w:rsid w:val="0042772A"/>
    <w:rsid w:val="004323B0"/>
    <w:rsid w:val="00444E88"/>
    <w:rsid w:val="00450A2B"/>
    <w:rsid w:val="0045657C"/>
    <w:rsid w:val="004655CC"/>
    <w:rsid w:val="00466DB9"/>
    <w:rsid w:val="00486521"/>
    <w:rsid w:val="00486DFC"/>
    <w:rsid w:val="004922D6"/>
    <w:rsid w:val="004A14FC"/>
    <w:rsid w:val="004A5264"/>
    <w:rsid w:val="004B21AD"/>
    <w:rsid w:val="004C011C"/>
    <w:rsid w:val="004C14EA"/>
    <w:rsid w:val="004C2118"/>
    <w:rsid w:val="004C2612"/>
    <w:rsid w:val="004D6000"/>
    <w:rsid w:val="004D6415"/>
    <w:rsid w:val="004D71E8"/>
    <w:rsid w:val="004E393E"/>
    <w:rsid w:val="004E4507"/>
    <w:rsid w:val="004E4619"/>
    <w:rsid w:val="004F0A7D"/>
    <w:rsid w:val="0051538E"/>
    <w:rsid w:val="00517E01"/>
    <w:rsid w:val="00521EEC"/>
    <w:rsid w:val="005460BD"/>
    <w:rsid w:val="00553197"/>
    <w:rsid w:val="0055409E"/>
    <w:rsid w:val="00556367"/>
    <w:rsid w:val="00556B35"/>
    <w:rsid w:val="00573E13"/>
    <w:rsid w:val="00584F82"/>
    <w:rsid w:val="00591DFA"/>
    <w:rsid w:val="00593C40"/>
    <w:rsid w:val="005A5695"/>
    <w:rsid w:val="005B0F6E"/>
    <w:rsid w:val="005B2F00"/>
    <w:rsid w:val="005B57DE"/>
    <w:rsid w:val="005C1886"/>
    <w:rsid w:val="005C761E"/>
    <w:rsid w:val="005D0E5F"/>
    <w:rsid w:val="005D1DE4"/>
    <w:rsid w:val="005E3043"/>
    <w:rsid w:val="005E35BD"/>
    <w:rsid w:val="005E3D4D"/>
    <w:rsid w:val="005E7FD1"/>
    <w:rsid w:val="005F2858"/>
    <w:rsid w:val="006002E3"/>
    <w:rsid w:val="006145AC"/>
    <w:rsid w:val="00615F98"/>
    <w:rsid w:val="00621F9C"/>
    <w:rsid w:val="00631166"/>
    <w:rsid w:val="00631F1C"/>
    <w:rsid w:val="006366A4"/>
    <w:rsid w:val="006456B1"/>
    <w:rsid w:val="00650197"/>
    <w:rsid w:val="006564EC"/>
    <w:rsid w:val="0066084C"/>
    <w:rsid w:val="00672CF9"/>
    <w:rsid w:val="00672E11"/>
    <w:rsid w:val="0068273B"/>
    <w:rsid w:val="00691234"/>
    <w:rsid w:val="006931CC"/>
    <w:rsid w:val="006947F2"/>
    <w:rsid w:val="00697919"/>
    <w:rsid w:val="006B3FCF"/>
    <w:rsid w:val="006B46CA"/>
    <w:rsid w:val="006C0391"/>
    <w:rsid w:val="006C28B3"/>
    <w:rsid w:val="006D1F66"/>
    <w:rsid w:val="006D306E"/>
    <w:rsid w:val="006D4497"/>
    <w:rsid w:val="006F6C15"/>
    <w:rsid w:val="0070727E"/>
    <w:rsid w:val="00710D3A"/>
    <w:rsid w:val="0071315F"/>
    <w:rsid w:val="00721942"/>
    <w:rsid w:val="00722BE7"/>
    <w:rsid w:val="00732DF2"/>
    <w:rsid w:val="007614F1"/>
    <w:rsid w:val="007618C5"/>
    <w:rsid w:val="00764066"/>
    <w:rsid w:val="00776118"/>
    <w:rsid w:val="007B0F83"/>
    <w:rsid w:val="007D29A1"/>
    <w:rsid w:val="007E0EA7"/>
    <w:rsid w:val="007E3F23"/>
    <w:rsid w:val="007F142E"/>
    <w:rsid w:val="007F7B5E"/>
    <w:rsid w:val="00802B1A"/>
    <w:rsid w:val="0080615C"/>
    <w:rsid w:val="0081027F"/>
    <w:rsid w:val="0081742D"/>
    <w:rsid w:val="00821F4D"/>
    <w:rsid w:val="00823906"/>
    <w:rsid w:val="008409D3"/>
    <w:rsid w:val="00845559"/>
    <w:rsid w:val="00854DB8"/>
    <w:rsid w:val="00854EF2"/>
    <w:rsid w:val="00871F69"/>
    <w:rsid w:val="008842D0"/>
    <w:rsid w:val="00884545"/>
    <w:rsid w:val="00884AC4"/>
    <w:rsid w:val="0088579D"/>
    <w:rsid w:val="008A2C89"/>
    <w:rsid w:val="008A7953"/>
    <w:rsid w:val="008B3081"/>
    <w:rsid w:val="008B32D4"/>
    <w:rsid w:val="008B69FD"/>
    <w:rsid w:val="008D0020"/>
    <w:rsid w:val="008D3C38"/>
    <w:rsid w:val="008D6A05"/>
    <w:rsid w:val="008E2AE5"/>
    <w:rsid w:val="008E3F89"/>
    <w:rsid w:val="008F26CB"/>
    <w:rsid w:val="008F6509"/>
    <w:rsid w:val="008F79D9"/>
    <w:rsid w:val="009027C8"/>
    <w:rsid w:val="009060C1"/>
    <w:rsid w:val="009154E8"/>
    <w:rsid w:val="0093467A"/>
    <w:rsid w:val="0094155C"/>
    <w:rsid w:val="00951531"/>
    <w:rsid w:val="00960A3B"/>
    <w:rsid w:val="00967DE0"/>
    <w:rsid w:val="00971E07"/>
    <w:rsid w:val="00977EDD"/>
    <w:rsid w:val="00980944"/>
    <w:rsid w:val="00986D77"/>
    <w:rsid w:val="009943EC"/>
    <w:rsid w:val="009A32D5"/>
    <w:rsid w:val="009B6012"/>
    <w:rsid w:val="009C102D"/>
    <w:rsid w:val="009C2A4F"/>
    <w:rsid w:val="009D4C59"/>
    <w:rsid w:val="009D7F91"/>
    <w:rsid w:val="009E20EF"/>
    <w:rsid w:val="009E26EE"/>
    <w:rsid w:val="009F21A2"/>
    <w:rsid w:val="00A32FBF"/>
    <w:rsid w:val="00A407EA"/>
    <w:rsid w:val="00A51749"/>
    <w:rsid w:val="00A521B6"/>
    <w:rsid w:val="00A56962"/>
    <w:rsid w:val="00A6412C"/>
    <w:rsid w:val="00A75419"/>
    <w:rsid w:val="00A76661"/>
    <w:rsid w:val="00A76D2A"/>
    <w:rsid w:val="00A77134"/>
    <w:rsid w:val="00A82081"/>
    <w:rsid w:val="00A8557E"/>
    <w:rsid w:val="00A91181"/>
    <w:rsid w:val="00A935AC"/>
    <w:rsid w:val="00AB299E"/>
    <w:rsid w:val="00AB507C"/>
    <w:rsid w:val="00AD6E76"/>
    <w:rsid w:val="00AE3EAA"/>
    <w:rsid w:val="00AE5EDF"/>
    <w:rsid w:val="00B04DF5"/>
    <w:rsid w:val="00B14F7F"/>
    <w:rsid w:val="00B16EB9"/>
    <w:rsid w:val="00B22F24"/>
    <w:rsid w:val="00B22F53"/>
    <w:rsid w:val="00B24DBE"/>
    <w:rsid w:val="00B24FFD"/>
    <w:rsid w:val="00B34EB2"/>
    <w:rsid w:val="00B517C3"/>
    <w:rsid w:val="00B518B2"/>
    <w:rsid w:val="00B526EA"/>
    <w:rsid w:val="00B536FE"/>
    <w:rsid w:val="00B73FFA"/>
    <w:rsid w:val="00B874F1"/>
    <w:rsid w:val="00BC1DE7"/>
    <w:rsid w:val="00BC5AEE"/>
    <w:rsid w:val="00BD6029"/>
    <w:rsid w:val="00BE0541"/>
    <w:rsid w:val="00BE1ADB"/>
    <w:rsid w:val="00C070DE"/>
    <w:rsid w:val="00C26DFB"/>
    <w:rsid w:val="00C273FA"/>
    <w:rsid w:val="00C30D06"/>
    <w:rsid w:val="00C42067"/>
    <w:rsid w:val="00C432D0"/>
    <w:rsid w:val="00C4398E"/>
    <w:rsid w:val="00C60B4A"/>
    <w:rsid w:val="00C65BDB"/>
    <w:rsid w:val="00C71A3B"/>
    <w:rsid w:val="00C76CFA"/>
    <w:rsid w:val="00C963F8"/>
    <w:rsid w:val="00C96BB1"/>
    <w:rsid w:val="00CA2F80"/>
    <w:rsid w:val="00CB0C2A"/>
    <w:rsid w:val="00CC4B2B"/>
    <w:rsid w:val="00CC579C"/>
    <w:rsid w:val="00CC5F5F"/>
    <w:rsid w:val="00CD3460"/>
    <w:rsid w:val="00CD4B61"/>
    <w:rsid w:val="00CD5043"/>
    <w:rsid w:val="00CE2928"/>
    <w:rsid w:val="00CE314A"/>
    <w:rsid w:val="00D01C50"/>
    <w:rsid w:val="00D023AF"/>
    <w:rsid w:val="00D11B24"/>
    <w:rsid w:val="00D133C8"/>
    <w:rsid w:val="00D14DB8"/>
    <w:rsid w:val="00D244D5"/>
    <w:rsid w:val="00D2776A"/>
    <w:rsid w:val="00D413DB"/>
    <w:rsid w:val="00D420E2"/>
    <w:rsid w:val="00D4459D"/>
    <w:rsid w:val="00D573F9"/>
    <w:rsid w:val="00D6058B"/>
    <w:rsid w:val="00D60B22"/>
    <w:rsid w:val="00D63EC5"/>
    <w:rsid w:val="00D72C05"/>
    <w:rsid w:val="00D847CF"/>
    <w:rsid w:val="00DA0A99"/>
    <w:rsid w:val="00DA7603"/>
    <w:rsid w:val="00DA7E39"/>
    <w:rsid w:val="00DA7EDE"/>
    <w:rsid w:val="00DC0AB5"/>
    <w:rsid w:val="00DC50EB"/>
    <w:rsid w:val="00DD3FA0"/>
    <w:rsid w:val="00DE5B2D"/>
    <w:rsid w:val="00DE5CE9"/>
    <w:rsid w:val="00E03064"/>
    <w:rsid w:val="00E04BD5"/>
    <w:rsid w:val="00E070D2"/>
    <w:rsid w:val="00E1539C"/>
    <w:rsid w:val="00E162B6"/>
    <w:rsid w:val="00E16E01"/>
    <w:rsid w:val="00E24A50"/>
    <w:rsid w:val="00E35639"/>
    <w:rsid w:val="00E432CC"/>
    <w:rsid w:val="00E50711"/>
    <w:rsid w:val="00E60EDA"/>
    <w:rsid w:val="00E62BBC"/>
    <w:rsid w:val="00E9503C"/>
    <w:rsid w:val="00E956D9"/>
    <w:rsid w:val="00EA1958"/>
    <w:rsid w:val="00EA29F5"/>
    <w:rsid w:val="00EA482D"/>
    <w:rsid w:val="00EB1FBC"/>
    <w:rsid w:val="00EB4964"/>
    <w:rsid w:val="00EB5FE6"/>
    <w:rsid w:val="00EB61A5"/>
    <w:rsid w:val="00EB7A09"/>
    <w:rsid w:val="00EC5AF4"/>
    <w:rsid w:val="00ED661C"/>
    <w:rsid w:val="00EE41B5"/>
    <w:rsid w:val="00EE66C9"/>
    <w:rsid w:val="00EF0CD0"/>
    <w:rsid w:val="00EF11A9"/>
    <w:rsid w:val="00EF38E1"/>
    <w:rsid w:val="00EF749A"/>
    <w:rsid w:val="00EF771E"/>
    <w:rsid w:val="00F02565"/>
    <w:rsid w:val="00F05542"/>
    <w:rsid w:val="00F17A2C"/>
    <w:rsid w:val="00F26708"/>
    <w:rsid w:val="00F511EE"/>
    <w:rsid w:val="00F558E7"/>
    <w:rsid w:val="00F62016"/>
    <w:rsid w:val="00F63F44"/>
    <w:rsid w:val="00F6746D"/>
    <w:rsid w:val="00F811CD"/>
    <w:rsid w:val="00F82D8F"/>
    <w:rsid w:val="00F83F62"/>
    <w:rsid w:val="00F9711D"/>
    <w:rsid w:val="00FA75E0"/>
    <w:rsid w:val="00FB3AB4"/>
    <w:rsid w:val="00FC56A4"/>
    <w:rsid w:val="00FD3D06"/>
    <w:rsid w:val="00FD5662"/>
    <w:rsid w:val="00FD72B6"/>
    <w:rsid w:val="00FE00AD"/>
    <w:rsid w:val="00FE499F"/>
    <w:rsid w:val="00FF6D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colormenu v:ext="edit" fill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99"/>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Pr>
      <w:rFonts w:ascii="Cambria" w:hAnsi="Cambria" w:cs="Cambria"/>
      <w:b/>
      <w:bCs/>
      <w:kern w:val="32"/>
      <w:sz w:val="32"/>
      <w:szCs w:val="32"/>
    </w:rPr>
  </w:style>
  <w:style w:type="character" w:customStyle="1" w:styleId="Ttulo5Char">
    <w:name w:val="Título 5 Char"/>
    <w:basedOn w:val="Fontepargpadro"/>
    <w:link w:val="Ttulo5"/>
    <w:uiPriority w:val="99"/>
    <w:locked/>
    <w:rPr>
      <w:rFonts w:ascii="Calibri" w:hAnsi="Calibri" w:cs="Calibri"/>
      <w:b/>
      <w:bCs/>
      <w:i/>
      <w:iCs/>
      <w:sz w:val="26"/>
      <w:szCs w:val="26"/>
    </w:rPr>
  </w:style>
  <w:style w:type="character" w:customStyle="1" w:styleId="Ttulo6Char">
    <w:name w:val="Título 6 Char"/>
    <w:basedOn w:val="Fontepargpadro"/>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basedOn w:val="Fontepargpadro"/>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basedOn w:val="Fontepargpadro"/>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uiPriority w:val="99"/>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basedOn w:val="Fontepargpadro"/>
    <w:link w:val="Corpodetexto3"/>
    <w:uiPriority w:val="99"/>
    <w:locked/>
    <w:rPr>
      <w:rFonts w:cs="Times New Roman"/>
      <w:sz w:val="16"/>
      <w:szCs w:val="16"/>
    </w:rPr>
  </w:style>
  <w:style w:type="character" w:styleId="Nmerodepgina">
    <w:name w:val="page number"/>
    <w:basedOn w:val="Fontepargpadro"/>
    <w:uiPriority w:val="99"/>
    <w:rPr>
      <w:rFonts w:cs="Times New Roman"/>
    </w:rPr>
  </w:style>
  <w:style w:type="character" w:styleId="Hyperlink">
    <w:name w:val="Hyperlink"/>
    <w:basedOn w:val="Fontepargpadro"/>
    <w:uiPriority w:val="99"/>
    <w:rPr>
      <w:rFonts w:cs="Times New Roman"/>
      <w:color w:val="0000FF"/>
      <w:u w:val="single"/>
    </w:rPr>
  </w:style>
  <w:style w:type="paragraph" w:customStyle="1" w:styleId="Identificao">
    <w:name w:val="Identificação"/>
    <w:basedOn w:val="Normal"/>
    <w:uiPriority w:val="99"/>
    <w:pPr>
      <w:jc w:val="both"/>
    </w:pPr>
    <w:rPr>
      <w:rFonts w:ascii="Courier New" w:hAnsi="Courier New" w:cs="Courier New"/>
      <w:color w:val="000000"/>
      <w:sz w:val="24"/>
      <w:szCs w:val="24"/>
      <w:lang w:val="en-US"/>
    </w:rPr>
  </w:style>
  <w:style w:type="paragraph" w:customStyle="1" w:styleId="Corpo">
    <w:name w:val="Corpo"/>
    <w:link w:val="CorpoChar"/>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basedOn w:val="Fontepargpadro"/>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uiPriority w:val="99"/>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basedOn w:val="Fontepargpadro"/>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basedOn w:val="Fontepargpadro"/>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basedOn w:val="Fontepargpadro"/>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basedOn w:val="Fontepargpadro"/>
    <w:link w:val="Data"/>
    <w:uiPriority w:val="99"/>
    <w:locked/>
    <w:rPr>
      <w:rFonts w:cs="Times New Roman"/>
    </w:rPr>
  </w:style>
  <w:style w:type="paragraph" w:customStyle="1" w:styleId="TemaPN">
    <w:name w:val="TemaPN"/>
    <w:next w:val="Normal"/>
    <w:autoRedefine/>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spacing w:before="260"/>
      <w:ind w:left="737" w:hanging="907"/>
      <w:jc w:val="both"/>
    </w:pPr>
    <w:rPr>
      <w:rFonts w:ascii="Times New Roman" w:hAnsi="Times New Roman"/>
      <w:b/>
      <w:bCs/>
      <w:color w:val="000000"/>
      <w:sz w:val="28"/>
      <w:szCs w:val="28"/>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basedOn w:val="Fontepargpadro"/>
    <w:uiPriority w:val="99"/>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basedOn w:val="Fontepargpadro"/>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basedOn w:val="Fontepargpadro"/>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basedOn w:val="Fontepargpadro"/>
    <w:link w:val="Corpo"/>
    <w:locked/>
    <w:rsid w:val="008D3C38"/>
    <w:rPr>
      <w:rFonts w:ascii="Courier New" w:hAnsi="Courier New" w:cs="Courier New"/>
      <w:color w:val="000000"/>
      <w:sz w:val="24"/>
      <w:szCs w:val="24"/>
      <w:lang w:val="en-US" w:eastAsia="pt-BR" w:bidi="ar-SA"/>
    </w:rPr>
  </w:style>
  <w:style w:type="paragraph" w:customStyle="1" w:styleId="Default">
    <w:name w:val="Default"/>
    <w:rsid w:val="00A77134"/>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731398">
      <w:marLeft w:val="0"/>
      <w:marRight w:val="0"/>
      <w:marTop w:val="0"/>
      <w:marBottom w:val="0"/>
      <w:divBdr>
        <w:top w:val="none" w:sz="0" w:space="0" w:color="auto"/>
        <w:left w:val="none" w:sz="0" w:space="0" w:color="auto"/>
        <w:bottom w:val="none" w:sz="0" w:space="0" w:color="auto"/>
        <w:right w:val="none" w:sz="0" w:space="0" w:color="auto"/>
      </w:divBdr>
    </w:div>
    <w:div w:id="1321731399">
      <w:marLeft w:val="0"/>
      <w:marRight w:val="0"/>
      <w:marTop w:val="0"/>
      <w:marBottom w:val="0"/>
      <w:divBdr>
        <w:top w:val="none" w:sz="0" w:space="0" w:color="auto"/>
        <w:left w:val="none" w:sz="0" w:space="0" w:color="auto"/>
        <w:bottom w:val="none" w:sz="0" w:space="0" w:color="auto"/>
        <w:right w:val="none" w:sz="0" w:space="0" w:color="auto"/>
      </w:divBdr>
    </w:div>
    <w:div w:id="1321731400">
      <w:marLeft w:val="0"/>
      <w:marRight w:val="0"/>
      <w:marTop w:val="0"/>
      <w:marBottom w:val="0"/>
      <w:divBdr>
        <w:top w:val="none" w:sz="0" w:space="0" w:color="auto"/>
        <w:left w:val="none" w:sz="0" w:space="0" w:color="auto"/>
        <w:bottom w:val="none" w:sz="0" w:space="0" w:color="auto"/>
        <w:right w:val="none" w:sz="0" w:space="0" w:color="auto"/>
      </w:divBdr>
    </w:div>
    <w:div w:id="1321731401">
      <w:marLeft w:val="0"/>
      <w:marRight w:val="0"/>
      <w:marTop w:val="0"/>
      <w:marBottom w:val="0"/>
      <w:divBdr>
        <w:top w:val="none" w:sz="0" w:space="0" w:color="auto"/>
        <w:left w:val="none" w:sz="0" w:space="0" w:color="auto"/>
        <w:bottom w:val="none" w:sz="0" w:space="0" w:color="auto"/>
        <w:right w:val="none" w:sz="0" w:space="0" w:color="auto"/>
      </w:divBdr>
    </w:div>
    <w:div w:id="1321731402">
      <w:marLeft w:val="0"/>
      <w:marRight w:val="0"/>
      <w:marTop w:val="0"/>
      <w:marBottom w:val="0"/>
      <w:divBdr>
        <w:top w:val="none" w:sz="0" w:space="0" w:color="auto"/>
        <w:left w:val="none" w:sz="0" w:space="0" w:color="auto"/>
        <w:bottom w:val="none" w:sz="0" w:space="0" w:color="auto"/>
        <w:right w:val="none" w:sz="0" w:space="0" w:color="auto"/>
      </w:divBdr>
    </w:div>
    <w:div w:id="1321731403">
      <w:marLeft w:val="0"/>
      <w:marRight w:val="0"/>
      <w:marTop w:val="0"/>
      <w:marBottom w:val="0"/>
      <w:divBdr>
        <w:top w:val="none" w:sz="0" w:space="0" w:color="auto"/>
        <w:left w:val="none" w:sz="0" w:space="0" w:color="auto"/>
        <w:bottom w:val="none" w:sz="0" w:space="0" w:color="auto"/>
        <w:right w:val="none" w:sz="0" w:space="0" w:color="auto"/>
      </w:divBdr>
    </w:div>
    <w:div w:id="1321731404">
      <w:marLeft w:val="0"/>
      <w:marRight w:val="0"/>
      <w:marTop w:val="0"/>
      <w:marBottom w:val="0"/>
      <w:divBdr>
        <w:top w:val="none" w:sz="0" w:space="0" w:color="auto"/>
        <w:left w:val="none" w:sz="0" w:space="0" w:color="auto"/>
        <w:bottom w:val="none" w:sz="0" w:space="0" w:color="auto"/>
        <w:right w:val="none" w:sz="0" w:space="0" w:color="auto"/>
      </w:divBdr>
    </w:div>
    <w:div w:id="1321731405">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xt02.tst.jus.br/pls/ap01/ap_red100.resumo?num_int=94636&amp;ano_int=2005&amp;qtd_acesso=2233201&amp;novoportal=1" TargetMode="External"/><Relationship Id="rId13" Type="http://schemas.openxmlformats.org/officeDocument/2006/relationships/hyperlink" Target="http://ext02.tst.jus.br/pls/ap01/ap_red100.resumo?num_int=116419&amp;ano_int=2011&amp;qtd_acesso=3792267&amp;novoporta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xt02.tst.jus.br/pls/ap01/ap_red100.resumo?num_int=39663&amp;ano_int=2005&amp;qtd_acesso=1749253&amp;novoportal=1" TargetMode="External"/><Relationship Id="rId17" Type="http://schemas.openxmlformats.org/officeDocument/2006/relationships/hyperlink" Target="http://ext02.tst.jus.br/pls/ap01/ap_red100.resumo?num_int=11095&amp;ano_int=2005&amp;qtd_acesso=1406437&amp;novoportal=" TargetMode="External"/><Relationship Id="rId2" Type="http://schemas.openxmlformats.org/officeDocument/2006/relationships/numbering" Target="numbering.xml"/><Relationship Id="rId16" Type="http://schemas.openxmlformats.org/officeDocument/2006/relationships/hyperlink" Target="http://ext02.tst.jus.br/pls/ap01/ap_red100.resumo?num_int=179504&amp;ano_int=2006&amp;qtd_acesso=3251625&amp;novoportal=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xt02.tst.jus.br/pls/ap01/ap_red100.resumo?num_int=16013&amp;ano_int=2011&amp;qtd_acesso=1465501&amp;novoportal=1" TargetMode="External"/><Relationship Id="rId5" Type="http://schemas.openxmlformats.org/officeDocument/2006/relationships/webSettings" Target="webSettings.xml"/><Relationship Id="rId15" Type="http://schemas.openxmlformats.org/officeDocument/2006/relationships/hyperlink" Target="http://ext02.tst.jus.br/pls/ap01/ap_red100.resumo?num_int=527550&amp;ano_int=2008&amp;qtd_acesso=7428193&amp;novoportal=1" TargetMode="External"/><Relationship Id="rId23" Type="http://schemas.openxmlformats.org/officeDocument/2006/relationships/theme" Target="theme/theme1.xml"/><Relationship Id="rId10" Type="http://schemas.openxmlformats.org/officeDocument/2006/relationships/hyperlink" Target="http://ext02.tst.jus.br/pls/ap01/ap_red100.resumo?num_int=199347&amp;ano_int=2010&amp;qtd_acesso=3665501&amp;novoportal=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xt02.tst.jus.br/pls/ap01/ap_red100.resumo?num_int=225293&amp;ano_int=2008&amp;qtd_acesso=3976837&amp;novoportal=1" TargetMode="External"/><Relationship Id="rId14" Type="http://schemas.openxmlformats.org/officeDocument/2006/relationships/hyperlink" Target="http://ext02.tst.jus.br/pls/ap01/ap_red100.resumo?num_int=581895&amp;ano_int=2009&amp;qtd_acesso=8256069&amp;novoportal=1"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DB654-D9E6-4940-885A-E077BA429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2327</Words>
  <Characters>12568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Este Informativo, elaborado a partir de notas tomadas nas sessões de julgamentos, contém resumos não-oficiais de decisões proferidas pelo Tribunal</vt:lpstr>
    </vt:vector>
  </TitlesOfParts>
  <Company>Tribunal Superior do Trabalho</Company>
  <LinksUpToDate>false</LinksUpToDate>
  <CharactersWithSpaces>14866</CharactersWithSpaces>
  <SharedDoc>false</SharedDoc>
  <HLinks>
    <vt:vector size="60" baseType="variant">
      <vt:variant>
        <vt:i4>5767249</vt:i4>
      </vt:variant>
      <vt:variant>
        <vt:i4>27</vt:i4>
      </vt:variant>
      <vt:variant>
        <vt:i4>0</vt:i4>
      </vt:variant>
      <vt:variant>
        <vt:i4>5</vt:i4>
      </vt:variant>
      <vt:variant>
        <vt:lpwstr>http://ext02.tst.jus.br/pls/ap01/ap_red100.resumo?num_int=11095&amp;ano_int=2005&amp;qtd_acesso=1406437&amp;novoportal=</vt:lpwstr>
      </vt:variant>
      <vt:variant>
        <vt:lpwstr/>
      </vt:variant>
      <vt:variant>
        <vt:i4>3670074</vt:i4>
      </vt:variant>
      <vt:variant>
        <vt:i4>24</vt:i4>
      </vt:variant>
      <vt:variant>
        <vt:i4>0</vt:i4>
      </vt:variant>
      <vt:variant>
        <vt:i4>5</vt:i4>
      </vt:variant>
      <vt:variant>
        <vt:lpwstr>http://ext02.tst.jus.br/pls/ap01/ap_red100.resumo?num_int=179504&amp;ano_int=2006&amp;qtd_acesso=3251625&amp;novoportal=1</vt:lpwstr>
      </vt:variant>
      <vt:variant>
        <vt:lpwstr/>
      </vt:variant>
      <vt:variant>
        <vt:i4>3866687</vt:i4>
      </vt:variant>
      <vt:variant>
        <vt:i4>21</vt:i4>
      </vt:variant>
      <vt:variant>
        <vt:i4>0</vt:i4>
      </vt:variant>
      <vt:variant>
        <vt:i4>5</vt:i4>
      </vt:variant>
      <vt:variant>
        <vt:lpwstr>http://ext02.tst.jus.br/pls/ap01/ap_red100.resumo?num_int=527550&amp;ano_int=2008&amp;qtd_acesso=7428193&amp;novoportal=1</vt:lpwstr>
      </vt:variant>
      <vt:variant>
        <vt:lpwstr/>
      </vt:variant>
      <vt:variant>
        <vt:i4>3801139</vt:i4>
      </vt:variant>
      <vt:variant>
        <vt:i4>18</vt:i4>
      </vt:variant>
      <vt:variant>
        <vt:i4>0</vt:i4>
      </vt:variant>
      <vt:variant>
        <vt:i4>5</vt:i4>
      </vt:variant>
      <vt:variant>
        <vt:lpwstr>http://ext02.tst.jus.br/pls/ap01/ap_red100.resumo?num_int=581895&amp;ano_int=2009&amp;qtd_acesso=8256069&amp;novoportal=1</vt:lpwstr>
      </vt:variant>
      <vt:variant>
        <vt:lpwstr/>
      </vt:variant>
      <vt:variant>
        <vt:i4>3735601</vt:i4>
      </vt:variant>
      <vt:variant>
        <vt:i4>15</vt:i4>
      </vt:variant>
      <vt:variant>
        <vt:i4>0</vt:i4>
      </vt:variant>
      <vt:variant>
        <vt:i4>5</vt:i4>
      </vt:variant>
      <vt:variant>
        <vt:lpwstr>http://ext02.tst.jus.br/pls/ap01/ap_red100.resumo?num_int=116419&amp;ano_int=2011&amp;qtd_acesso=3792267&amp;novoportal=</vt:lpwstr>
      </vt:variant>
      <vt:variant>
        <vt:lpwstr/>
      </vt:variant>
      <vt:variant>
        <vt:i4>6553704</vt:i4>
      </vt:variant>
      <vt:variant>
        <vt:i4>12</vt:i4>
      </vt:variant>
      <vt:variant>
        <vt:i4>0</vt:i4>
      </vt:variant>
      <vt:variant>
        <vt:i4>5</vt:i4>
      </vt:variant>
      <vt:variant>
        <vt:lpwstr>http://ext02.tst.jus.br/pls/ap01/ap_red100.resumo?num_int=39663&amp;ano_int=2005&amp;qtd_acesso=1749253&amp;novoportal=1</vt:lpwstr>
      </vt:variant>
      <vt:variant>
        <vt:lpwstr/>
      </vt:variant>
      <vt:variant>
        <vt:i4>6422634</vt:i4>
      </vt:variant>
      <vt:variant>
        <vt:i4>9</vt:i4>
      </vt:variant>
      <vt:variant>
        <vt:i4>0</vt:i4>
      </vt:variant>
      <vt:variant>
        <vt:i4>5</vt:i4>
      </vt:variant>
      <vt:variant>
        <vt:lpwstr>http://ext02.tst.jus.br/pls/ap01/ap_red100.resumo?num_int=16013&amp;ano_int=2011&amp;qtd_acesso=1465501&amp;novoportal=1</vt:lpwstr>
      </vt:variant>
      <vt:variant>
        <vt:lpwstr/>
      </vt:variant>
      <vt:variant>
        <vt:i4>3539002</vt:i4>
      </vt:variant>
      <vt:variant>
        <vt:i4>6</vt:i4>
      </vt:variant>
      <vt:variant>
        <vt:i4>0</vt:i4>
      </vt:variant>
      <vt:variant>
        <vt:i4>5</vt:i4>
      </vt:variant>
      <vt:variant>
        <vt:lpwstr>http://ext02.tst.jus.br/pls/ap01/ap_red100.resumo?num_int=199347&amp;ano_int=2010&amp;qtd_acesso=3665501&amp;novoportal=1</vt:lpwstr>
      </vt:variant>
      <vt:variant>
        <vt:lpwstr/>
      </vt:variant>
      <vt:variant>
        <vt:i4>3342399</vt:i4>
      </vt:variant>
      <vt:variant>
        <vt:i4>3</vt:i4>
      </vt:variant>
      <vt:variant>
        <vt:i4>0</vt:i4>
      </vt:variant>
      <vt:variant>
        <vt:i4>5</vt:i4>
      </vt:variant>
      <vt:variant>
        <vt:lpwstr>http://ext02.tst.jus.br/pls/ap01/ap_red100.resumo?num_int=225293&amp;ano_int=2008&amp;qtd_acesso=3976837&amp;novoportal=1</vt:lpwstr>
      </vt:variant>
      <vt:variant>
        <vt:lpwstr/>
      </vt:variant>
      <vt:variant>
        <vt:i4>6684769</vt:i4>
      </vt:variant>
      <vt:variant>
        <vt:i4>0</vt:i4>
      </vt:variant>
      <vt:variant>
        <vt:i4>0</vt:i4>
      </vt:variant>
      <vt:variant>
        <vt:i4>5</vt:i4>
      </vt:variant>
      <vt:variant>
        <vt:lpwstr>http://ext02.tst.jus.br/pls/ap01/ap_red100.resumo?num_int=94636&amp;ano_int=2005&amp;qtd_acesso=2233201&amp;novoportal=1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Este Informativo, elaborado a partir de notas tomadas nas sessões de julgamentos, contém resumos não-oficiais de decisões proferidas pelo Tribunal</dc:title>
  <dc:subject/>
  <dc:creator>C037163</dc:creator>
  <cp:keywords/>
  <dc:description/>
  <cp:lastModifiedBy>c041658</cp:lastModifiedBy>
  <cp:revision>2</cp:revision>
  <cp:lastPrinted>2012-03-09T15:01:00Z</cp:lastPrinted>
  <dcterms:created xsi:type="dcterms:W3CDTF">2018-06-27T22:31:00Z</dcterms:created>
  <dcterms:modified xsi:type="dcterms:W3CDTF">2018-06-27T22:31:00Z</dcterms:modified>
</cp:coreProperties>
</file>