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49" w:rsidRDefault="00A51749">
      <w:bookmarkStart w:id="0" w:name="_GoBack"/>
      <w:bookmarkEnd w:id="0"/>
    </w:p>
    <w:tbl>
      <w:tblPr>
        <w:tblW w:w="9709" w:type="dxa"/>
        <w:tblInd w:w="70" w:type="dxa"/>
        <w:tblLayout w:type="fixed"/>
        <w:tblCellMar>
          <w:left w:w="70" w:type="dxa"/>
          <w:right w:w="70" w:type="dxa"/>
        </w:tblCellMar>
        <w:tblLook w:val="0000" w:firstRow="0" w:lastRow="0" w:firstColumn="0" w:lastColumn="0" w:noHBand="0" w:noVBand="0"/>
      </w:tblPr>
      <w:tblGrid>
        <w:gridCol w:w="9709"/>
      </w:tblGrid>
      <w:tr w:rsidR="00C26DFB" w:rsidRPr="00187A37" w:rsidTr="00631F1C">
        <w:tblPrEx>
          <w:tblCellMar>
            <w:top w:w="0" w:type="dxa"/>
            <w:bottom w:w="0" w:type="dxa"/>
          </w:tblCellMar>
        </w:tblPrEx>
        <w:trPr>
          <w:trHeight w:val="792"/>
        </w:trPr>
        <w:tc>
          <w:tcPr>
            <w:tcW w:w="9709" w:type="dxa"/>
          </w:tcPr>
          <w:p w:rsidR="00C26DFB" w:rsidRPr="00187A37" w:rsidRDefault="00C26DFB" w:rsidP="00DC50EB">
            <w:pPr>
              <w:pStyle w:val="Cabealho"/>
              <w:tabs>
                <w:tab w:val="clear" w:pos="4419"/>
                <w:tab w:val="clear" w:pos="8838"/>
              </w:tabs>
              <w:jc w:val="both"/>
              <w:rPr>
                <w:sz w:val="10"/>
                <w:szCs w:val="10"/>
              </w:rPr>
            </w:pPr>
            <w:r w:rsidRPr="00187A37">
              <w:rPr>
                <w:sz w:val="16"/>
                <w:szCs w:val="16"/>
              </w:rPr>
              <w:t>Este Informativo, elaborado a partir de notas tomadas nas sessões de julgamentos, contém resumos não</w:t>
            </w:r>
            <w:r w:rsidR="00DC50EB" w:rsidRPr="00187A37">
              <w:rPr>
                <w:sz w:val="16"/>
                <w:szCs w:val="16"/>
              </w:rPr>
              <w:t xml:space="preserve"> </w:t>
            </w:r>
            <w:r w:rsidRPr="00187A37">
              <w:rPr>
                <w:sz w:val="16"/>
                <w:szCs w:val="16"/>
              </w:rPr>
              <w:t>oficiais de decisões proferidas pelo Tribunal. A fidelidade dos resumos ao conteúdo efetivo das decisões, embora seja uma das metas perseguidas neste trabalho, somente poderá ser aferida após a sua publicação no Diário</w:t>
            </w:r>
            <w:r w:rsidR="00980944" w:rsidRPr="00187A37">
              <w:rPr>
                <w:sz w:val="16"/>
                <w:szCs w:val="16"/>
              </w:rPr>
              <w:t xml:space="preserve"> Eletrônico </w:t>
            </w:r>
            <w:r w:rsidRPr="00187A37">
              <w:rPr>
                <w:sz w:val="16"/>
                <w:szCs w:val="16"/>
              </w:rPr>
              <w:t>da Justiça</w:t>
            </w:r>
            <w:r w:rsidR="00980944" w:rsidRPr="00187A37">
              <w:rPr>
                <w:sz w:val="16"/>
                <w:szCs w:val="16"/>
              </w:rPr>
              <w:t xml:space="preserve"> do Trabalho</w:t>
            </w:r>
            <w:r w:rsidRPr="00187A37">
              <w:rPr>
                <w:sz w:val="16"/>
                <w:szCs w:val="16"/>
              </w:rPr>
              <w:t>.</w:t>
            </w:r>
          </w:p>
        </w:tc>
      </w:tr>
    </w:tbl>
    <w:p w:rsidR="00296250" w:rsidRPr="00971E07" w:rsidRDefault="00296250" w:rsidP="00296250">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6"/>
          <w:szCs w:val="26"/>
          <w:lang w:val="pt-BR"/>
        </w:rPr>
      </w:pPr>
      <w:r w:rsidRPr="00971E07">
        <w:rPr>
          <w:rFonts w:ascii="Times New Roman" w:hAnsi="Times New Roman" w:cs="Times New Roman"/>
          <w:b/>
          <w:bCs/>
          <w:shadow/>
          <w:color w:val="auto"/>
          <w:sz w:val="26"/>
          <w:szCs w:val="26"/>
          <w:lang w:val="pt-BR"/>
        </w:rPr>
        <w:t>SEÇÃO ESPECIALIZADA EM DISSÍDIOS COLETIVOS</w:t>
      </w:r>
    </w:p>
    <w:p w:rsidR="00EA29F5" w:rsidRPr="005D1DE4" w:rsidRDefault="00EA29F5" w:rsidP="00EA29F5">
      <w:pPr>
        <w:pStyle w:val="Corpodetexto2"/>
        <w:jc w:val="center"/>
        <w:rPr>
          <w:b/>
          <w:bCs/>
          <w:emboss/>
          <w:sz w:val="10"/>
          <w:szCs w:val="10"/>
        </w:rPr>
      </w:pPr>
    </w:p>
    <w:p w:rsidR="00C71A3B" w:rsidRPr="005D1DE4" w:rsidRDefault="00631F1C" w:rsidP="00296250">
      <w:pPr>
        <w:pStyle w:val="Corpo"/>
        <w:spacing w:line="240" w:lineRule="auto"/>
        <w:ind w:firstLine="0"/>
        <w:jc w:val="center"/>
        <w:rPr>
          <w:rFonts w:ascii="Times New Roman" w:hAnsi="Times New Roman" w:cs="Times New Roman"/>
          <w:b/>
          <w:bCs/>
          <w:i/>
          <w:iCs/>
          <w:sz w:val="10"/>
          <w:szCs w:val="10"/>
          <w:lang w:val="pt-BR"/>
        </w:rPr>
      </w:pPr>
      <w:r>
        <w:rPr>
          <w:rFonts w:ascii="Times New Roman" w:hAnsi="Times New Roman" w:cs="Times New Roman"/>
          <w:b/>
          <w:bCs/>
          <w:shadow/>
          <w:color w:val="auto"/>
          <w:sz w:val="26"/>
          <w:szCs w:val="26"/>
          <w:lang w:val="pt-BR"/>
        </w:rPr>
        <w:tab/>
      </w:r>
    </w:p>
    <w:p w:rsidR="00351D9B" w:rsidRPr="00210199" w:rsidRDefault="00351D9B" w:rsidP="00351D9B">
      <w:pPr>
        <w:jc w:val="both"/>
        <w:rPr>
          <w:b/>
          <w:i/>
          <w:sz w:val="24"/>
          <w:szCs w:val="24"/>
        </w:rPr>
      </w:pPr>
      <w:r w:rsidRPr="00210199">
        <w:rPr>
          <w:b/>
          <w:i/>
          <w:sz w:val="24"/>
          <w:szCs w:val="24"/>
        </w:rPr>
        <w:t>Ação declaratória. Piso salarial. Lei Estadual. Não observância. Pedido abstrato. Configuração. Incidência da Orientação Jurisprudencial n.º 7 da SDC.</w:t>
      </w:r>
    </w:p>
    <w:p w:rsidR="00351D9B" w:rsidRDefault="00351D9B" w:rsidP="00351D9B">
      <w:pPr>
        <w:pStyle w:val="Corpo"/>
        <w:spacing w:line="240" w:lineRule="auto"/>
        <w:ind w:firstLine="0"/>
        <w:rPr>
          <w:rFonts w:ascii="Times New Roman" w:eastAsia="Calibri" w:hAnsi="Times New Roman" w:cs="Times New Roman"/>
          <w:color w:val="auto"/>
          <w:u w:val="single"/>
          <w:lang w:val="pt-BR" w:eastAsia="en-US"/>
        </w:rPr>
      </w:pPr>
      <w:r>
        <w:rPr>
          <w:rFonts w:ascii="Times New Roman" w:eastAsia="Calibri" w:hAnsi="Times New Roman" w:cs="Times New Roman"/>
          <w:color w:val="auto"/>
          <w:lang w:val="pt-BR" w:eastAsia="en-US"/>
        </w:rPr>
        <w:t>Considerando o fato</w:t>
      </w:r>
      <w:r w:rsidRPr="00210199">
        <w:rPr>
          <w:rFonts w:ascii="Times New Roman" w:eastAsia="Calibri" w:hAnsi="Times New Roman" w:cs="Times New Roman"/>
          <w:color w:val="auto"/>
          <w:lang w:val="pt-BR" w:eastAsia="en-US"/>
        </w:rPr>
        <w:t xml:space="preserve"> </w:t>
      </w:r>
      <w:r>
        <w:rPr>
          <w:rFonts w:ascii="Times New Roman" w:eastAsia="Calibri" w:hAnsi="Times New Roman" w:cs="Times New Roman"/>
          <w:color w:val="auto"/>
          <w:lang w:val="pt-BR" w:eastAsia="en-US"/>
        </w:rPr>
        <w:t xml:space="preserve">de </w:t>
      </w:r>
      <w:r w:rsidRPr="00210199">
        <w:rPr>
          <w:rFonts w:ascii="Times New Roman" w:eastAsia="Calibri" w:hAnsi="Times New Roman" w:cs="Times New Roman"/>
          <w:color w:val="auto"/>
          <w:lang w:val="pt-BR" w:eastAsia="en-US"/>
        </w:rPr>
        <w:t>o interesse de agir na ação declaratória pressup</w:t>
      </w:r>
      <w:r>
        <w:rPr>
          <w:rFonts w:ascii="Times New Roman" w:eastAsia="Calibri" w:hAnsi="Times New Roman" w:cs="Times New Roman"/>
          <w:color w:val="auto"/>
          <w:lang w:val="pt-BR" w:eastAsia="en-US"/>
        </w:rPr>
        <w:t>or</w:t>
      </w:r>
      <w:r w:rsidRPr="00210199">
        <w:rPr>
          <w:rFonts w:ascii="Times New Roman" w:eastAsia="Calibri" w:hAnsi="Times New Roman" w:cs="Times New Roman"/>
          <w:color w:val="auto"/>
          <w:lang w:val="pt-BR" w:eastAsia="en-US"/>
        </w:rPr>
        <w:t xml:space="preserve"> a incerteza jurídica quanto a direitos e obrigações individualizadas no caso concreto, e </w:t>
      </w:r>
      <w:r>
        <w:rPr>
          <w:rFonts w:ascii="Times New Roman" w:eastAsia="Calibri" w:hAnsi="Times New Roman" w:cs="Times New Roman"/>
          <w:color w:val="auto"/>
          <w:lang w:val="pt-BR" w:eastAsia="en-US"/>
        </w:rPr>
        <w:t xml:space="preserve">tendo em vista a inviabilidade do </w:t>
      </w:r>
      <w:r w:rsidRPr="00210199">
        <w:rPr>
          <w:rFonts w:ascii="Times New Roman" w:eastAsia="Calibri" w:hAnsi="Times New Roman" w:cs="Times New Roman"/>
          <w:color w:val="auto"/>
          <w:lang w:val="pt-BR" w:eastAsia="en-US"/>
        </w:rPr>
        <w:t>manejo da referida ação para se discutir lei em abstrato, a SDC, por unanimidade, negou provimento ao recurso ordinário, fazendo incidir, na hipótese, a Orientação Jurisprudencial n.º 7</w:t>
      </w:r>
      <w:r>
        <w:rPr>
          <w:rFonts w:ascii="Times New Roman" w:eastAsia="Calibri" w:hAnsi="Times New Roman" w:cs="Times New Roman"/>
          <w:color w:val="auto"/>
          <w:lang w:val="pt-BR" w:eastAsia="en-US"/>
        </w:rPr>
        <w:t xml:space="preserve"> da referida Seção</w:t>
      </w:r>
      <w:r w:rsidRPr="00210199">
        <w:rPr>
          <w:rFonts w:ascii="Times New Roman" w:eastAsia="Calibri" w:hAnsi="Times New Roman" w:cs="Times New Roman"/>
          <w:color w:val="auto"/>
          <w:lang w:val="pt-BR" w:eastAsia="en-US"/>
        </w:rPr>
        <w:t xml:space="preserve">. </w:t>
      </w:r>
      <w:r w:rsidRPr="00210199">
        <w:rPr>
          <w:rFonts w:ascii="Times New Roman" w:eastAsia="Calibri" w:hAnsi="Times New Roman" w:cs="Times New Roman"/>
          <w:i/>
          <w:color w:val="auto"/>
          <w:lang w:val="pt-BR" w:eastAsia="en-US"/>
        </w:rPr>
        <w:t>In casu</w:t>
      </w:r>
      <w:r w:rsidRPr="00210199">
        <w:rPr>
          <w:rFonts w:ascii="Times New Roman" w:eastAsia="Calibri" w:hAnsi="Times New Roman" w:cs="Times New Roman"/>
          <w:color w:val="auto"/>
          <w:lang w:val="pt-BR" w:eastAsia="en-US"/>
        </w:rPr>
        <w:t>, a Federação das Indústrias do Estado de Santa Catarina (FIESC) ajuizou ação declaratória requerendo a exclusão da aplicação da Lei Complementar do Estado de Santa Catarina n</w:t>
      </w:r>
      <w:r>
        <w:rPr>
          <w:rFonts w:ascii="Times New Roman" w:eastAsia="Calibri" w:hAnsi="Times New Roman" w:cs="Times New Roman"/>
          <w:color w:val="auto"/>
          <w:lang w:val="pt-BR" w:eastAsia="en-US"/>
        </w:rPr>
        <w:t>.</w:t>
      </w:r>
      <w:r w:rsidRPr="00210199">
        <w:rPr>
          <w:rFonts w:ascii="Times New Roman" w:eastAsia="Calibri" w:hAnsi="Times New Roman" w:cs="Times New Roman"/>
          <w:color w:val="auto"/>
          <w:lang w:val="pt-BR" w:eastAsia="en-US"/>
        </w:rPr>
        <w:t>º 459/2009 aos empregados que tenham piso salarial definido em convenção ou acordo coletivo de trabalho</w:t>
      </w:r>
      <w:r>
        <w:rPr>
          <w:rFonts w:ascii="Times New Roman" w:eastAsia="Calibri" w:hAnsi="Times New Roman" w:cs="Times New Roman"/>
          <w:color w:val="auto"/>
          <w:lang w:val="pt-BR" w:eastAsia="en-US"/>
        </w:rPr>
        <w:t xml:space="preserve"> firmado com os sindicatos representados pela referida federação</w:t>
      </w:r>
      <w:r w:rsidRPr="00210199">
        <w:rPr>
          <w:rFonts w:ascii="Times New Roman" w:eastAsia="Calibri" w:hAnsi="Times New Roman" w:cs="Times New Roman"/>
          <w:color w:val="auto"/>
          <w:lang w:val="pt-BR" w:eastAsia="en-US"/>
        </w:rPr>
        <w:t xml:space="preserve">, </w:t>
      </w:r>
      <w:r>
        <w:rPr>
          <w:rFonts w:ascii="Times New Roman" w:eastAsia="Calibri" w:hAnsi="Times New Roman" w:cs="Times New Roman"/>
          <w:color w:val="auto"/>
          <w:lang w:val="pt-BR" w:eastAsia="en-US"/>
        </w:rPr>
        <w:t>bem como a declaração da</w:t>
      </w:r>
      <w:r w:rsidRPr="00210199">
        <w:rPr>
          <w:rFonts w:ascii="Times New Roman" w:eastAsia="Calibri" w:hAnsi="Times New Roman" w:cs="Times New Roman"/>
          <w:color w:val="auto"/>
          <w:lang w:val="pt-BR" w:eastAsia="en-US"/>
        </w:rPr>
        <w:t xml:space="preserve"> possibilidade de firmar cláusula de piso salarial em instrumento coletivo com valores abaixo dos patamares estabelecidos na referida lei.</w:t>
      </w:r>
      <w:r w:rsidRPr="00BD4085">
        <w:rPr>
          <w:lang w:val="pt-BR"/>
        </w:rPr>
        <w:t xml:space="preserve"> </w:t>
      </w:r>
      <w:hyperlink r:id="rId8" w:history="1">
        <w:r w:rsidRPr="00EB3BDB">
          <w:rPr>
            <w:rStyle w:val="Hyperlink"/>
            <w:rFonts w:ascii="Times New Roman" w:eastAsia="Calibri" w:hAnsi="Times New Roman"/>
            <w:lang w:val="pt-BR" w:eastAsia="en-US"/>
          </w:rPr>
          <w:t>TST-RO-491-03.2010.5.12.0000</w:t>
        </w:r>
      </w:hyperlink>
      <w:r w:rsidR="00BD4085">
        <w:rPr>
          <w:rFonts w:ascii="Times New Roman" w:eastAsia="Calibri" w:hAnsi="Times New Roman" w:cs="Times New Roman"/>
          <w:color w:val="auto"/>
          <w:u w:val="single"/>
          <w:lang w:val="pt-BR" w:eastAsia="en-US"/>
        </w:rPr>
        <w:t>, SDC, rel. Min. Mauri</w:t>
      </w:r>
      <w:r w:rsidRPr="00210199">
        <w:rPr>
          <w:rFonts w:ascii="Times New Roman" w:eastAsia="Calibri" w:hAnsi="Times New Roman" w:cs="Times New Roman"/>
          <w:color w:val="auto"/>
          <w:u w:val="single"/>
          <w:lang w:val="pt-BR" w:eastAsia="en-US"/>
        </w:rPr>
        <w:t>cio Godinho Delgado, 12.3.12</w:t>
      </w:r>
    </w:p>
    <w:p w:rsidR="00296250" w:rsidRPr="00296250" w:rsidRDefault="00296250" w:rsidP="00351D9B">
      <w:pPr>
        <w:pStyle w:val="Corpo"/>
        <w:spacing w:line="240" w:lineRule="auto"/>
        <w:ind w:firstLine="0"/>
        <w:rPr>
          <w:rFonts w:ascii="Times New Roman" w:eastAsia="Calibri" w:hAnsi="Times New Roman" w:cs="Times New Roman"/>
          <w:color w:val="auto"/>
          <w:sz w:val="20"/>
          <w:szCs w:val="20"/>
          <w:u w:val="single"/>
          <w:lang w:val="pt-BR" w:eastAsia="en-US"/>
        </w:rPr>
      </w:pPr>
    </w:p>
    <w:p w:rsidR="00296250" w:rsidRPr="004E6A22" w:rsidRDefault="00296250" w:rsidP="00296250">
      <w:pPr>
        <w:pStyle w:val="Corpo"/>
        <w:spacing w:line="240" w:lineRule="auto"/>
        <w:ind w:firstLine="0"/>
        <w:rPr>
          <w:rFonts w:ascii="Times New Roman" w:hAnsi="Times New Roman"/>
          <w:b/>
          <w:bCs/>
          <w:i/>
          <w:iCs/>
          <w:lang w:val="pt-BR"/>
        </w:rPr>
      </w:pPr>
      <w:r w:rsidRPr="004E6A22">
        <w:rPr>
          <w:rFonts w:ascii="Times New Roman" w:hAnsi="Times New Roman"/>
          <w:b/>
          <w:bCs/>
          <w:i/>
          <w:iCs/>
          <w:lang w:val="pt-BR"/>
        </w:rPr>
        <w:t>DC. Exigência de aprovação da greve por assembleia (art. 4º da Lei n</w:t>
      </w:r>
      <w:r w:rsidR="00BD4085">
        <w:rPr>
          <w:rFonts w:ascii="Times New Roman" w:hAnsi="Times New Roman"/>
          <w:b/>
          <w:bCs/>
          <w:i/>
          <w:iCs/>
          <w:lang w:val="pt-BR"/>
        </w:rPr>
        <w:t>.</w:t>
      </w:r>
      <w:r w:rsidRPr="004E6A22">
        <w:rPr>
          <w:rFonts w:ascii="Times New Roman" w:hAnsi="Times New Roman"/>
          <w:b/>
          <w:bCs/>
          <w:i/>
          <w:iCs/>
          <w:lang w:val="pt-BR"/>
        </w:rPr>
        <w:t xml:space="preserve">º 7.783/89).  Inobservância. Abusividade do movimento paredista. Não configuração. Requisito suprido pela ampla adesão e participação dos trabalhadores. </w:t>
      </w:r>
    </w:p>
    <w:p w:rsidR="00296250" w:rsidRPr="004E6A22" w:rsidRDefault="00296250" w:rsidP="00296250">
      <w:pPr>
        <w:pStyle w:val="Ementa"/>
        <w:ind w:left="0"/>
        <w:rPr>
          <w:rFonts w:ascii="Times New Roman" w:hAnsi="Times New Roman"/>
          <w:bCs/>
          <w:iCs/>
          <w:color w:val="000000"/>
          <w:u w:val="single"/>
          <w:lang w:val="pt-BR"/>
        </w:rPr>
      </w:pPr>
      <w:r w:rsidRPr="004E6A22">
        <w:rPr>
          <w:rFonts w:ascii="Times New Roman" w:hAnsi="Times New Roman"/>
          <w:bCs/>
          <w:iCs/>
          <w:color w:val="000000"/>
          <w:lang w:val="pt-BR"/>
        </w:rPr>
        <w:t>A despeito da inexistência de prova da ocorrência de assembleia-geral regular, se os elementos dos autos permitirem a convicção de ter havido aprovação da greve pelos empregados envolvidos, considera-se suprida a formalidade prevista no art. 4º da Lei</w:t>
      </w:r>
      <w:r w:rsidR="00BD4085">
        <w:rPr>
          <w:rFonts w:ascii="Times New Roman" w:hAnsi="Times New Roman"/>
          <w:bCs/>
          <w:iCs/>
          <w:color w:val="000000"/>
          <w:lang w:val="pt-BR"/>
        </w:rPr>
        <w:t xml:space="preserve"> n.º</w:t>
      </w:r>
      <w:r w:rsidRPr="004E6A22">
        <w:rPr>
          <w:rFonts w:ascii="Times New Roman" w:hAnsi="Times New Roman"/>
          <w:bCs/>
          <w:iCs/>
          <w:color w:val="000000"/>
          <w:lang w:val="pt-BR"/>
        </w:rPr>
        <w:t xml:space="preserve"> 7.783/89, razão pela qual a inobservância do referido requisito não caracteriza a abusividade do movimento paredista. Com esse entendimento, a SDC, por unanimidade, conheceu do recurso ordinário e, no mérito, por voto prevalente da Presidência, negou-lhe provimento. Vencidos os Ministros Walmir Oliveira da Costa, Fernando Eizo Ono e Márcio Eurico Vitral Amaral, que davam provimento ao apelo para declarar a abusividade da greve.</w:t>
      </w:r>
      <w:r>
        <w:rPr>
          <w:rFonts w:ascii="Times New Roman" w:hAnsi="Times New Roman"/>
          <w:bCs/>
          <w:iCs/>
          <w:color w:val="000000"/>
          <w:lang w:val="pt-BR"/>
        </w:rPr>
        <w:t xml:space="preserve"> </w:t>
      </w:r>
      <w:hyperlink r:id="rId9" w:history="1">
        <w:r w:rsidRPr="00EB3BDB">
          <w:rPr>
            <w:rStyle w:val="Hyperlink"/>
            <w:rFonts w:ascii="Times New Roman" w:hAnsi="Times New Roman" w:cs="Courier New"/>
            <w:bCs/>
            <w:iCs/>
            <w:lang w:val="pt-BR"/>
          </w:rPr>
          <w:t>TST-RODC-2017400-02.2009.5.02.0000</w:t>
        </w:r>
      </w:hyperlink>
      <w:r w:rsidRPr="004E6A22">
        <w:rPr>
          <w:rFonts w:ascii="Times New Roman" w:hAnsi="Times New Roman"/>
          <w:bCs/>
          <w:iCs/>
          <w:color w:val="000000"/>
          <w:u w:val="single"/>
          <w:lang w:val="pt-BR"/>
        </w:rPr>
        <w:t>, SDC, rel. Min. Maur</w:t>
      </w:r>
      <w:r w:rsidR="00BD4085">
        <w:rPr>
          <w:rFonts w:ascii="Times New Roman" w:hAnsi="Times New Roman"/>
          <w:bCs/>
          <w:iCs/>
          <w:color w:val="000000"/>
          <w:u w:val="single"/>
          <w:lang w:val="pt-BR"/>
        </w:rPr>
        <w:t>i</w:t>
      </w:r>
      <w:r w:rsidRPr="004E6A22">
        <w:rPr>
          <w:rFonts w:ascii="Times New Roman" w:hAnsi="Times New Roman"/>
          <w:bCs/>
          <w:iCs/>
          <w:color w:val="000000"/>
          <w:u w:val="single"/>
          <w:lang w:val="pt-BR"/>
        </w:rPr>
        <w:t>cio Godinho Delgado</w:t>
      </w:r>
      <w:r>
        <w:rPr>
          <w:rFonts w:ascii="Times New Roman" w:hAnsi="Times New Roman"/>
          <w:bCs/>
          <w:iCs/>
          <w:color w:val="000000"/>
          <w:u w:val="single"/>
          <w:lang w:val="pt-BR"/>
        </w:rPr>
        <w:t>,</w:t>
      </w:r>
      <w:r w:rsidRPr="004E6A22">
        <w:rPr>
          <w:rFonts w:ascii="Times New Roman" w:hAnsi="Times New Roman"/>
          <w:bCs/>
          <w:iCs/>
          <w:color w:val="000000"/>
          <w:u w:val="single"/>
          <w:lang w:val="pt-BR"/>
        </w:rPr>
        <w:t xml:space="preserve"> 12.3.2012.</w:t>
      </w:r>
    </w:p>
    <w:p w:rsidR="00C71A3B" w:rsidRPr="00296250" w:rsidRDefault="00C71A3B" w:rsidP="00F82D8F">
      <w:pPr>
        <w:pStyle w:val="Corpo"/>
        <w:spacing w:line="240" w:lineRule="auto"/>
        <w:ind w:firstLine="0"/>
        <w:rPr>
          <w:rFonts w:ascii="Times New Roman" w:hAnsi="Times New Roman" w:cs="Times New Roman"/>
          <w:b/>
          <w:bCs/>
          <w:shadow/>
          <w:color w:val="auto"/>
          <w:sz w:val="20"/>
          <w:szCs w:val="20"/>
          <w:lang w:val="pt-BR"/>
        </w:rPr>
      </w:pPr>
    </w:p>
    <w:p w:rsidR="00FE00AD" w:rsidRPr="00D143ED" w:rsidRDefault="00631F1C" w:rsidP="00D143ED">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6"/>
          <w:szCs w:val="26"/>
          <w:lang w:val="pt-BR"/>
        </w:rPr>
      </w:pPr>
      <w:r w:rsidRPr="00971E07">
        <w:rPr>
          <w:rFonts w:ascii="Times New Roman" w:hAnsi="Times New Roman" w:cs="Times New Roman"/>
          <w:b/>
          <w:bCs/>
          <w:shadow/>
          <w:color w:val="auto"/>
          <w:sz w:val="26"/>
          <w:szCs w:val="26"/>
          <w:lang w:val="pt-BR"/>
        </w:rPr>
        <w:t>S</w:t>
      </w:r>
      <w:r>
        <w:rPr>
          <w:rFonts w:ascii="Times New Roman" w:hAnsi="Times New Roman" w:cs="Times New Roman"/>
          <w:b/>
          <w:bCs/>
          <w:shadow/>
          <w:color w:val="auto"/>
          <w:sz w:val="26"/>
          <w:szCs w:val="26"/>
          <w:lang w:val="pt-BR"/>
        </w:rPr>
        <w:t xml:space="preserve">UBSEÇÃO I </w:t>
      </w:r>
      <w:r w:rsidRPr="00971E07">
        <w:rPr>
          <w:rFonts w:ascii="Times New Roman" w:hAnsi="Times New Roman" w:cs="Times New Roman"/>
          <w:b/>
          <w:bCs/>
          <w:shadow/>
          <w:color w:val="auto"/>
          <w:sz w:val="26"/>
          <w:szCs w:val="26"/>
          <w:lang w:val="pt-BR"/>
        </w:rPr>
        <w:t xml:space="preserve">ESPECIALIZADA EM DISSÍDIOS </w:t>
      </w:r>
      <w:r>
        <w:rPr>
          <w:rFonts w:ascii="Times New Roman" w:hAnsi="Times New Roman" w:cs="Times New Roman"/>
          <w:b/>
          <w:bCs/>
          <w:shadow/>
          <w:color w:val="auto"/>
          <w:sz w:val="26"/>
          <w:szCs w:val="26"/>
          <w:lang w:val="pt-BR"/>
        </w:rPr>
        <w:t>INDIVIDUAIS</w:t>
      </w:r>
    </w:p>
    <w:p w:rsidR="002C2904" w:rsidRPr="00296250" w:rsidRDefault="002C2904" w:rsidP="002C2904">
      <w:pPr>
        <w:ind w:right="-567"/>
        <w:jc w:val="both"/>
      </w:pPr>
    </w:p>
    <w:p w:rsidR="00945C14" w:rsidRDefault="00945C14" w:rsidP="00351D9B">
      <w:pPr>
        <w:jc w:val="both"/>
        <w:rPr>
          <w:b/>
          <w:i/>
          <w:sz w:val="24"/>
          <w:szCs w:val="24"/>
        </w:rPr>
      </w:pPr>
      <w:r>
        <w:rPr>
          <w:b/>
          <w:i/>
          <w:sz w:val="24"/>
          <w:szCs w:val="24"/>
        </w:rPr>
        <w:t>Responsabilidade civil objetiva. Configuração. Técnico em informática. Condução de veículo em rodovias intermunicipais. Óbito. Culpa exclusiva de terceiro. Teoria do risco da atividade econômica. Ação de regresso.</w:t>
      </w:r>
      <w:r w:rsidRPr="003D032E">
        <w:rPr>
          <w:b/>
          <w:i/>
          <w:sz w:val="24"/>
          <w:szCs w:val="24"/>
        </w:rPr>
        <w:t xml:space="preserve"> </w:t>
      </w:r>
    </w:p>
    <w:p w:rsidR="00945C14" w:rsidRDefault="00945C14" w:rsidP="00351D9B">
      <w:pPr>
        <w:jc w:val="both"/>
        <w:rPr>
          <w:sz w:val="24"/>
          <w:szCs w:val="24"/>
          <w:u w:val="single"/>
        </w:rPr>
      </w:pPr>
      <w:r>
        <w:rPr>
          <w:sz w:val="24"/>
          <w:szCs w:val="24"/>
        </w:rPr>
        <w:t xml:space="preserve">A SBDI-I, por maioria, negou provimento aos embargos, mantendo a decisão da 8ª Turma que reconhecera a responsabilidade objetiva da empregadora no caso em que o trabalhador, técnico em informática, cuja atividade envolvia a condução de veículo em rodovias intermunicipais, veio a falecer em decorrência de acidente automobilístico causado por culpa exclusiva de terceiro. Na espécie, asseverou o relator que as más condições nas rodovias brasileiras são fato notório, razão pela qual o perigo ocasionado ao reclamante permite classificar o trabalho por ele exercido como atividade de risco. Assim, ainda que ausente culpa do empregador, a teoria do risco da atividade econômica atrai a responsabilidade da empresa pelos danos gerados, facultando-lhe, tão somente, o </w:t>
      </w:r>
      <w:r>
        <w:rPr>
          <w:sz w:val="24"/>
          <w:szCs w:val="24"/>
        </w:rPr>
        <w:lastRenderedPageBreak/>
        <w:t xml:space="preserve">ajuizamento de ação de regresso contra aquele que efetivamente provocou o dano objeto de reparação. Vencidos os Ministros Ives Gandra, Brito Pereira e Renato de Lacerda Paiva. </w:t>
      </w:r>
      <w:hyperlink r:id="rId10" w:history="1">
        <w:r w:rsidRPr="00EB3BDB">
          <w:rPr>
            <w:rStyle w:val="Hyperlink"/>
            <w:sz w:val="24"/>
            <w:szCs w:val="24"/>
          </w:rPr>
          <w:t>TST-E-RR-1299000-69.2008.5.09.0016</w:t>
        </w:r>
      </w:hyperlink>
      <w:r w:rsidRPr="003D032E">
        <w:rPr>
          <w:sz w:val="24"/>
          <w:szCs w:val="24"/>
          <w:u w:val="single"/>
        </w:rPr>
        <w:t>, SBDI-</w:t>
      </w:r>
      <w:r>
        <w:rPr>
          <w:sz w:val="24"/>
          <w:szCs w:val="24"/>
          <w:u w:val="single"/>
        </w:rPr>
        <w:t>I</w:t>
      </w:r>
      <w:r w:rsidRPr="003D032E">
        <w:rPr>
          <w:sz w:val="24"/>
          <w:szCs w:val="24"/>
          <w:u w:val="single"/>
        </w:rPr>
        <w:t>, rel. Min. A</w:t>
      </w:r>
      <w:r>
        <w:rPr>
          <w:sz w:val="24"/>
          <w:szCs w:val="24"/>
          <w:u w:val="single"/>
        </w:rPr>
        <w:t>loysio C</w:t>
      </w:r>
      <w:r w:rsidR="00BD4085">
        <w:rPr>
          <w:sz w:val="24"/>
          <w:szCs w:val="24"/>
          <w:u w:val="single"/>
        </w:rPr>
        <w:t>o</w:t>
      </w:r>
      <w:r>
        <w:rPr>
          <w:sz w:val="24"/>
          <w:szCs w:val="24"/>
          <w:u w:val="single"/>
        </w:rPr>
        <w:t>rr</w:t>
      </w:r>
      <w:r w:rsidR="00BD4085">
        <w:rPr>
          <w:sz w:val="24"/>
          <w:szCs w:val="24"/>
          <w:u w:val="single"/>
        </w:rPr>
        <w:t>ê</w:t>
      </w:r>
      <w:r>
        <w:rPr>
          <w:sz w:val="24"/>
          <w:szCs w:val="24"/>
          <w:u w:val="single"/>
        </w:rPr>
        <w:t>a da Veiga, 16.2.2012</w:t>
      </w:r>
      <w:r w:rsidRPr="003D032E">
        <w:rPr>
          <w:sz w:val="24"/>
          <w:szCs w:val="24"/>
          <w:u w:val="single"/>
        </w:rPr>
        <w:t>.</w:t>
      </w:r>
    </w:p>
    <w:p w:rsidR="00945C14" w:rsidRPr="00296250" w:rsidRDefault="00945C14" w:rsidP="00945C14">
      <w:pPr>
        <w:ind w:right="-567"/>
        <w:jc w:val="both"/>
        <w:rPr>
          <w:u w:val="single"/>
        </w:rPr>
      </w:pPr>
    </w:p>
    <w:p w:rsidR="00945C14" w:rsidRDefault="00945C14" w:rsidP="00351D9B">
      <w:pPr>
        <w:jc w:val="both"/>
        <w:rPr>
          <w:b/>
          <w:i/>
          <w:sz w:val="24"/>
          <w:szCs w:val="24"/>
        </w:rPr>
      </w:pPr>
      <w:r>
        <w:rPr>
          <w:b/>
          <w:i/>
          <w:sz w:val="24"/>
          <w:szCs w:val="24"/>
        </w:rPr>
        <w:t>Ação civil pública. Comércio varejista. Trabalho aos domingos e feriados. Período anterior a 9 de novembro de 1997. Necessidade de ajuste em norma coletiva.</w:t>
      </w:r>
      <w:r w:rsidRPr="003D032E">
        <w:rPr>
          <w:b/>
          <w:i/>
          <w:sz w:val="24"/>
          <w:szCs w:val="24"/>
        </w:rPr>
        <w:t xml:space="preserve"> </w:t>
      </w:r>
    </w:p>
    <w:p w:rsidR="00945C14" w:rsidRPr="003D032E" w:rsidRDefault="00945C14" w:rsidP="00351D9B">
      <w:pPr>
        <w:jc w:val="both"/>
        <w:rPr>
          <w:sz w:val="24"/>
          <w:szCs w:val="24"/>
        </w:rPr>
      </w:pPr>
      <w:r>
        <w:rPr>
          <w:sz w:val="24"/>
          <w:szCs w:val="24"/>
        </w:rPr>
        <w:t>Mesmo no período anterior a 9 de novembro de 1997, a que se refere o parágrafo único do art. 6º da edição n.º 36 da MP n.º 1539, convertida na Lei n.º 10.101/00, posteriormente alterada pela Lei n.º 11.603/07, fazia-se necessário o ajuste em norma coletiva autorizando o trabalho aos domingos e feriados no comércio varejista. Com base nessa premissa, a SBDI-I, por maioria, conheceu dos embargos e, no mérito, deu-lhes provimento para julgar procedente o pedido formulado na ação civil pública, determinando aos réus que se abstenham de exigir de seus empregados labor em domingos e feriados sem o amparo de norma coletiva. Vencidos os Ministros Maria Cristina Irigoyen Peduzzi, relatora, Milton de Moura França, Ives Gandra da Silva Martins Filho e Renato de Lacerda Paiva</w:t>
      </w:r>
      <w:r w:rsidRPr="003D032E">
        <w:rPr>
          <w:sz w:val="24"/>
          <w:szCs w:val="24"/>
        </w:rPr>
        <w:t xml:space="preserve">. </w:t>
      </w:r>
      <w:hyperlink r:id="rId11" w:history="1">
        <w:r w:rsidRPr="00EB3BDB">
          <w:rPr>
            <w:rStyle w:val="Hyperlink"/>
            <w:sz w:val="24"/>
            <w:szCs w:val="24"/>
          </w:rPr>
          <w:t>TST-E-ED-RR-89600-90.2002.5.08.0009</w:t>
        </w:r>
      </w:hyperlink>
      <w:r w:rsidRPr="003D032E">
        <w:rPr>
          <w:sz w:val="24"/>
          <w:szCs w:val="24"/>
          <w:u w:val="single"/>
        </w:rPr>
        <w:t>, SBDI-</w:t>
      </w:r>
      <w:r>
        <w:rPr>
          <w:sz w:val="24"/>
          <w:szCs w:val="24"/>
          <w:u w:val="single"/>
        </w:rPr>
        <w:t>I</w:t>
      </w:r>
      <w:r w:rsidRPr="003D032E">
        <w:rPr>
          <w:sz w:val="24"/>
          <w:szCs w:val="24"/>
          <w:u w:val="single"/>
        </w:rPr>
        <w:t xml:space="preserve">, rel. Min. </w:t>
      </w:r>
      <w:r>
        <w:rPr>
          <w:sz w:val="24"/>
          <w:szCs w:val="24"/>
          <w:u w:val="single"/>
        </w:rPr>
        <w:t>Maria Cristina Irigoyen Peduzzi, red. p/ acórdão Min. Brito Pereira, 16.2.2012</w:t>
      </w:r>
      <w:r w:rsidRPr="003D032E">
        <w:rPr>
          <w:sz w:val="24"/>
          <w:szCs w:val="24"/>
          <w:u w:val="single"/>
        </w:rPr>
        <w:t>.</w:t>
      </w:r>
    </w:p>
    <w:p w:rsidR="00945C14" w:rsidRPr="00296250" w:rsidRDefault="00945C14" w:rsidP="00351D9B">
      <w:pPr>
        <w:jc w:val="both"/>
      </w:pPr>
    </w:p>
    <w:p w:rsidR="00945C14" w:rsidRDefault="00945C14" w:rsidP="00351D9B">
      <w:pPr>
        <w:jc w:val="both"/>
        <w:rPr>
          <w:b/>
          <w:i/>
          <w:sz w:val="24"/>
          <w:szCs w:val="24"/>
        </w:rPr>
      </w:pPr>
      <w:r>
        <w:rPr>
          <w:b/>
          <w:i/>
          <w:sz w:val="24"/>
          <w:szCs w:val="24"/>
        </w:rPr>
        <w:t>CEEE. Reconhecimento de vínculo e concessão de vantagens salariais dele decorrentes. Cumulação de pedidos de natureza declaratória e condenatória. Prescritibilidade somente do pedido condenatório. Art. 7º, XXIX, da CF. Imprescritibilidade do pedido declaratório. Art. 11, § 2º, da CLT.</w:t>
      </w:r>
      <w:r w:rsidRPr="003D032E">
        <w:rPr>
          <w:b/>
          <w:i/>
          <w:sz w:val="24"/>
          <w:szCs w:val="24"/>
        </w:rPr>
        <w:t xml:space="preserve"> </w:t>
      </w:r>
    </w:p>
    <w:p w:rsidR="00945C14" w:rsidRPr="003D032E" w:rsidRDefault="00945C14" w:rsidP="00351D9B">
      <w:pPr>
        <w:jc w:val="both"/>
        <w:rPr>
          <w:sz w:val="24"/>
          <w:szCs w:val="24"/>
        </w:rPr>
      </w:pPr>
      <w:r>
        <w:rPr>
          <w:sz w:val="24"/>
          <w:szCs w:val="24"/>
        </w:rPr>
        <w:t>Havendo cumulação de pedidos de natureza declaratória e condenatória, o pedido declaratório não se modifica, permanecendo imprescritível (art. 11, § 2º, da CLT), ao passo que o pedido condenatório fica sujeito aos prazos prescricionais previstos no art. 7º, XXIX, da CF</w:t>
      </w:r>
      <w:r w:rsidRPr="003D032E">
        <w:rPr>
          <w:sz w:val="24"/>
          <w:szCs w:val="24"/>
        </w:rPr>
        <w:t>.</w:t>
      </w:r>
      <w:r>
        <w:rPr>
          <w:sz w:val="24"/>
          <w:szCs w:val="24"/>
        </w:rPr>
        <w:t xml:space="preserve"> Com esse entendimento, e invocando o decidido no processo TST-E-ED-RR-46540-86.1999.5.04.0008, a SBDI-I, à unanimidade, conheceu do recurso de embargos por divergência jurisprudencial e, no mérito, por maioria, vencidos parc</w:t>
      </w:r>
      <w:r w:rsidR="00BD4085">
        <w:rPr>
          <w:sz w:val="24"/>
          <w:szCs w:val="24"/>
        </w:rPr>
        <w:t>ialmente os Ministros Aloysio Co</w:t>
      </w:r>
      <w:r>
        <w:rPr>
          <w:sz w:val="24"/>
          <w:szCs w:val="24"/>
        </w:rPr>
        <w:t>rr</w:t>
      </w:r>
      <w:r w:rsidR="00BD4085">
        <w:rPr>
          <w:sz w:val="24"/>
          <w:szCs w:val="24"/>
        </w:rPr>
        <w:t>ê</w:t>
      </w:r>
      <w:r>
        <w:rPr>
          <w:sz w:val="24"/>
          <w:szCs w:val="24"/>
        </w:rPr>
        <w:t xml:space="preserve">a da Veiga e Rosa Maria Weber e, totalmente, os Ministros Milton de Moura França e Brito Pereira, deu-lhe provimento para afastar a prescrição total e determinar o retorno dos autos à 5ª Turma para que prossiga no julgamento do recurso de revista quanto aos demais temas. Na espécie, trata-se de reclamatória ajuizada contra a Companhia Estadual de Energia Elétrica (CEEE), visando ao reconhecimento de vínculo de emprego e à concessão de vantagens salariais dele decorrentes. </w:t>
      </w:r>
      <w:hyperlink r:id="rId12" w:history="1">
        <w:r w:rsidRPr="00EB3BDB">
          <w:rPr>
            <w:rStyle w:val="Hyperlink"/>
            <w:sz w:val="24"/>
            <w:szCs w:val="24"/>
          </w:rPr>
          <w:t>TST-E-ED-RR-111100-29.1996.5.04.0271</w:t>
        </w:r>
      </w:hyperlink>
      <w:r>
        <w:rPr>
          <w:sz w:val="24"/>
          <w:szCs w:val="24"/>
          <w:u w:val="single"/>
        </w:rPr>
        <w:t xml:space="preserve">, </w:t>
      </w:r>
      <w:r w:rsidRPr="003D032E">
        <w:rPr>
          <w:sz w:val="24"/>
          <w:szCs w:val="24"/>
          <w:u w:val="single"/>
        </w:rPr>
        <w:t>SBDI-</w:t>
      </w:r>
      <w:r>
        <w:rPr>
          <w:sz w:val="24"/>
          <w:szCs w:val="24"/>
          <w:u w:val="single"/>
        </w:rPr>
        <w:t>I</w:t>
      </w:r>
      <w:r w:rsidRPr="003D032E">
        <w:rPr>
          <w:sz w:val="24"/>
          <w:szCs w:val="24"/>
          <w:u w:val="single"/>
        </w:rPr>
        <w:t xml:space="preserve">, rel. Min. </w:t>
      </w:r>
      <w:r>
        <w:rPr>
          <w:sz w:val="24"/>
          <w:szCs w:val="24"/>
          <w:u w:val="single"/>
        </w:rPr>
        <w:t>Horácio Raymundo de Senna Pires, 23.2.2012</w:t>
      </w:r>
      <w:r w:rsidRPr="003D032E">
        <w:rPr>
          <w:sz w:val="24"/>
          <w:szCs w:val="24"/>
          <w:u w:val="single"/>
        </w:rPr>
        <w:t>.</w:t>
      </w:r>
    </w:p>
    <w:p w:rsidR="00945C14" w:rsidRPr="00296250" w:rsidRDefault="00945C14" w:rsidP="00351D9B">
      <w:pPr>
        <w:jc w:val="both"/>
      </w:pPr>
    </w:p>
    <w:p w:rsidR="00896082" w:rsidRDefault="00896082" w:rsidP="00351D9B">
      <w:pPr>
        <w:jc w:val="both"/>
        <w:rPr>
          <w:b/>
          <w:i/>
          <w:sz w:val="24"/>
          <w:szCs w:val="24"/>
        </w:rPr>
      </w:pPr>
      <w:r w:rsidRPr="00B3326B">
        <w:rPr>
          <w:b/>
          <w:i/>
          <w:sz w:val="24"/>
          <w:szCs w:val="24"/>
        </w:rPr>
        <w:t>Depósito recursal.</w:t>
      </w:r>
      <w:r>
        <w:rPr>
          <w:b/>
          <w:i/>
          <w:sz w:val="24"/>
          <w:szCs w:val="24"/>
        </w:rPr>
        <w:t xml:space="preserve"> Guia GFIP.</w:t>
      </w:r>
      <w:r w:rsidRPr="00B3326B">
        <w:rPr>
          <w:b/>
          <w:i/>
          <w:sz w:val="24"/>
          <w:szCs w:val="24"/>
        </w:rPr>
        <w:t xml:space="preserve"> </w:t>
      </w:r>
      <w:r>
        <w:rPr>
          <w:b/>
          <w:i/>
          <w:sz w:val="24"/>
          <w:szCs w:val="24"/>
        </w:rPr>
        <w:t>Indicação equivocada do número do processo e da vara n</w:t>
      </w:r>
      <w:r w:rsidRPr="00B3326B">
        <w:rPr>
          <w:b/>
          <w:i/>
          <w:sz w:val="24"/>
          <w:szCs w:val="24"/>
        </w:rPr>
        <w:t>a guia de recolhimento. Deserção.</w:t>
      </w:r>
      <w:r>
        <w:rPr>
          <w:b/>
          <w:i/>
          <w:sz w:val="24"/>
          <w:szCs w:val="24"/>
        </w:rPr>
        <w:t xml:space="preserve"> Configuração.</w:t>
      </w:r>
    </w:p>
    <w:p w:rsidR="00896082" w:rsidRDefault="00896082" w:rsidP="00351D9B">
      <w:pPr>
        <w:jc w:val="both"/>
        <w:rPr>
          <w:u w:val="single"/>
        </w:rPr>
      </w:pPr>
      <w:r w:rsidRPr="008E3983">
        <w:rPr>
          <w:sz w:val="24"/>
          <w:szCs w:val="24"/>
        </w:rPr>
        <w:t xml:space="preserve">O preenchimento incorreto da guia de depósito recursal constitui irregularidade que compromete a eficácia do ato processual praticado, visto que não atendida a sua finalidade de garantia do </w:t>
      </w:r>
      <w:r>
        <w:rPr>
          <w:sz w:val="24"/>
          <w:szCs w:val="24"/>
        </w:rPr>
        <w:t>j</w:t>
      </w:r>
      <w:r w:rsidRPr="008E3983">
        <w:rPr>
          <w:sz w:val="24"/>
          <w:szCs w:val="24"/>
        </w:rPr>
        <w:t xml:space="preserve">uízo. Na hipótese, a guia GFIP foi preenchida </w:t>
      </w:r>
      <w:r>
        <w:rPr>
          <w:sz w:val="24"/>
          <w:szCs w:val="24"/>
        </w:rPr>
        <w:t>erroneamente quanto ao número do</w:t>
      </w:r>
      <w:r w:rsidRPr="008E3983">
        <w:rPr>
          <w:sz w:val="24"/>
          <w:szCs w:val="24"/>
        </w:rPr>
        <w:t xml:space="preserve"> processo e da vara por onde tramitou o feito, em desacordo com a diretriz da Instrução Normativa n</w:t>
      </w:r>
      <w:r w:rsidR="00BD4085">
        <w:rPr>
          <w:sz w:val="24"/>
          <w:szCs w:val="24"/>
        </w:rPr>
        <w:t>.</w:t>
      </w:r>
      <w:r w:rsidRPr="008E3983">
        <w:rPr>
          <w:sz w:val="24"/>
          <w:szCs w:val="24"/>
        </w:rPr>
        <w:t>º 18/99 do TST. Com esse entendimento, a SBDI-</w:t>
      </w:r>
      <w:r>
        <w:rPr>
          <w:sz w:val="24"/>
          <w:szCs w:val="24"/>
        </w:rPr>
        <w:t>I</w:t>
      </w:r>
      <w:r w:rsidRPr="008E3983">
        <w:rPr>
          <w:sz w:val="24"/>
          <w:szCs w:val="24"/>
        </w:rPr>
        <w:t xml:space="preserve">, por maioria, conheceu dos embargos e deu-lhes provimento para restabelecer o acórdão </w:t>
      </w:r>
      <w:r w:rsidR="00BD4085">
        <w:rPr>
          <w:sz w:val="24"/>
          <w:szCs w:val="24"/>
        </w:rPr>
        <w:t>do R</w:t>
      </w:r>
      <w:r w:rsidRPr="008E3983">
        <w:rPr>
          <w:sz w:val="24"/>
          <w:szCs w:val="24"/>
        </w:rPr>
        <w:t xml:space="preserve">egional que julgou deserto o recurso ordinário da reclamada. Vencidos os Ministros Renato de Lacerda Paiva, relator, Maria Cristina Irigoyen Peduzzi, </w:t>
      </w:r>
      <w:r w:rsidRPr="008E3983">
        <w:rPr>
          <w:bCs/>
          <w:iCs/>
          <w:color w:val="000000"/>
          <w:sz w:val="24"/>
          <w:szCs w:val="24"/>
        </w:rPr>
        <w:t>Antônio José de Barros Levenhagen,</w:t>
      </w:r>
      <w:r w:rsidRPr="008E3983">
        <w:rPr>
          <w:sz w:val="24"/>
          <w:szCs w:val="24"/>
        </w:rPr>
        <w:t xml:space="preserve"> Brito Pereira,</w:t>
      </w:r>
      <w:r w:rsidRPr="008E3983">
        <w:rPr>
          <w:bCs/>
          <w:iCs/>
          <w:color w:val="000000"/>
          <w:sz w:val="24"/>
          <w:szCs w:val="24"/>
        </w:rPr>
        <w:t xml:space="preserve"> Aloysio Corrêa da Veiga</w:t>
      </w:r>
      <w:r>
        <w:rPr>
          <w:bCs/>
          <w:iCs/>
          <w:color w:val="000000"/>
          <w:sz w:val="24"/>
          <w:szCs w:val="24"/>
        </w:rPr>
        <w:t xml:space="preserve"> e</w:t>
      </w:r>
      <w:r w:rsidRPr="008E3983">
        <w:rPr>
          <w:sz w:val="24"/>
          <w:szCs w:val="24"/>
        </w:rPr>
        <w:t xml:space="preserve"> </w:t>
      </w:r>
      <w:r w:rsidRPr="008E3983">
        <w:rPr>
          <w:rStyle w:val="f61"/>
          <w:sz w:val="24"/>
          <w:szCs w:val="24"/>
        </w:rPr>
        <w:t>João Oreste Dalazen</w:t>
      </w:r>
      <w:r w:rsidRPr="008E3983">
        <w:rPr>
          <w:sz w:val="24"/>
          <w:szCs w:val="24"/>
        </w:rPr>
        <w:t>.</w:t>
      </w:r>
      <w:r>
        <w:rPr>
          <w:sz w:val="24"/>
          <w:szCs w:val="24"/>
        </w:rPr>
        <w:t xml:space="preserve">  </w:t>
      </w:r>
      <w:hyperlink r:id="rId13" w:history="1">
        <w:r w:rsidRPr="00074B1C">
          <w:rPr>
            <w:rStyle w:val="Hyperlink"/>
            <w:sz w:val="24"/>
            <w:szCs w:val="24"/>
          </w:rPr>
          <w:t>TST-E-ED-RR-877540-47.2001.5.09.0013</w:t>
        </w:r>
      </w:hyperlink>
      <w:r w:rsidRPr="00351D9B">
        <w:rPr>
          <w:sz w:val="24"/>
          <w:szCs w:val="24"/>
          <w:u w:val="single"/>
        </w:rPr>
        <w:t>, SBDI-I, rel. Min. Renato de Lacerda Paiva, red. p/ acórdão Min. Lelio Bentes Corrêa, 8.3.2012.</w:t>
      </w:r>
    </w:p>
    <w:p w:rsidR="00351D9B" w:rsidRDefault="00351D9B" w:rsidP="00351D9B">
      <w:pPr>
        <w:jc w:val="both"/>
        <w:rPr>
          <w:u w:val="single"/>
        </w:rPr>
      </w:pPr>
    </w:p>
    <w:p w:rsidR="00351D9B" w:rsidRDefault="00351D9B" w:rsidP="00351D9B">
      <w:pPr>
        <w:pStyle w:val="coletanea"/>
        <w:rPr>
          <w:b/>
          <w:i/>
          <w:sz w:val="24"/>
          <w:szCs w:val="24"/>
        </w:rPr>
      </w:pPr>
      <w:r>
        <w:rPr>
          <w:b/>
          <w:i/>
          <w:sz w:val="24"/>
          <w:szCs w:val="24"/>
        </w:rPr>
        <w:t xml:space="preserve">Embargos interpostos sob a égide da Lei n.º 11.496/2007. Conhecimento. Arguição de contrariedade a súmula de conteúdo processual. Possibilidade. </w:t>
      </w:r>
    </w:p>
    <w:p w:rsidR="00351D9B" w:rsidRDefault="00351D9B" w:rsidP="00351D9B">
      <w:pPr>
        <w:pStyle w:val="coletanea"/>
        <w:rPr>
          <w:sz w:val="24"/>
          <w:szCs w:val="24"/>
          <w:u w:val="single"/>
        </w:rPr>
      </w:pPr>
      <w:r>
        <w:rPr>
          <w:sz w:val="24"/>
          <w:szCs w:val="24"/>
        </w:rPr>
        <w:t>O conhecimento de embargos regidos pela Lei n.º 11.496/2007, por contrariedade a súmula ou orientação jurisprudencial de direito processual, viabiliza-se, excepcionalmente, na hipótese em que, do conteúdo da própria decisão da Turma, verifica</w:t>
      </w:r>
      <w:r w:rsidR="00BD4085">
        <w:rPr>
          <w:sz w:val="24"/>
          <w:szCs w:val="24"/>
        </w:rPr>
        <w:t>-se</w:t>
      </w:r>
      <w:r>
        <w:rPr>
          <w:sz w:val="24"/>
          <w:szCs w:val="24"/>
        </w:rPr>
        <w:t xml:space="preserve"> afirmação ou manifestação que diverge do teor do verbete jurisprudencial indicado como </w:t>
      </w:r>
      <w:r w:rsidR="00E54B75">
        <w:rPr>
          <w:sz w:val="24"/>
          <w:szCs w:val="24"/>
        </w:rPr>
        <w:t>contrariado</w:t>
      </w:r>
      <w:r>
        <w:rPr>
          <w:sz w:val="24"/>
          <w:szCs w:val="24"/>
        </w:rPr>
        <w:t xml:space="preserve"> pela parte. No caso, a Turma, para firmar seu convencimento, foi buscar na sentença fatos não reportados no acórdão do Regional, registrando-os. Assim, a SBDI-I, por maioria, conheceu</w:t>
      </w:r>
      <w:r w:rsidRPr="00C103AA">
        <w:rPr>
          <w:sz w:val="24"/>
          <w:szCs w:val="24"/>
        </w:rPr>
        <w:t xml:space="preserve"> do recurso de embargos por contrariedade à Súmu</w:t>
      </w:r>
      <w:r>
        <w:rPr>
          <w:sz w:val="24"/>
          <w:szCs w:val="24"/>
        </w:rPr>
        <w:t>la n.º 126 do TST, e, no mérito, deu</w:t>
      </w:r>
      <w:r w:rsidRPr="00C103AA">
        <w:rPr>
          <w:sz w:val="24"/>
          <w:szCs w:val="24"/>
        </w:rPr>
        <w:t>-lhe provimento para determinar o retorno dos autos à Turma para que prossiga no julgamento do recurso de revista da demandada, como entender de direito</w:t>
      </w:r>
      <w:r>
        <w:rPr>
          <w:sz w:val="24"/>
          <w:szCs w:val="24"/>
        </w:rPr>
        <w:t xml:space="preserve">, </w:t>
      </w:r>
      <w:r w:rsidRPr="00C31107">
        <w:rPr>
          <w:sz w:val="24"/>
          <w:szCs w:val="24"/>
        </w:rPr>
        <w:t xml:space="preserve">atendo-se apenas </w:t>
      </w:r>
      <w:r>
        <w:rPr>
          <w:sz w:val="24"/>
          <w:szCs w:val="24"/>
        </w:rPr>
        <w:t>à matéria fática registrada no acórdão</w:t>
      </w:r>
      <w:r w:rsidRPr="00C31107">
        <w:rPr>
          <w:sz w:val="24"/>
          <w:szCs w:val="24"/>
        </w:rPr>
        <w:t xml:space="preserve"> </w:t>
      </w:r>
      <w:r>
        <w:rPr>
          <w:sz w:val="24"/>
          <w:szCs w:val="24"/>
        </w:rPr>
        <w:t xml:space="preserve">do TRT. </w:t>
      </w:r>
      <w:r w:rsidRPr="00C103AA">
        <w:rPr>
          <w:sz w:val="24"/>
          <w:szCs w:val="24"/>
        </w:rPr>
        <w:t xml:space="preserve">Vencidos os Ministros </w:t>
      </w:r>
      <w:r>
        <w:rPr>
          <w:sz w:val="24"/>
          <w:szCs w:val="24"/>
        </w:rPr>
        <w:t>Maria Cristina Irigoyen Peduzzi, Antônio José de Barros Levenhagen, Ives Gandra, Brito Pereira, Renato de Lacerda Paiva e Dora Maria da Costa</w:t>
      </w:r>
      <w:r w:rsidRPr="00C103AA">
        <w:rPr>
          <w:sz w:val="24"/>
          <w:szCs w:val="24"/>
        </w:rPr>
        <w:t xml:space="preserve">. </w:t>
      </w:r>
      <w:hyperlink r:id="rId14" w:history="1">
        <w:r w:rsidRPr="00074B1C">
          <w:rPr>
            <w:rStyle w:val="Hyperlink"/>
            <w:sz w:val="24"/>
            <w:szCs w:val="24"/>
          </w:rPr>
          <w:t>TST-E-ED-RR-142200-62.2000.5.01.0071</w:t>
        </w:r>
      </w:hyperlink>
      <w:r w:rsidRPr="00351D9B">
        <w:rPr>
          <w:sz w:val="24"/>
          <w:szCs w:val="24"/>
          <w:u w:val="single"/>
        </w:rPr>
        <w:t>, SBDI-I, rel. Min. Augusto César Leite de Carvalho, 8.3.2012.</w:t>
      </w:r>
    </w:p>
    <w:p w:rsidR="00351D9B" w:rsidRPr="00296250" w:rsidRDefault="00351D9B" w:rsidP="00351D9B">
      <w:pPr>
        <w:pStyle w:val="coletanea"/>
        <w:rPr>
          <w:u w:val="single"/>
        </w:rPr>
      </w:pPr>
    </w:p>
    <w:p w:rsidR="00351D9B" w:rsidRDefault="00351D9B" w:rsidP="00351D9B">
      <w:pPr>
        <w:jc w:val="both"/>
        <w:rPr>
          <w:b/>
          <w:i/>
          <w:sz w:val="24"/>
          <w:szCs w:val="24"/>
        </w:rPr>
      </w:pPr>
      <w:r>
        <w:rPr>
          <w:b/>
          <w:i/>
          <w:sz w:val="24"/>
          <w:szCs w:val="24"/>
        </w:rPr>
        <w:t>Responsabilidade subsidiária. Ajuizamento de ação autônoma apenas contra o tomador de serviços</w:t>
      </w:r>
      <w:r w:rsidRPr="003D032E">
        <w:rPr>
          <w:b/>
          <w:i/>
          <w:sz w:val="24"/>
          <w:szCs w:val="24"/>
        </w:rPr>
        <w:t xml:space="preserve">. </w:t>
      </w:r>
      <w:r>
        <w:rPr>
          <w:b/>
          <w:i/>
          <w:sz w:val="24"/>
          <w:szCs w:val="24"/>
        </w:rPr>
        <w:t>Impossibilidade. Existência de sentença condenatória definitiva prolatada em ação em que figurou como parte somente o prestador de serviços.</w:t>
      </w:r>
      <w:r w:rsidRPr="003D032E">
        <w:rPr>
          <w:b/>
          <w:i/>
          <w:sz w:val="24"/>
          <w:szCs w:val="24"/>
        </w:rPr>
        <w:t xml:space="preserve"> </w:t>
      </w:r>
    </w:p>
    <w:p w:rsidR="00351D9B" w:rsidRDefault="00351D9B" w:rsidP="00351D9B">
      <w:pPr>
        <w:jc w:val="both"/>
        <w:rPr>
          <w:sz w:val="24"/>
          <w:szCs w:val="24"/>
          <w:u w:val="single"/>
        </w:rPr>
      </w:pPr>
      <w:r>
        <w:rPr>
          <w:sz w:val="24"/>
          <w:szCs w:val="24"/>
        </w:rPr>
        <w:t>Não é possível o ajuizamento de ação autônoma pleiteando a responsabilidade subsidiária do tomador de serviços quando há sentença condenatória definitiva prolatada em ação anteriormente proposta pelo mesmo reclamante, em que figurou como parte apenas o prestador de serviços</w:t>
      </w:r>
      <w:r w:rsidRPr="003D032E">
        <w:rPr>
          <w:sz w:val="24"/>
          <w:szCs w:val="24"/>
        </w:rPr>
        <w:t xml:space="preserve">. </w:t>
      </w:r>
      <w:r>
        <w:rPr>
          <w:sz w:val="24"/>
          <w:szCs w:val="24"/>
        </w:rPr>
        <w:t>Tal procedimento afrontaria a coisa julgada produzida na primeira ação e o direito à ampla defesa e ao contraditório, resguardado ao tomador de serviços. Assim, reiterando a jurisprudência da Corte</w:t>
      </w:r>
      <w:r w:rsidRPr="003D032E">
        <w:rPr>
          <w:sz w:val="24"/>
          <w:szCs w:val="24"/>
        </w:rPr>
        <w:t>, a S</w:t>
      </w:r>
      <w:r>
        <w:rPr>
          <w:sz w:val="24"/>
          <w:szCs w:val="24"/>
        </w:rPr>
        <w:t>BDI-I, por unanimidade</w:t>
      </w:r>
      <w:r w:rsidRPr="003D032E">
        <w:rPr>
          <w:sz w:val="24"/>
          <w:szCs w:val="24"/>
        </w:rPr>
        <w:t xml:space="preserve">, conheceu dos embargos </w:t>
      </w:r>
      <w:r>
        <w:rPr>
          <w:sz w:val="24"/>
          <w:szCs w:val="24"/>
        </w:rPr>
        <w:t>por divergência jurisprudencial e, no mérito, por maioria, negou-lhes provimento</w:t>
      </w:r>
      <w:r w:rsidRPr="003D032E">
        <w:rPr>
          <w:sz w:val="24"/>
          <w:szCs w:val="24"/>
        </w:rPr>
        <w:t xml:space="preserve">. </w:t>
      </w:r>
      <w:r>
        <w:rPr>
          <w:sz w:val="24"/>
          <w:szCs w:val="24"/>
        </w:rPr>
        <w:t xml:space="preserve">Vencidos os Ministros Augusto César Leite de Carvalho, José Roberto Freire Pimenta e Delaíde Miranda Arantes. </w:t>
      </w:r>
      <w:hyperlink r:id="rId15" w:history="1">
        <w:r w:rsidRPr="00074B1C">
          <w:rPr>
            <w:rStyle w:val="Hyperlink"/>
            <w:sz w:val="24"/>
            <w:szCs w:val="24"/>
          </w:rPr>
          <w:t>TST-E-RR-9100-62.2006.5.09.0011</w:t>
        </w:r>
      </w:hyperlink>
      <w:r w:rsidRPr="003D032E">
        <w:rPr>
          <w:sz w:val="24"/>
          <w:szCs w:val="24"/>
          <w:u w:val="single"/>
        </w:rPr>
        <w:t>, SBDI-</w:t>
      </w:r>
      <w:r>
        <w:rPr>
          <w:sz w:val="24"/>
          <w:szCs w:val="24"/>
          <w:u w:val="single"/>
        </w:rPr>
        <w:t>I, r</w:t>
      </w:r>
      <w:r w:rsidRPr="003D032E">
        <w:rPr>
          <w:sz w:val="24"/>
          <w:szCs w:val="24"/>
          <w:u w:val="single"/>
        </w:rPr>
        <w:t xml:space="preserve">el. Min. </w:t>
      </w:r>
      <w:r>
        <w:rPr>
          <w:sz w:val="24"/>
          <w:szCs w:val="24"/>
          <w:u w:val="single"/>
        </w:rPr>
        <w:t>Horácio Raymundo de Senna Pires, 8.3.2012</w:t>
      </w:r>
      <w:r w:rsidRPr="003D032E">
        <w:rPr>
          <w:sz w:val="24"/>
          <w:szCs w:val="24"/>
          <w:u w:val="single"/>
        </w:rPr>
        <w:t>.</w:t>
      </w:r>
    </w:p>
    <w:p w:rsidR="00351D9B" w:rsidRPr="00296250" w:rsidRDefault="00351D9B" w:rsidP="00351D9B">
      <w:pPr>
        <w:jc w:val="both"/>
        <w:rPr>
          <w:u w:val="single"/>
        </w:rPr>
      </w:pPr>
    </w:p>
    <w:p w:rsidR="00351D9B" w:rsidRDefault="00351D9B" w:rsidP="00351D9B">
      <w:pPr>
        <w:jc w:val="both"/>
        <w:rPr>
          <w:b/>
          <w:i/>
          <w:sz w:val="24"/>
          <w:szCs w:val="24"/>
        </w:rPr>
      </w:pPr>
      <w:r w:rsidRPr="003D032E">
        <w:rPr>
          <w:b/>
          <w:i/>
          <w:sz w:val="24"/>
          <w:szCs w:val="24"/>
        </w:rPr>
        <w:t>Prescrição.</w:t>
      </w:r>
      <w:r>
        <w:rPr>
          <w:b/>
          <w:i/>
          <w:sz w:val="24"/>
          <w:szCs w:val="24"/>
        </w:rPr>
        <w:t xml:space="preserve"> Arguição em contestação. Primeira condenação imposta ao reclamado em sede de recurso de revista. Necessidade de exame. Princípio da ampla devolutividade.</w:t>
      </w:r>
    </w:p>
    <w:p w:rsidR="00351D9B" w:rsidRPr="003D032E" w:rsidRDefault="00351D9B" w:rsidP="00351D9B">
      <w:pPr>
        <w:jc w:val="both"/>
        <w:rPr>
          <w:sz w:val="24"/>
          <w:szCs w:val="24"/>
        </w:rPr>
      </w:pPr>
      <w:r w:rsidRPr="003D032E">
        <w:rPr>
          <w:sz w:val="24"/>
          <w:szCs w:val="24"/>
        </w:rPr>
        <w:t>Na hipótese em que</w:t>
      </w:r>
      <w:r>
        <w:rPr>
          <w:sz w:val="24"/>
          <w:szCs w:val="24"/>
        </w:rPr>
        <w:t xml:space="preserve"> a primeira condenação imposta ao reclamado ocorre em sede de recurso de revista, cabe ao colegiado o exame da prejudicial de prescrição, arguida oportunamente na contestação, em respeito ao princípio da ampla devolutividade (art. 515, §§ 1º e 2º, do CPC).</w:t>
      </w:r>
      <w:r w:rsidRPr="003D032E">
        <w:rPr>
          <w:sz w:val="24"/>
          <w:szCs w:val="24"/>
        </w:rPr>
        <w:t xml:space="preserve"> Com esse entendimento, a S</w:t>
      </w:r>
      <w:r>
        <w:rPr>
          <w:sz w:val="24"/>
          <w:szCs w:val="24"/>
        </w:rPr>
        <w:t>BDI-I</w:t>
      </w:r>
      <w:r w:rsidRPr="003D032E">
        <w:rPr>
          <w:sz w:val="24"/>
          <w:szCs w:val="24"/>
        </w:rPr>
        <w:t xml:space="preserve">, por </w:t>
      </w:r>
      <w:r>
        <w:rPr>
          <w:sz w:val="24"/>
          <w:szCs w:val="24"/>
        </w:rPr>
        <w:t>maioria</w:t>
      </w:r>
      <w:r w:rsidRPr="003D032E">
        <w:rPr>
          <w:sz w:val="24"/>
          <w:szCs w:val="24"/>
        </w:rPr>
        <w:t xml:space="preserve">, conheceu </w:t>
      </w:r>
      <w:r>
        <w:rPr>
          <w:sz w:val="24"/>
          <w:szCs w:val="24"/>
        </w:rPr>
        <w:t xml:space="preserve">do recurso de embargos e, no mérito, deu-lhe provimento para pronunciar a prescrição da pretensão quanto às parcelas exigíveis anteriormente a 12.8.1993, nos termos da Súmula n.º 308, I, do TST. Vencidos os Ministros Aloysio Corrêa da Veiga, Ives Gandra, Brito Pereira, Renato de Lacerda Paiva, Horácio Raymundo de Senna Pires e Dora Maria da Costa. </w:t>
      </w:r>
      <w:hyperlink r:id="rId16" w:history="1">
        <w:r w:rsidRPr="00074B1C">
          <w:rPr>
            <w:rStyle w:val="Hyperlink"/>
            <w:sz w:val="24"/>
            <w:szCs w:val="24"/>
          </w:rPr>
          <w:t>TST-E-ED-ED-RR-669206-29.2000.5.17.0005</w:t>
        </w:r>
      </w:hyperlink>
      <w:r w:rsidRPr="003D032E">
        <w:rPr>
          <w:sz w:val="24"/>
          <w:szCs w:val="24"/>
          <w:u w:val="single"/>
        </w:rPr>
        <w:t>, SBDI-</w:t>
      </w:r>
      <w:r w:rsidR="00B1618D">
        <w:rPr>
          <w:sz w:val="24"/>
          <w:szCs w:val="24"/>
          <w:u w:val="single"/>
        </w:rPr>
        <w:t>I</w:t>
      </w:r>
      <w:r w:rsidRPr="003D032E">
        <w:rPr>
          <w:sz w:val="24"/>
          <w:szCs w:val="24"/>
          <w:u w:val="single"/>
        </w:rPr>
        <w:t xml:space="preserve">, rel. Min. </w:t>
      </w:r>
      <w:r>
        <w:rPr>
          <w:sz w:val="24"/>
          <w:szCs w:val="24"/>
          <w:u w:val="single"/>
        </w:rPr>
        <w:t>Lelio Bentes Corrêa, 8.3.2012</w:t>
      </w:r>
      <w:r w:rsidRPr="003D032E">
        <w:rPr>
          <w:sz w:val="24"/>
          <w:szCs w:val="24"/>
          <w:u w:val="single"/>
        </w:rPr>
        <w:t>.</w:t>
      </w:r>
    </w:p>
    <w:p w:rsidR="00351D9B" w:rsidRPr="00296250" w:rsidRDefault="00351D9B" w:rsidP="00351D9B">
      <w:pPr>
        <w:jc w:val="both"/>
      </w:pPr>
    </w:p>
    <w:p w:rsidR="00BC1DE7" w:rsidRPr="005D1DE4" w:rsidRDefault="00BC1DE7" w:rsidP="00C71A3B">
      <w:pPr>
        <w:pStyle w:val="Corpo"/>
        <w:spacing w:line="240" w:lineRule="auto"/>
        <w:ind w:firstLine="0"/>
        <w:rPr>
          <w:rFonts w:ascii="Times New Roman" w:hAnsi="Times New Roman" w:cs="Times New Roman"/>
          <w:sz w:val="10"/>
          <w:szCs w:val="10"/>
          <w:u w:val="single"/>
          <w:lang w:val="pt-BR" w:eastAsia="en-US"/>
        </w:rPr>
      </w:pPr>
    </w:p>
    <w:p w:rsidR="00631F1C" w:rsidRPr="00971E07" w:rsidRDefault="00631F1C" w:rsidP="00631F1C">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6"/>
          <w:szCs w:val="26"/>
          <w:lang w:val="pt-BR"/>
        </w:rPr>
      </w:pPr>
      <w:r w:rsidRPr="00971E07">
        <w:rPr>
          <w:rFonts w:ascii="Times New Roman" w:hAnsi="Times New Roman" w:cs="Times New Roman"/>
          <w:b/>
          <w:bCs/>
          <w:shadow/>
          <w:color w:val="auto"/>
          <w:sz w:val="26"/>
          <w:szCs w:val="26"/>
          <w:lang w:val="pt-BR"/>
        </w:rPr>
        <w:t>S</w:t>
      </w:r>
      <w:r>
        <w:rPr>
          <w:rFonts w:ascii="Times New Roman" w:hAnsi="Times New Roman" w:cs="Times New Roman"/>
          <w:b/>
          <w:bCs/>
          <w:shadow/>
          <w:color w:val="auto"/>
          <w:sz w:val="26"/>
          <w:szCs w:val="26"/>
          <w:lang w:val="pt-BR"/>
        </w:rPr>
        <w:t xml:space="preserve">UBSEÇÃO II </w:t>
      </w:r>
      <w:r w:rsidRPr="00971E07">
        <w:rPr>
          <w:rFonts w:ascii="Times New Roman" w:hAnsi="Times New Roman" w:cs="Times New Roman"/>
          <w:b/>
          <w:bCs/>
          <w:shadow/>
          <w:color w:val="auto"/>
          <w:sz w:val="26"/>
          <w:szCs w:val="26"/>
          <w:lang w:val="pt-BR"/>
        </w:rPr>
        <w:t xml:space="preserve">ESPECIALIZADA EM DISSÍDIOS </w:t>
      </w:r>
      <w:r>
        <w:rPr>
          <w:rFonts w:ascii="Times New Roman" w:hAnsi="Times New Roman" w:cs="Times New Roman"/>
          <w:b/>
          <w:bCs/>
          <w:shadow/>
          <w:color w:val="auto"/>
          <w:sz w:val="26"/>
          <w:szCs w:val="26"/>
          <w:lang w:val="pt-BR"/>
        </w:rPr>
        <w:t>INDIVIDUAIS</w:t>
      </w:r>
    </w:p>
    <w:p w:rsidR="009027C8" w:rsidRPr="00296250" w:rsidRDefault="009027C8" w:rsidP="009027C8">
      <w:pPr>
        <w:pStyle w:val="tema"/>
        <w:tabs>
          <w:tab w:val="left" w:pos="11482"/>
          <w:tab w:val="left" w:pos="11624"/>
        </w:tabs>
        <w:ind w:left="0"/>
        <w:rPr>
          <w:rFonts w:ascii="Times New Roman" w:hAnsi="Times New Roman" w:cs="Times New Roman"/>
          <w:i/>
          <w:caps w:val="0"/>
          <w:color w:val="auto"/>
          <w:sz w:val="20"/>
          <w:szCs w:val="20"/>
        </w:rPr>
      </w:pPr>
    </w:p>
    <w:p w:rsidR="00D143ED" w:rsidRDefault="00D143ED" w:rsidP="00351D9B">
      <w:pPr>
        <w:jc w:val="both"/>
        <w:rPr>
          <w:b/>
          <w:i/>
          <w:sz w:val="24"/>
          <w:szCs w:val="24"/>
        </w:rPr>
      </w:pPr>
      <w:r>
        <w:rPr>
          <w:b/>
          <w:i/>
          <w:sz w:val="24"/>
          <w:szCs w:val="24"/>
        </w:rPr>
        <w:t>MS. Execução provisória. Liberação dos valores depositados em Juízo. Aplicabilidade do art. 475-O do CPC. Matéria controvertida. Ausência de direito líquido e certo.</w:t>
      </w:r>
      <w:r w:rsidRPr="003D032E">
        <w:rPr>
          <w:b/>
          <w:i/>
          <w:sz w:val="24"/>
          <w:szCs w:val="24"/>
        </w:rPr>
        <w:t xml:space="preserve"> </w:t>
      </w:r>
    </w:p>
    <w:p w:rsidR="00D143ED" w:rsidRDefault="00D143ED" w:rsidP="00351D9B">
      <w:pPr>
        <w:jc w:val="both"/>
        <w:rPr>
          <w:b/>
          <w:i/>
          <w:sz w:val="32"/>
          <w:szCs w:val="32"/>
        </w:rPr>
      </w:pPr>
      <w:r>
        <w:rPr>
          <w:sz w:val="24"/>
          <w:szCs w:val="24"/>
        </w:rPr>
        <w:t>A discussão em torno da aplicação, no processo do trabalho, do art. 475-O do CPC, qu</w:t>
      </w:r>
      <w:r w:rsidR="00A30348">
        <w:rPr>
          <w:sz w:val="24"/>
          <w:szCs w:val="24"/>
        </w:rPr>
        <w:t>e</w:t>
      </w:r>
      <w:r>
        <w:rPr>
          <w:sz w:val="24"/>
          <w:szCs w:val="24"/>
        </w:rPr>
        <w:t xml:space="preserve"> autoriza a liberação de valores em fase de execução provisória, não pode ser travada em sede de mandado de segurança, pois se trata de matéria controvertida nos tribunais. Assim, não vislumbrando direito líquido e certo do impetrante, a SBDI-II, por unanimidade, deu provimento ao recurso ordinário para denegar a segurança pretendida</w:t>
      </w:r>
      <w:r w:rsidRPr="003D032E">
        <w:rPr>
          <w:sz w:val="24"/>
          <w:szCs w:val="24"/>
        </w:rPr>
        <w:t xml:space="preserve">. </w:t>
      </w:r>
      <w:hyperlink r:id="rId17" w:history="1">
        <w:r w:rsidRPr="00074B1C">
          <w:rPr>
            <w:rStyle w:val="Hyperlink"/>
            <w:sz w:val="24"/>
            <w:szCs w:val="24"/>
          </w:rPr>
          <w:t>TST-RO-1110-25.2010.5.05.0000</w:t>
        </w:r>
      </w:hyperlink>
      <w:r w:rsidRPr="003D032E">
        <w:rPr>
          <w:sz w:val="24"/>
          <w:szCs w:val="24"/>
          <w:u w:val="single"/>
        </w:rPr>
        <w:t>, SBDI-</w:t>
      </w:r>
      <w:r>
        <w:rPr>
          <w:sz w:val="24"/>
          <w:szCs w:val="24"/>
          <w:u w:val="single"/>
        </w:rPr>
        <w:t>II</w:t>
      </w:r>
      <w:r w:rsidRPr="003D032E">
        <w:rPr>
          <w:sz w:val="24"/>
          <w:szCs w:val="24"/>
          <w:u w:val="single"/>
        </w:rPr>
        <w:t xml:space="preserve">, </w:t>
      </w:r>
      <w:r>
        <w:rPr>
          <w:sz w:val="24"/>
          <w:szCs w:val="24"/>
          <w:u w:val="single"/>
        </w:rPr>
        <w:t>rel. Min. Luiz Philippe Vieira de Mello Filho, 28.2.2012.</w:t>
      </w:r>
    </w:p>
    <w:p w:rsidR="00D143ED" w:rsidRPr="00296250" w:rsidRDefault="00D143ED" w:rsidP="00351D9B">
      <w:pPr>
        <w:jc w:val="both"/>
        <w:rPr>
          <w:b/>
          <w:i/>
        </w:rPr>
      </w:pPr>
    </w:p>
    <w:p w:rsidR="00D143ED" w:rsidRDefault="00D143ED" w:rsidP="00351D9B">
      <w:pPr>
        <w:jc w:val="both"/>
        <w:rPr>
          <w:b/>
          <w:i/>
          <w:sz w:val="24"/>
          <w:szCs w:val="24"/>
        </w:rPr>
      </w:pPr>
      <w:r>
        <w:rPr>
          <w:b/>
          <w:i/>
          <w:sz w:val="24"/>
          <w:szCs w:val="24"/>
        </w:rPr>
        <w:t>AR. Prazo decadencial. Marco inicial. Publicação do acórdão proferido pelo STF reconhecendo a constitucionalidade do art. 71 da Lei n.º 8.666/93. Impossibilidade.</w:t>
      </w:r>
      <w:r w:rsidRPr="003D032E">
        <w:rPr>
          <w:b/>
          <w:i/>
          <w:sz w:val="24"/>
          <w:szCs w:val="24"/>
        </w:rPr>
        <w:t xml:space="preserve"> </w:t>
      </w:r>
    </w:p>
    <w:p w:rsidR="00EA29F5" w:rsidRPr="00BD4085" w:rsidRDefault="00D143ED" w:rsidP="00351D9B">
      <w:pPr>
        <w:jc w:val="both"/>
        <w:rPr>
          <w:sz w:val="24"/>
          <w:szCs w:val="24"/>
        </w:rPr>
      </w:pPr>
      <w:r>
        <w:rPr>
          <w:sz w:val="24"/>
          <w:szCs w:val="24"/>
        </w:rPr>
        <w:t>A mudança do entendimento que ensejou a alteração da redação da Súmula n.º 331, IV, do TST, em razão de decisão proferida pelo STF na ADC n.º 16, reconhecendo a constitucionalidade do art. 71, § 1º, da Lei n.º 8.666/93, não tem o condão de alterar o marco inicial do prazo decadencial para ajuizamento da ação rescisória, que, nos termos do art. 495 do CPC e do item I da Súmula n.º 100 do TST, é de dois anos a contar do dia imediatamente subsequente ao do trânsito em julgado da</w:t>
      </w:r>
      <w:r w:rsidR="00BD4085">
        <w:rPr>
          <w:sz w:val="24"/>
          <w:szCs w:val="24"/>
        </w:rPr>
        <w:br w:type="page"/>
      </w:r>
      <w:r>
        <w:rPr>
          <w:sz w:val="24"/>
          <w:szCs w:val="24"/>
        </w:rPr>
        <w:t xml:space="preserve">última decisão proferida na causa. Com base nessa premissa, a SBDI-II, por unanimidade, negou provimento a recurso ordinário, ressaltando que, na espécie, a decisão proferida na ADC n.º 16 é posterior ao trânsito em julgado da decisão rescindenda, não havendo que </w:t>
      </w:r>
      <w:r w:rsidR="00315476">
        <w:rPr>
          <w:sz w:val="24"/>
          <w:szCs w:val="24"/>
        </w:rPr>
        <w:t xml:space="preserve">se </w:t>
      </w:r>
      <w:r>
        <w:rPr>
          <w:sz w:val="24"/>
          <w:szCs w:val="24"/>
        </w:rPr>
        <w:t xml:space="preserve">falar, portanto, em interrupção ou suspensão, diante da natureza do prazo em questão. </w:t>
      </w:r>
      <w:hyperlink r:id="rId18" w:history="1">
        <w:r w:rsidRPr="00074B1C">
          <w:rPr>
            <w:rStyle w:val="Hyperlink"/>
            <w:sz w:val="24"/>
            <w:szCs w:val="24"/>
          </w:rPr>
          <w:t>TST-ReeNec e RO-291-59.2011.5.12.0000</w:t>
        </w:r>
      </w:hyperlink>
      <w:r>
        <w:rPr>
          <w:sz w:val="24"/>
          <w:szCs w:val="24"/>
          <w:u w:val="single"/>
        </w:rPr>
        <w:t>, SBDI-II, rel. Min. Luiz Philippe Vieira de Mello Filho, 28.2.2012</w:t>
      </w:r>
      <w:r w:rsidRPr="003D032E">
        <w:rPr>
          <w:sz w:val="24"/>
          <w:szCs w:val="24"/>
          <w:u w:val="single"/>
        </w:rPr>
        <w:t>.</w:t>
      </w:r>
    </w:p>
    <w:p w:rsidR="00D143ED" w:rsidRPr="00296250" w:rsidRDefault="00D143ED" w:rsidP="00D143ED">
      <w:pPr>
        <w:ind w:right="-567"/>
        <w:jc w:val="both"/>
      </w:pPr>
    </w:p>
    <w:p w:rsidR="00D143ED" w:rsidRPr="00064AF0" w:rsidRDefault="00D143ED" w:rsidP="00D143ED">
      <w:pPr>
        <w:pStyle w:val="Corpo"/>
        <w:spacing w:line="240" w:lineRule="auto"/>
        <w:ind w:firstLine="0"/>
        <w:rPr>
          <w:rFonts w:ascii="Times New Roman" w:hAnsi="Times New Roman"/>
          <w:b/>
          <w:bCs/>
          <w:i/>
          <w:iCs/>
          <w:lang w:val="pt-BR"/>
        </w:rPr>
      </w:pPr>
      <w:r w:rsidRPr="00064AF0">
        <w:rPr>
          <w:rFonts w:ascii="Times New Roman" w:hAnsi="Times New Roman"/>
          <w:b/>
          <w:bCs/>
          <w:i/>
          <w:iCs/>
          <w:lang w:val="pt-BR"/>
        </w:rPr>
        <w:t xml:space="preserve">AR. Horas extraordinárias. Base de cálculo. Inclusão da gratificação semestral paga com habitualidade. Aplicação posterior da Súmula nº 115 do TST. </w:t>
      </w:r>
      <w:r w:rsidRPr="00064AF0">
        <w:rPr>
          <w:rFonts w:ascii="Times New Roman" w:hAnsi="Times New Roman"/>
          <w:bCs/>
          <w:i/>
          <w:iCs/>
          <w:lang w:val="pt-BR"/>
        </w:rPr>
        <w:t>Bis in idem</w:t>
      </w:r>
      <w:r w:rsidRPr="00064AF0">
        <w:rPr>
          <w:rFonts w:ascii="Times New Roman" w:hAnsi="Times New Roman"/>
          <w:b/>
          <w:bCs/>
          <w:i/>
          <w:iCs/>
          <w:lang w:val="pt-BR"/>
        </w:rPr>
        <w:t>. Configuração. Violação dos arts. 884 e 885 do CC.</w:t>
      </w:r>
    </w:p>
    <w:p w:rsidR="00D143ED" w:rsidRPr="00206810" w:rsidRDefault="00D143ED" w:rsidP="00D143ED">
      <w:pPr>
        <w:pStyle w:val="Ementa"/>
        <w:ind w:left="0"/>
        <w:rPr>
          <w:rFonts w:ascii="Times New Roman" w:hAnsi="Times New Roman"/>
          <w:bCs/>
          <w:iCs/>
          <w:color w:val="auto"/>
          <w:sz w:val="22"/>
          <w:szCs w:val="22"/>
          <w:u w:val="single"/>
          <w:lang w:val="pt-BR"/>
        </w:rPr>
      </w:pPr>
      <w:r w:rsidRPr="00064AF0">
        <w:rPr>
          <w:rFonts w:ascii="Times New Roman" w:hAnsi="Times New Roman"/>
          <w:bCs/>
          <w:iCs/>
          <w:color w:val="000000"/>
          <w:lang w:val="pt-BR"/>
        </w:rPr>
        <w:t>O fato de a gratificação semestral paga com habitualidade já haver integrado o cálculo das horas extraordinárias torna inaplicável a diretriz fixada na Súmula n</w:t>
      </w:r>
      <w:r w:rsidR="00315476">
        <w:rPr>
          <w:rFonts w:ascii="Times New Roman" w:hAnsi="Times New Roman"/>
          <w:bCs/>
          <w:iCs/>
          <w:color w:val="000000"/>
          <w:lang w:val="pt-BR"/>
        </w:rPr>
        <w:t>.</w:t>
      </w:r>
      <w:r w:rsidRPr="00064AF0">
        <w:rPr>
          <w:rFonts w:ascii="Times New Roman" w:hAnsi="Times New Roman"/>
          <w:bCs/>
          <w:iCs/>
          <w:color w:val="000000"/>
          <w:lang w:val="pt-BR"/>
        </w:rPr>
        <w:t xml:space="preserve">º 115 do TST, sob pena de caracterização de </w:t>
      </w:r>
      <w:r w:rsidRPr="00064AF0">
        <w:rPr>
          <w:rFonts w:ascii="Times New Roman" w:hAnsi="Times New Roman"/>
          <w:b/>
          <w:bCs/>
          <w:iCs/>
          <w:color w:val="000000"/>
          <w:lang w:val="pt-BR"/>
        </w:rPr>
        <w:t>bis in idem</w:t>
      </w:r>
      <w:r w:rsidRPr="00064AF0">
        <w:rPr>
          <w:rFonts w:ascii="Times New Roman" w:hAnsi="Times New Roman"/>
          <w:bCs/>
          <w:iCs/>
          <w:color w:val="000000"/>
          <w:lang w:val="pt-BR"/>
        </w:rPr>
        <w:t xml:space="preserve">. Com esse entendimento, a SBDI-II, à unanimidade, conheceu do recurso ordinário do autor e, no mérito, deu-lhe provimento para, reconhecida a afronta aos arts. 884 e 885 do CC, rescindir parcialmente o acórdão </w:t>
      </w:r>
      <w:r w:rsidR="00315476">
        <w:rPr>
          <w:rFonts w:ascii="Times New Roman" w:hAnsi="Times New Roman"/>
          <w:bCs/>
          <w:iCs/>
          <w:color w:val="000000"/>
          <w:lang w:val="pt-BR"/>
        </w:rPr>
        <w:t>do R</w:t>
      </w:r>
      <w:r w:rsidRPr="00064AF0">
        <w:rPr>
          <w:rFonts w:ascii="Times New Roman" w:hAnsi="Times New Roman"/>
          <w:bCs/>
          <w:iCs/>
          <w:color w:val="000000"/>
          <w:lang w:val="pt-BR"/>
        </w:rPr>
        <w:t>egional e, em juízo rescisório, excluir da condenação as diferenças de gratificação semestral decorrentes dos reflexos das horas extraordinárias deferidas. Na espécie, a despeito de a Vara do Trabalho de origem, ao deferir à reclamante como extraordinárias as horas laboradas além da 6ª diária, ter computado na respectiva base de cálculo a gratificação semestral percebid</w:t>
      </w:r>
      <w:r w:rsidR="00A43536">
        <w:rPr>
          <w:rFonts w:ascii="Times New Roman" w:hAnsi="Times New Roman"/>
          <w:bCs/>
          <w:iCs/>
          <w:color w:val="000000"/>
          <w:lang w:val="pt-BR"/>
        </w:rPr>
        <w:t>a com habitualidade, o TRT da 9ª</w:t>
      </w:r>
      <w:r w:rsidRPr="00064AF0">
        <w:rPr>
          <w:rFonts w:ascii="Times New Roman" w:hAnsi="Times New Roman"/>
          <w:bCs/>
          <w:iCs/>
          <w:color w:val="000000"/>
          <w:lang w:val="pt-BR"/>
        </w:rPr>
        <w:t xml:space="preserve"> Região reconheceu, firmado na Súmula n</w:t>
      </w:r>
      <w:r w:rsidR="00315476">
        <w:rPr>
          <w:rFonts w:ascii="Times New Roman" w:hAnsi="Times New Roman"/>
          <w:bCs/>
          <w:iCs/>
          <w:color w:val="000000"/>
          <w:lang w:val="pt-BR"/>
        </w:rPr>
        <w:t>.</w:t>
      </w:r>
      <w:r w:rsidRPr="00064AF0">
        <w:rPr>
          <w:rFonts w:ascii="Times New Roman" w:hAnsi="Times New Roman"/>
          <w:bCs/>
          <w:iCs/>
          <w:color w:val="000000"/>
          <w:lang w:val="pt-BR"/>
        </w:rPr>
        <w:t>º 115 do TST, o direito aos reflexos das horas extras habituais no cálculo da gratificação semestral</w:t>
      </w:r>
      <w:r>
        <w:rPr>
          <w:rFonts w:ascii="Times New Roman" w:hAnsi="Times New Roman"/>
          <w:bCs/>
          <w:iCs/>
          <w:color w:val="000000"/>
          <w:sz w:val="22"/>
          <w:szCs w:val="22"/>
          <w:lang w:val="pt-BR"/>
        </w:rPr>
        <w:t>.</w:t>
      </w:r>
      <w:r w:rsidRPr="00074B1C">
        <w:rPr>
          <w:rFonts w:ascii="Times New Roman" w:hAnsi="Times New Roman" w:cs="Times New Roman"/>
          <w:color w:val="auto"/>
          <w:lang w:val="pt-BR"/>
        </w:rPr>
        <w:t xml:space="preserve"> </w:t>
      </w:r>
      <w:hyperlink r:id="rId19" w:history="1">
        <w:r w:rsidRPr="00074B1C">
          <w:rPr>
            <w:rStyle w:val="Hyperlink"/>
            <w:rFonts w:ascii="Times New Roman" w:hAnsi="Times New Roman"/>
            <w:lang w:val="pt-BR"/>
          </w:rPr>
          <w:t>TST-RO-4300-19.2009.5.09.0000</w:t>
        </w:r>
      </w:hyperlink>
      <w:r w:rsidRPr="00074B1C">
        <w:rPr>
          <w:rFonts w:ascii="Times New Roman" w:hAnsi="Times New Roman" w:cs="Times New Roman"/>
          <w:color w:val="auto"/>
          <w:u w:val="single"/>
          <w:lang w:val="pt-BR"/>
        </w:rPr>
        <w:t>, SBDI-II, rel. Min. Guilherme Augusto Caputo Bastos, 6.3.2012.</w:t>
      </w:r>
    </w:p>
    <w:p w:rsidR="004B21AD" w:rsidRPr="00296250" w:rsidRDefault="004B21AD" w:rsidP="009027C8">
      <w:pPr>
        <w:pStyle w:val="tema"/>
        <w:tabs>
          <w:tab w:val="left" w:pos="11482"/>
          <w:tab w:val="left" w:pos="11624"/>
        </w:tabs>
        <w:ind w:left="0"/>
        <w:rPr>
          <w:rFonts w:ascii="Times New Roman" w:hAnsi="Times New Roman" w:cs="Times New Roman"/>
          <w:bCs w:val="0"/>
          <w:i/>
          <w:iCs/>
          <w:caps w:val="0"/>
          <w:color w:val="auto"/>
          <w:sz w:val="20"/>
          <w:szCs w:val="20"/>
        </w:rPr>
      </w:pPr>
    </w:p>
    <w:p w:rsidR="00D143ED" w:rsidRDefault="00D143ED" w:rsidP="00351D9B">
      <w:pPr>
        <w:jc w:val="both"/>
        <w:rPr>
          <w:b/>
          <w:i/>
          <w:sz w:val="24"/>
          <w:szCs w:val="24"/>
        </w:rPr>
      </w:pPr>
      <w:r>
        <w:rPr>
          <w:b/>
          <w:i/>
          <w:sz w:val="24"/>
          <w:szCs w:val="24"/>
        </w:rPr>
        <w:t>CC. Art. 475-P, parágrafo único, do CPC. Aplicação subsidiária ao processo do trabalho. Impossibilidade. Ausência de omissão na CLT.</w:t>
      </w:r>
      <w:r w:rsidRPr="003D032E">
        <w:rPr>
          <w:b/>
          <w:i/>
          <w:sz w:val="24"/>
          <w:szCs w:val="24"/>
        </w:rPr>
        <w:t xml:space="preserve"> </w:t>
      </w:r>
    </w:p>
    <w:p w:rsidR="00D143ED" w:rsidRPr="003D032E" w:rsidRDefault="00D143ED" w:rsidP="00351D9B">
      <w:pPr>
        <w:jc w:val="both"/>
        <w:rPr>
          <w:sz w:val="24"/>
          <w:szCs w:val="24"/>
        </w:rPr>
      </w:pPr>
      <w:r>
        <w:rPr>
          <w:sz w:val="24"/>
          <w:szCs w:val="24"/>
        </w:rPr>
        <w:t>A existência de previsão expressa no art. 877 da CLT sobre a competência para a execução das decisões judiciais torna incabível a aplicação subsidiária, ao processo do trabalho, do parágrafo único do art. 475-P do CPC, que permite ao exequente optar pelo cumprimento da sentença pelo Juízo do local onde se encontram bens sujeitos à expropriação ou do atual domicílio do executado. Com esse entendimento, a SBDI-II, por maioria, vencido o Ministro Luiz Philippe Vieira de Mello Filho, conheceu do conflito negativo de competência e julgou-o procedente, declarando a competência da Vara do Trabalho de Indaial/SC para prosseguir na execução. Na espécie, a juíza titular da 7ª Vara do Trabalho de São Paulo/SP suscitou conflito de competência em face do encaminhamento de reclamação trabalhista pelo juiz titular da Vara do Trabalho de Indaial/SC</w:t>
      </w:r>
      <w:r w:rsidR="00833A2E">
        <w:rPr>
          <w:sz w:val="24"/>
          <w:szCs w:val="24"/>
        </w:rPr>
        <w:t>,</w:t>
      </w:r>
      <w:r>
        <w:rPr>
          <w:sz w:val="24"/>
          <w:szCs w:val="24"/>
        </w:rPr>
        <w:t xml:space="preserve"> que acolhera requerimento formulado pelo exequente, nos termos do art. 475-P do CPC</w:t>
      </w:r>
      <w:r w:rsidRPr="003D032E">
        <w:rPr>
          <w:sz w:val="24"/>
          <w:szCs w:val="24"/>
        </w:rPr>
        <w:t xml:space="preserve">. </w:t>
      </w:r>
      <w:hyperlink r:id="rId20" w:history="1">
        <w:r w:rsidRPr="00074B1C">
          <w:rPr>
            <w:rStyle w:val="Hyperlink"/>
            <w:sz w:val="24"/>
            <w:szCs w:val="24"/>
          </w:rPr>
          <w:t>TST-CC-3533-59.2011.5.00.0000</w:t>
        </w:r>
      </w:hyperlink>
      <w:r w:rsidRPr="003D032E">
        <w:rPr>
          <w:sz w:val="24"/>
          <w:szCs w:val="24"/>
          <w:u w:val="single"/>
        </w:rPr>
        <w:t>, SBDI-</w:t>
      </w:r>
      <w:r>
        <w:rPr>
          <w:sz w:val="24"/>
          <w:szCs w:val="24"/>
          <w:u w:val="single"/>
        </w:rPr>
        <w:t>II</w:t>
      </w:r>
      <w:r w:rsidRPr="003D032E">
        <w:rPr>
          <w:sz w:val="24"/>
          <w:szCs w:val="24"/>
          <w:u w:val="single"/>
        </w:rPr>
        <w:t xml:space="preserve">, rel. Min. </w:t>
      </w:r>
      <w:r>
        <w:rPr>
          <w:sz w:val="24"/>
          <w:szCs w:val="24"/>
          <w:u w:val="single"/>
        </w:rPr>
        <w:t>Alberto Luiz Bresciani de Fontan Pereira, 6.3.2012</w:t>
      </w:r>
      <w:r w:rsidRPr="003D032E">
        <w:rPr>
          <w:sz w:val="24"/>
          <w:szCs w:val="24"/>
          <w:u w:val="single"/>
        </w:rPr>
        <w:t>.</w:t>
      </w:r>
    </w:p>
    <w:p w:rsidR="00D143ED" w:rsidRPr="005D1DE4" w:rsidRDefault="00D143ED" w:rsidP="009027C8">
      <w:pPr>
        <w:pStyle w:val="tema"/>
        <w:tabs>
          <w:tab w:val="left" w:pos="11482"/>
          <w:tab w:val="left" w:pos="11624"/>
        </w:tabs>
        <w:ind w:left="0"/>
        <w:rPr>
          <w:rFonts w:ascii="Times New Roman" w:hAnsi="Times New Roman" w:cs="Times New Roman"/>
          <w:bCs w:val="0"/>
          <w:i/>
          <w:iCs/>
          <w:caps w:val="0"/>
          <w:color w:val="auto"/>
        </w:rPr>
      </w:pPr>
    </w:p>
    <w:p w:rsidR="004B21AD" w:rsidRPr="005D1DE4" w:rsidRDefault="004B21AD" w:rsidP="009027C8">
      <w:pPr>
        <w:pStyle w:val="tema"/>
        <w:tabs>
          <w:tab w:val="left" w:pos="11482"/>
          <w:tab w:val="left" w:pos="11624"/>
        </w:tabs>
        <w:ind w:left="0"/>
        <w:rPr>
          <w:rFonts w:ascii="Times New Roman" w:hAnsi="Times New Roman" w:cs="Times New Roman"/>
          <w:bCs w:val="0"/>
          <w:i/>
          <w:iCs/>
          <w:caps w:val="0"/>
          <w:color w:val="auto"/>
        </w:rPr>
      </w:pPr>
    </w:p>
    <w:p w:rsidR="006456B1" w:rsidRPr="005D1DE4" w:rsidRDefault="006456B1" w:rsidP="004C2612">
      <w:pPr>
        <w:pStyle w:val="EXPLICAO"/>
        <w:ind w:left="0"/>
        <w:rPr>
          <w:rFonts w:ascii="Times New Roman" w:hAnsi="Times New Roman" w:cs="Times New Roman"/>
          <w:b/>
          <w:color w:val="auto"/>
        </w:rPr>
      </w:pPr>
    </w:p>
    <w:p w:rsidR="00C26DFB" w:rsidRPr="005D1DE4" w:rsidRDefault="00C26DFB">
      <w:pPr>
        <w:jc w:val="both"/>
        <w:rPr>
          <w:sz w:val="22"/>
          <w:szCs w:val="22"/>
          <w:u w:val="single"/>
        </w:rPr>
      </w:pPr>
    </w:p>
    <w:p w:rsidR="00C26DFB" w:rsidRPr="005D1DE4" w:rsidRDefault="00C26DFB">
      <w:pPr>
        <w:jc w:val="both"/>
        <w:rPr>
          <w:sz w:val="22"/>
          <w:szCs w:val="22"/>
          <w:u w:val="single"/>
        </w:rPr>
      </w:pP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0"/>
          <w:szCs w:val="20"/>
        </w:rPr>
      </w:pPr>
      <w:r w:rsidRPr="005D1DE4">
        <w:rPr>
          <w:b w:val="0"/>
          <w:bCs w:val="0"/>
          <w:snapToGrid w:val="0"/>
          <w:sz w:val="20"/>
          <w:szCs w:val="20"/>
        </w:rPr>
        <w:t xml:space="preserve">Informativo TST é mantido pela </w:t>
      </w: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0"/>
          <w:szCs w:val="20"/>
        </w:rPr>
      </w:pPr>
      <w:r w:rsidRPr="005D1DE4">
        <w:rPr>
          <w:b w:val="0"/>
          <w:bCs w:val="0"/>
          <w:snapToGrid w:val="0"/>
          <w:sz w:val="20"/>
          <w:szCs w:val="20"/>
        </w:rPr>
        <w:t>Coordenadoria de Jurisprudência – CJUR</w:t>
      </w:r>
    </w:p>
    <w:p w:rsidR="00184590"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rPr>
      </w:pPr>
      <w:r w:rsidRPr="005D1DE4">
        <w:rPr>
          <w:snapToGrid w:val="0"/>
        </w:rPr>
        <w:t>Informações/Sugestões/Críticas</w:t>
      </w:r>
      <w:r w:rsidRPr="005D1DE4">
        <w:rPr>
          <w:snapToGrid w:val="0"/>
          <w:sz w:val="22"/>
          <w:szCs w:val="22"/>
        </w:rPr>
        <w:t xml:space="preserve">: </w:t>
      </w:r>
      <w:r w:rsidRPr="005D1DE4">
        <w:rPr>
          <w:snapToGrid w:val="0"/>
        </w:rPr>
        <w:t>(61)3043</w:t>
      </w:r>
      <w:r w:rsidR="00074B1C">
        <w:rPr>
          <w:snapToGrid w:val="0"/>
        </w:rPr>
        <w:t>-</w:t>
      </w:r>
      <w:r w:rsidRPr="005D1DE4">
        <w:rPr>
          <w:snapToGrid w:val="0"/>
        </w:rPr>
        <w:t>4</w:t>
      </w:r>
      <w:r w:rsidR="00D72C05" w:rsidRPr="005D1DE4">
        <w:rPr>
          <w:snapToGrid w:val="0"/>
        </w:rPr>
        <w:t>417</w:t>
      </w:r>
    </w:p>
    <w:p w:rsidR="007614F1"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2"/>
          <w:szCs w:val="22"/>
        </w:rPr>
      </w:pPr>
      <w:r w:rsidRPr="005D1DE4">
        <w:rPr>
          <w:snapToGrid w:val="0"/>
        </w:rPr>
        <w:t>cjur@tst.jus.br</w:t>
      </w:r>
    </w:p>
    <w:sectPr w:rsidR="007614F1" w:rsidRPr="005D1DE4" w:rsidSect="00D11B24">
      <w:headerReference w:type="default" r:id="rId21"/>
      <w:footerReference w:type="default" r:id="rId22"/>
      <w:headerReference w:type="first" r:id="rId23"/>
      <w:footerReference w:type="first" r:id="rId24"/>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C60" w:rsidRDefault="00EC7C60">
      <w:r>
        <w:separator/>
      </w:r>
    </w:p>
  </w:endnote>
  <w:endnote w:type="continuationSeparator" w:id="0">
    <w:p w:rsidR="00EC7C60" w:rsidRDefault="00EC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BDB" w:rsidRDefault="00EB3BDB">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33A2E">
      <w:rPr>
        <w:rStyle w:val="Nmerodepgina"/>
        <w:noProof/>
      </w:rPr>
      <w:t>4</w:t>
    </w:r>
    <w:r>
      <w:rPr>
        <w:rStyle w:val="Nmerodepgina"/>
      </w:rPr>
      <w:fldChar w:fldCharType="end"/>
    </w:r>
  </w:p>
  <w:p w:rsidR="00EB3BDB" w:rsidRDefault="00EB3BDB">
    <w:pPr>
      <w:pStyle w:val="Rodap"/>
      <w:ind w:right="360"/>
    </w:pPr>
    <w:r>
      <w:rPr>
        <w:noProof/>
      </w:rPr>
      <w:pict>
        <v:line id="_x0000_s2050" style="position:absolute;z-index:251658240" from=".9pt,-3.55pt" to="497.7pt,-3.55pt" o:allowincell="f" strokecolor="#969696"/>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BDB" w:rsidRDefault="00EB3BDB">
    <w:pPr>
      <w:pStyle w:val="Rodap"/>
      <w:jc w:val="right"/>
    </w:pPr>
    <w:r>
      <w:rPr>
        <w:noProof/>
      </w:rPr>
      <w:pict>
        <v:line id="_x0000_s2054" style="position:absolute;left:0;text-align:left;flip:y;z-index:251659264" from=".9pt,-3.55pt" to="497.7pt,-3.4pt" o:allowincell="f" strokecolor="#969696"/>
      </w:pict>
    </w:r>
    <w:r>
      <w:rPr>
        <w:rStyle w:val="Nmerodepgina"/>
      </w:rPr>
      <w:fldChar w:fldCharType="begin"/>
    </w:r>
    <w:r>
      <w:rPr>
        <w:rStyle w:val="Nmerodepgina"/>
      </w:rPr>
      <w:instrText xml:space="preserve"> PAGE </w:instrText>
    </w:r>
    <w:r>
      <w:rPr>
        <w:rStyle w:val="Nmerodepgina"/>
      </w:rPr>
      <w:fldChar w:fldCharType="separate"/>
    </w:r>
    <w:r w:rsidR="005B6CE0">
      <w:rPr>
        <w:rStyle w:val="Nmerodepgina"/>
        <w:noProof/>
      </w:rPr>
      <w:t>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C60" w:rsidRDefault="00EC7C60">
      <w:r>
        <w:separator/>
      </w:r>
    </w:p>
  </w:footnote>
  <w:footnote w:type="continuationSeparator" w:id="0">
    <w:p w:rsidR="00EC7C60" w:rsidRDefault="00EC7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BDB" w:rsidRPr="00971E07" w:rsidRDefault="00EB3BDB">
    <w:pPr>
      <w:pStyle w:val="Corpodetexto"/>
      <w:jc w:val="right"/>
      <w:rPr>
        <w:shadow/>
        <w:sz w:val="24"/>
        <w:szCs w:val="24"/>
      </w:rPr>
    </w:pPr>
    <w:r w:rsidRPr="00971E07">
      <w:rPr>
        <w:shadow/>
        <w:sz w:val="24"/>
        <w:szCs w:val="24"/>
      </w:rPr>
      <w:t xml:space="preserve">Informativo TST - </w:t>
    </w:r>
    <w:r>
      <w:rPr>
        <w:shadow/>
        <w:sz w:val="24"/>
        <w:szCs w:val="24"/>
      </w:rPr>
      <w:t>n</w:t>
    </w:r>
    <w:r w:rsidRPr="00971E07">
      <w:rPr>
        <w:shadow/>
        <w:sz w:val="24"/>
        <w:szCs w:val="24"/>
      </w:rPr>
      <w:t>º 1</w:t>
    </w:r>
  </w:p>
  <w:p w:rsidR="00EB3BDB" w:rsidRPr="00971E07" w:rsidRDefault="00EB3BDB">
    <w:pPr>
      <w:pStyle w:val="Ttulo6"/>
      <w:spacing w:line="360" w:lineRule="auto"/>
      <w:jc w:val="right"/>
      <w:rPr>
        <w:i/>
        <w:iCs/>
        <w:sz w:val="20"/>
        <w:szCs w:val="20"/>
      </w:rPr>
    </w:pPr>
    <w:r>
      <w:rPr>
        <w:noProof/>
      </w:rPr>
      <w:pict>
        <v:line id="_x0000_s2049" style="position:absolute;left:0;text-align:left;flip:x;z-index:251657216" from=".9pt,10.15pt" to="497.7pt,10.15pt" o:allowincell="f" strokecolor="#969696"/>
      </w:pict>
    </w:r>
    <w:r>
      <w:rPr>
        <w:sz w:val="20"/>
        <w:szCs w:val="20"/>
      </w:rPr>
      <w:t>Período: 8</w:t>
    </w:r>
    <w:r w:rsidRPr="00971E07">
      <w:rPr>
        <w:sz w:val="20"/>
        <w:szCs w:val="20"/>
      </w:rPr>
      <w:t xml:space="preserve"> a </w:t>
    </w:r>
    <w:r>
      <w:rPr>
        <w:sz w:val="20"/>
        <w:szCs w:val="20"/>
      </w:rPr>
      <w:t>14</w:t>
    </w:r>
    <w:r w:rsidRPr="00971E07">
      <w:rPr>
        <w:sz w:val="20"/>
        <w:szCs w:val="20"/>
      </w:rPr>
      <w:t xml:space="preserve"> de março de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BDB" w:rsidRDefault="00EB3BDB">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65.7pt;margin-top:25pt;width:381.6pt;height:36pt;z-index:251656192" o:allowincell="f" fillcolor="black">
          <v:shadow color="#868686"/>
          <v:textpath style="font-family:&quot;Times New Roman&quot;;v-text-kern:t" trim="t" fitpath="t" string="INFORMATIVO TS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35pt;height:77pt">
          <v:imagedata r:id="rId1" o:title="TST LOGO"/>
        </v:shape>
      </w:pict>
    </w:r>
  </w:p>
  <w:p w:rsidR="00EB3BDB" w:rsidRPr="002168DE" w:rsidRDefault="00EB3BDB" w:rsidP="00075BDB">
    <w:pPr>
      <w:pStyle w:val="Cabealho"/>
      <w:tabs>
        <w:tab w:val="clear" w:pos="4419"/>
        <w:tab w:val="clear" w:pos="8838"/>
        <w:tab w:val="left" w:pos="2793"/>
      </w:tabs>
      <w:jc w:val="right"/>
      <w:rPr>
        <w:b/>
        <w:sz w:val="40"/>
        <w:szCs w:val="40"/>
      </w:rPr>
    </w:pPr>
    <w:r>
      <w:tab/>
    </w:r>
    <w:r>
      <w:tab/>
    </w:r>
    <w:r>
      <w:tab/>
    </w:r>
    <w:r>
      <w:tab/>
    </w:r>
    <w:r>
      <w:tab/>
    </w:r>
    <w:r>
      <w:tab/>
    </w:r>
    <w:r w:rsidRPr="002168DE">
      <w:rPr>
        <w:b/>
        <w:sz w:val="40"/>
        <w:szCs w:val="40"/>
      </w:rPr>
      <w:t>Nº 1</w:t>
    </w:r>
  </w:p>
  <w:p w:rsidR="00EB3BDB" w:rsidRPr="005D1DE4" w:rsidRDefault="00EB3BDB">
    <w:pPr>
      <w:pStyle w:val="Cabealho"/>
      <w:jc w:val="right"/>
      <w:rPr>
        <w:i/>
        <w:iCs/>
        <w:sz w:val="10"/>
        <w:szCs w:val="10"/>
      </w:rPr>
    </w:pPr>
  </w:p>
  <w:p w:rsidR="00EB3BDB" w:rsidRPr="005D1DE4" w:rsidRDefault="00EB3BDB">
    <w:pPr>
      <w:pStyle w:val="Cabealho"/>
      <w:jc w:val="right"/>
    </w:pPr>
    <w:r>
      <w:rPr>
        <w:i/>
        <w:iCs/>
      </w:rPr>
      <w:t>Período:</w:t>
    </w:r>
    <w:r w:rsidRPr="005D1DE4">
      <w:rPr>
        <w:i/>
        <w:iCs/>
      </w:rPr>
      <w:t xml:space="preserve"> </w:t>
    </w:r>
    <w:r>
      <w:rPr>
        <w:i/>
        <w:iCs/>
      </w:rPr>
      <w:t>8</w:t>
    </w:r>
    <w:r w:rsidRPr="005D1DE4">
      <w:rPr>
        <w:i/>
        <w:iCs/>
      </w:rPr>
      <w:t xml:space="preserve"> a </w:t>
    </w:r>
    <w:r>
      <w:rPr>
        <w:i/>
        <w:iCs/>
      </w:rPr>
      <w:t>14</w:t>
    </w:r>
    <w:r w:rsidRPr="005D1DE4">
      <w:rPr>
        <w:i/>
        <w:iCs/>
      </w:rPr>
      <w:t xml:space="preserve"> de março de 2012</w:t>
    </w:r>
  </w:p>
  <w:p w:rsidR="00EB3BDB" w:rsidRDefault="00EB3BDB" w:rsidP="00631F1C">
    <w:pPr>
      <w:pStyle w:val="Cabealho"/>
      <w:pBdr>
        <w:bottom w:val="single" w:sz="4" w:space="1" w:color="auto"/>
      </w:pBd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colormenu v:ext="edit" fillcolor="none [3213]"/>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6FE"/>
    <w:rsid w:val="00004C36"/>
    <w:rsid w:val="000228E6"/>
    <w:rsid w:val="00032056"/>
    <w:rsid w:val="000322FB"/>
    <w:rsid w:val="000425FC"/>
    <w:rsid w:val="00050E85"/>
    <w:rsid w:val="00056752"/>
    <w:rsid w:val="00057B87"/>
    <w:rsid w:val="0006020E"/>
    <w:rsid w:val="000733B4"/>
    <w:rsid w:val="00073880"/>
    <w:rsid w:val="00074B1C"/>
    <w:rsid w:val="00075BDB"/>
    <w:rsid w:val="00080F10"/>
    <w:rsid w:val="0009237D"/>
    <w:rsid w:val="00093AE9"/>
    <w:rsid w:val="00093BA8"/>
    <w:rsid w:val="000A04E6"/>
    <w:rsid w:val="000B4D41"/>
    <w:rsid w:val="000B67DF"/>
    <w:rsid w:val="000B7CDE"/>
    <w:rsid w:val="000C3022"/>
    <w:rsid w:val="000C672B"/>
    <w:rsid w:val="000E0A91"/>
    <w:rsid w:val="0011575C"/>
    <w:rsid w:val="0011692E"/>
    <w:rsid w:val="00137564"/>
    <w:rsid w:val="00137DC1"/>
    <w:rsid w:val="0015612D"/>
    <w:rsid w:val="00176D15"/>
    <w:rsid w:val="00184590"/>
    <w:rsid w:val="00187A37"/>
    <w:rsid w:val="0019151D"/>
    <w:rsid w:val="00193208"/>
    <w:rsid w:val="001C04D2"/>
    <w:rsid w:val="001C271F"/>
    <w:rsid w:val="001C6C93"/>
    <w:rsid w:val="001D4CF9"/>
    <w:rsid w:val="001D5AB0"/>
    <w:rsid w:val="001D757D"/>
    <w:rsid w:val="001E14BB"/>
    <w:rsid w:val="001E4B57"/>
    <w:rsid w:val="001E5BD1"/>
    <w:rsid w:val="001E713B"/>
    <w:rsid w:val="001F030F"/>
    <w:rsid w:val="00206810"/>
    <w:rsid w:val="002168DE"/>
    <w:rsid w:val="00224AC2"/>
    <w:rsid w:val="0023559D"/>
    <w:rsid w:val="002402B0"/>
    <w:rsid w:val="002449F9"/>
    <w:rsid w:val="00257DC8"/>
    <w:rsid w:val="002635ED"/>
    <w:rsid w:val="002662BA"/>
    <w:rsid w:val="00266D49"/>
    <w:rsid w:val="00271C5C"/>
    <w:rsid w:val="00271E67"/>
    <w:rsid w:val="002730B5"/>
    <w:rsid w:val="00280594"/>
    <w:rsid w:val="00285064"/>
    <w:rsid w:val="00296250"/>
    <w:rsid w:val="002A219D"/>
    <w:rsid w:val="002A546D"/>
    <w:rsid w:val="002B4738"/>
    <w:rsid w:val="002B6377"/>
    <w:rsid w:val="002C2904"/>
    <w:rsid w:val="002E78CB"/>
    <w:rsid w:val="00315476"/>
    <w:rsid w:val="0033397A"/>
    <w:rsid w:val="00351D9B"/>
    <w:rsid w:val="0036325E"/>
    <w:rsid w:val="003671FE"/>
    <w:rsid w:val="003708FD"/>
    <w:rsid w:val="0037667D"/>
    <w:rsid w:val="00384075"/>
    <w:rsid w:val="003908C5"/>
    <w:rsid w:val="00396053"/>
    <w:rsid w:val="003A4086"/>
    <w:rsid w:val="003A5E5B"/>
    <w:rsid w:val="003B045C"/>
    <w:rsid w:val="003B0A59"/>
    <w:rsid w:val="003B3EB5"/>
    <w:rsid w:val="003B4E23"/>
    <w:rsid w:val="003B767E"/>
    <w:rsid w:val="003C6FE7"/>
    <w:rsid w:val="003D032E"/>
    <w:rsid w:val="003D4205"/>
    <w:rsid w:val="003F2078"/>
    <w:rsid w:val="0042772A"/>
    <w:rsid w:val="004323B0"/>
    <w:rsid w:val="00444E88"/>
    <w:rsid w:val="0045657C"/>
    <w:rsid w:val="004655CC"/>
    <w:rsid w:val="00466DB9"/>
    <w:rsid w:val="00486521"/>
    <w:rsid w:val="00486DFC"/>
    <w:rsid w:val="004922D6"/>
    <w:rsid w:val="004A14FC"/>
    <w:rsid w:val="004A5264"/>
    <w:rsid w:val="004B21AD"/>
    <w:rsid w:val="004C011C"/>
    <w:rsid w:val="004C14EA"/>
    <w:rsid w:val="004C2118"/>
    <w:rsid w:val="004C2612"/>
    <w:rsid w:val="004D6000"/>
    <w:rsid w:val="004D6415"/>
    <w:rsid w:val="004D71E8"/>
    <w:rsid w:val="004E393E"/>
    <w:rsid w:val="004E4507"/>
    <w:rsid w:val="004E4619"/>
    <w:rsid w:val="004F0A7D"/>
    <w:rsid w:val="0051538E"/>
    <w:rsid w:val="00517E01"/>
    <w:rsid w:val="00521EEC"/>
    <w:rsid w:val="005460BD"/>
    <w:rsid w:val="00553197"/>
    <w:rsid w:val="0055409E"/>
    <w:rsid w:val="00556367"/>
    <w:rsid w:val="00556B35"/>
    <w:rsid w:val="00573E13"/>
    <w:rsid w:val="00584F82"/>
    <w:rsid w:val="00591DFA"/>
    <w:rsid w:val="005A5695"/>
    <w:rsid w:val="005B2F00"/>
    <w:rsid w:val="005B57DE"/>
    <w:rsid w:val="005B6CE0"/>
    <w:rsid w:val="005C1886"/>
    <w:rsid w:val="005C761E"/>
    <w:rsid w:val="005D0E5F"/>
    <w:rsid w:val="005D1DE4"/>
    <w:rsid w:val="005E35BD"/>
    <w:rsid w:val="005E3D4D"/>
    <w:rsid w:val="005E7FD1"/>
    <w:rsid w:val="005F2858"/>
    <w:rsid w:val="006002E3"/>
    <w:rsid w:val="006145AC"/>
    <w:rsid w:val="00615F98"/>
    <w:rsid w:val="00621F9C"/>
    <w:rsid w:val="00631166"/>
    <w:rsid w:val="00631F1C"/>
    <w:rsid w:val="006366A4"/>
    <w:rsid w:val="006456B1"/>
    <w:rsid w:val="006564EC"/>
    <w:rsid w:val="00656C13"/>
    <w:rsid w:val="0066084C"/>
    <w:rsid w:val="00672CF9"/>
    <w:rsid w:val="00672E11"/>
    <w:rsid w:val="0068273B"/>
    <w:rsid w:val="00691234"/>
    <w:rsid w:val="006931CC"/>
    <w:rsid w:val="006947F2"/>
    <w:rsid w:val="00697919"/>
    <w:rsid w:val="006B3FCF"/>
    <w:rsid w:val="006B46CA"/>
    <w:rsid w:val="006C0391"/>
    <w:rsid w:val="006C28B3"/>
    <w:rsid w:val="006D1F66"/>
    <w:rsid w:val="006D306E"/>
    <w:rsid w:val="006D4497"/>
    <w:rsid w:val="006F6C15"/>
    <w:rsid w:val="007062D2"/>
    <w:rsid w:val="00710D3A"/>
    <w:rsid w:val="0071315F"/>
    <w:rsid w:val="00721942"/>
    <w:rsid w:val="00722BE7"/>
    <w:rsid w:val="00732DF2"/>
    <w:rsid w:val="007614F1"/>
    <w:rsid w:val="007618C5"/>
    <w:rsid w:val="00764066"/>
    <w:rsid w:val="00776118"/>
    <w:rsid w:val="007A69EE"/>
    <w:rsid w:val="007B0F83"/>
    <w:rsid w:val="007D29A1"/>
    <w:rsid w:val="007E0EA7"/>
    <w:rsid w:val="007E3F23"/>
    <w:rsid w:val="007F142E"/>
    <w:rsid w:val="007F7B5E"/>
    <w:rsid w:val="00802B1A"/>
    <w:rsid w:val="0080615C"/>
    <w:rsid w:val="0081027F"/>
    <w:rsid w:val="0081742D"/>
    <w:rsid w:val="00821F4D"/>
    <w:rsid w:val="00823906"/>
    <w:rsid w:val="00833A2E"/>
    <w:rsid w:val="008409D3"/>
    <w:rsid w:val="00845559"/>
    <w:rsid w:val="00854DB8"/>
    <w:rsid w:val="00854EF2"/>
    <w:rsid w:val="00871F69"/>
    <w:rsid w:val="008842D0"/>
    <w:rsid w:val="00884AC4"/>
    <w:rsid w:val="0088579D"/>
    <w:rsid w:val="00896082"/>
    <w:rsid w:val="008A7953"/>
    <w:rsid w:val="008B3081"/>
    <w:rsid w:val="008B32D4"/>
    <w:rsid w:val="008D0020"/>
    <w:rsid w:val="008D3C38"/>
    <w:rsid w:val="008D6A05"/>
    <w:rsid w:val="008E2AE5"/>
    <w:rsid w:val="008E3F89"/>
    <w:rsid w:val="008F26CB"/>
    <w:rsid w:val="008F6509"/>
    <w:rsid w:val="008F79D9"/>
    <w:rsid w:val="009027C8"/>
    <w:rsid w:val="0093467A"/>
    <w:rsid w:val="0094155C"/>
    <w:rsid w:val="00945C14"/>
    <w:rsid w:val="00951531"/>
    <w:rsid w:val="00960A3B"/>
    <w:rsid w:val="00967DE0"/>
    <w:rsid w:val="00971E07"/>
    <w:rsid w:val="00980944"/>
    <w:rsid w:val="00986D77"/>
    <w:rsid w:val="009943EC"/>
    <w:rsid w:val="009A32D5"/>
    <w:rsid w:val="009B6012"/>
    <w:rsid w:val="009C102D"/>
    <w:rsid w:val="009C2A4F"/>
    <w:rsid w:val="009D4C59"/>
    <w:rsid w:val="009D7F91"/>
    <w:rsid w:val="009E20EF"/>
    <w:rsid w:val="009E26EE"/>
    <w:rsid w:val="009F21A2"/>
    <w:rsid w:val="00A30348"/>
    <w:rsid w:val="00A32FBF"/>
    <w:rsid w:val="00A407EA"/>
    <w:rsid w:val="00A43536"/>
    <w:rsid w:val="00A51749"/>
    <w:rsid w:val="00A521B6"/>
    <w:rsid w:val="00A56962"/>
    <w:rsid w:val="00A6412C"/>
    <w:rsid w:val="00A75419"/>
    <w:rsid w:val="00A76661"/>
    <w:rsid w:val="00A76D2A"/>
    <w:rsid w:val="00A82081"/>
    <w:rsid w:val="00A8557E"/>
    <w:rsid w:val="00A91181"/>
    <w:rsid w:val="00A935AC"/>
    <w:rsid w:val="00AB299E"/>
    <w:rsid w:val="00AB507C"/>
    <w:rsid w:val="00AD6E76"/>
    <w:rsid w:val="00AE3EAA"/>
    <w:rsid w:val="00AE5EDF"/>
    <w:rsid w:val="00B14F7F"/>
    <w:rsid w:val="00B1618D"/>
    <w:rsid w:val="00B16EB9"/>
    <w:rsid w:val="00B22F24"/>
    <w:rsid w:val="00B22F53"/>
    <w:rsid w:val="00B24DBE"/>
    <w:rsid w:val="00B34EB2"/>
    <w:rsid w:val="00B517C3"/>
    <w:rsid w:val="00B518B2"/>
    <w:rsid w:val="00B526EA"/>
    <w:rsid w:val="00B536FE"/>
    <w:rsid w:val="00B73FFA"/>
    <w:rsid w:val="00B874F1"/>
    <w:rsid w:val="00BC1DE7"/>
    <w:rsid w:val="00BC5AEE"/>
    <w:rsid w:val="00BD4085"/>
    <w:rsid w:val="00BD6029"/>
    <w:rsid w:val="00BE0541"/>
    <w:rsid w:val="00BE1ADB"/>
    <w:rsid w:val="00C070DE"/>
    <w:rsid w:val="00C26DFB"/>
    <w:rsid w:val="00C273FA"/>
    <w:rsid w:val="00C30D06"/>
    <w:rsid w:val="00C42067"/>
    <w:rsid w:val="00C432D0"/>
    <w:rsid w:val="00C4398E"/>
    <w:rsid w:val="00C60B4A"/>
    <w:rsid w:val="00C65BDB"/>
    <w:rsid w:val="00C71A3B"/>
    <w:rsid w:val="00C76CFA"/>
    <w:rsid w:val="00C963F8"/>
    <w:rsid w:val="00C96BB1"/>
    <w:rsid w:val="00CA2F80"/>
    <w:rsid w:val="00CB0C2A"/>
    <w:rsid w:val="00CC4B2B"/>
    <w:rsid w:val="00CC579C"/>
    <w:rsid w:val="00CC5F5F"/>
    <w:rsid w:val="00CD3460"/>
    <w:rsid w:val="00CD4B61"/>
    <w:rsid w:val="00CD5043"/>
    <w:rsid w:val="00CE2928"/>
    <w:rsid w:val="00CE314A"/>
    <w:rsid w:val="00D01C50"/>
    <w:rsid w:val="00D11B24"/>
    <w:rsid w:val="00D133C8"/>
    <w:rsid w:val="00D143ED"/>
    <w:rsid w:val="00D14DB8"/>
    <w:rsid w:val="00D244D5"/>
    <w:rsid w:val="00D2776A"/>
    <w:rsid w:val="00D413DB"/>
    <w:rsid w:val="00D420E2"/>
    <w:rsid w:val="00D4459D"/>
    <w:rsid w:val="00D573F9"/>
    <w:rsid w:val="00D6058B"/>
    <w:rsid w:val="00D63EC5"/>
    <w:rsid w:val="00D72C05"/>
    <w:rsid w:val="00D847CF"/>
    <w:rsid w:val="00DA0A99"/>
    <w:rsid w:val="00DA7603"/>
    <w:rsid w:val="00DA7E39"/>
    <w:rsid w:val="00DA7EDE"/>
    <w:rsid w:val="00DC0AB5"/>
    <w:rsid w:val="00DC50EB"/>
    <w:rsid w:val="00DD3FA0"/>
    <w:rsid w:val="00DE5B2D"/>
    <w:rsid w:val="00DE5CE9"/>
    <w:rsid w:val="00E03064"/>
    <w:rsid w:val="00E04BD5"/>
    <w:rsid w:val="00E070D2"/>
    <w:rsid w:val="00E1539C"/>
    <w:rsid w:val="00E162B6"/>
    <w:rsid w:val="00E16E01"/>
    <w:rsid w:val="00E24A50"/>
    <w:rsid w:val="00E35639"/>
    <w:rsid w:val="00E432CC"/>
    <w:rsid w:val="00E50711"/>
    <w:rsid w:val="00E54B75"/>
    <w:rsid w:val="00E60EDA"/>
    <w:rsid w:val="00E62BBC"/>
    <w:rsid w:val="00E720E4"/>
    <w:rsid w:val="00E9503C"/>
    <w:rsid w:val="00E956D9"/>
    <w:rsid w:val="00EA1958"/>
    <w:rsid w:val="00EA29F5"/>
    <w:rsid w:val="00EA482D"/>
    <w:rsid w:val="00EB3BDB"/>
    <w:rsid w:val="00EB5FE6"/>
    <w:rsid w:val="00EB61A5"/>
    <w:rsid w:val="00EB7A09"/>
    <w:rsid w:val="00EC5AF4"/>
    <w:rsid w:val="00EC7C60"/>
    <w:rsid w:val="00ED661C"/>
    <w:rsid w:val="00EE41B5"/>
    <w:rsid w:val="00EE66C9"/>
    <w:rsid w:val="00EF11A9"/>
    <w:rsid w:val="00EF38E1"/>
    <w:rsid w:val="00EF749A"/>
    <w:rsid w:val="00EF771E"/>
    <w:rsid w:val="00F02565"/>
    <w:rsid w:val="00F05542"/>
    <w:rsid w:val="00F17A2C"/>
    <w:rsid w:val="00F21CF5"/>
    <w:rsid w:val="00F26708"/>
    <w:rsid w:val="00F511EE"/>
    <w:rsid w:val="00F558E7"/>
    <w:rsid w:val="00F62016"/>
    <w:rsid w:val="00F63F44"/>
    <w:rsid w:val="00F6746D"/>
    <w:rsid w:val="00F70CC7"/>
    <w:rsid w:val="00F811CD"/>
    <w:rsid w:val="00F82D8F"/>
    <w:rsid w:val="00F83F62"/>
    <w:rsid w:val="00F9711D"/>
    <w:rsid w:val="00FA75E0"/>
    <w:rsid w:val="00FB3AB4"/>
    <w:rsid w:val="00FC56A4"/>
    <w:rsid w:val="00FD3D06"/>
    <w:rsid w:val="00FD5662"/>
    <w:rsid w:val="00FD72B6"/>
    <w:rsid w:val="00FE00AD"/>
    <w:rsid w:val="00FE499F"/>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enu v:ext="edit" fill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Pr>
      <w:rFonts w:ascii="Cambria" w:hAnsi="Cambria" w:cs="Cambria"/>
      <w:b/>
      <w:bCs/>
      <w:kern w:val="32"/>
      <w:sz w:val="32"/>
      <w:szCs w:val="32"/>
    </w:rPr>
  </w:style>
  <w:style w:type="character" w:customStyle="1" w:styleId="Ttulo5Char">
    <w:name w:val="Título 5 Char"/>
    <w:basedOn w:val="Fontepargpadro"/>
    <w:link w:val="Ttulo5"/>
    <w:uiPriority w:val="99"/>
    <w:locked/>
    <w:rPr>
      <w:rFonts w:ascii="Calibri" w:hAnsi="Calibri" w:cs="Calibri"/>
      <w:b/>
      <w:bCs/>
      <w:i/>
      <w:iCs/>
      <w:sz w:val="26"/>
      <w:szCs w:val="26"/>
    </w:rPr>
  </w:style>
  <w:style w:type="character" w:customStyle="1" w:styleId="Ttulo6Char">
    <w:name w:val="Título 6 Char"/>
    <w:basedOn w:val="Fontepargpadro"/>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basedOn w:val="Fontepargpadro"/>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basedOn w:val="Fontepargpadro"/>
    <w:link w:val="Corpodetexto3"/>
    <w:uiPriority w:val="99"/>
    <w:locked/>
    <w:rPr>
      <w:rFonts w:cs="Times New Roman"/>
      <w:sz w:val="16"/>
      <w:szCs w:val="16"/>
    </w:rPr>
  </w:style>
  <w:style w:type="character" w:styleId="Nmerodepgina">
    <w:name w:val="page number"/>
    <w:basedOn w:val="Fontepargpadro"/>
    <w:uiPriority w:val="99"/>
    <w:rPr>
      <w:rFonts w:cs="Times New Roman"/>
    </w:rPr>
  </w:style>
  <w:style w:type="character" w:styleId="Hyperlink">
    <w:name w:val="Hyperlink"/>
    <w:basedOn w:val="Fontepargpadro"/>
    <w:uiPriority w:val="99"/>
    <w:rPr>
      <w:rFonts w:cs="Times New Roman"/>
      <w:color w:val="0000FF"/>
      <w:u w:val="single"/>
    </w:rPr>
  </w:style>
  <w:style w:type="paragraph" w:customStyle="1" w:styleId="Identificao">
    <w:name w:val="Identificação"/>
    <w:basedOn w:val="Normal"/>
    <w:uiPriority w:val="99"/>
    <w:pPr>
      <w:jc w:val="both"/>
    </w:pPr>
    <w:rPr>
      <w:rFonts w:ascii="Courier New" w:hAnsi="Courier New" w:cs="Courier New"/>
      <w:color w:val="000000"/>
      <w:sz w:val="24"/>
      <w:szCs w:val="24"/>
      <w:lang w:val="en-US"/>
    </w:rPr>
  </w:style>
  <w:style w:type="paragraph" w:customStyle="1" w:styleId="Corpo">
    <w:name w:val="Corp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basedOn w:val="Fontepargpadro"/>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uiPriority w:val="99"/>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basedOn w:val="Fontepargpadro"/>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basedOn w:val="Fontepargpadro"/>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basedOn w:val="Fontepargpadro"/>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basedOn w:val="Fontepargpadro"/>
    <w:link w:val="Data"/>
    <w:uiPriority w:val="99"/>
    <w:locked/>
    <w:rPr>
      <w:rFonts w:cs="Times New Roman"/>
    </w:rPr>
  </w:style>
  <w:style w:type="paragraph" w:customStyle="1" w:styleId="TemaPN">
    <w:name w:val="TemaPN"/>
    <w:next w:val="Normal"/>
    <w:autoRedefine/>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ind w:left="737" w:hanging="907"/>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basedOn w:val="Fontepargpadro"/>
    <w:uiPriority w:val="99"/>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basedOn w:val="Fontepargpadro"/>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basedOn w:val="Fontepargpadro"/>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basedOn w:val="Fontepargpadro"/>
    <w:link w:val="Corpo"/>
    <w:uiPriority w:val="99"/>
    <w:locked/>
    <w:rsid w:val="008D3C38"/>
    <w:rPr>
      <w:rFonts w:ascii="Courier New" w:hAnsi="Courier New" w:cs="Courier New"/>
      <w:color w:val="000000"/>
      <w:sz w:val="24"/>
      <w:szCs w:val="24"/>
      <w:lang w:val="en-US" w:eastAsia="pt-BR" w:bidi="ar-SA"/>
    </w:rPr>
  </w:style>
  <w:style w:type="character" w:customStyle="1" w:styleId="f61">
    <w:name w:val="f61"/>
    <w:basedOn w:val="Fontepargpadro"/>
    <w:rsid w:val="00896082"/>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xt02.tst.jus.br/pls/ap01/ap_red100.resumo?num_int=38065&amp;ano_int=2011&amp;qtd_acesso=1660695&amp;novoportal=" TargetMode="External"/><Relationship Id="rId13" Type="http://schemas.openxmlformats.org/officeDocument/2006/relationships/hyperlink" Target="http://ext02.tst.jus.br/pls/ap01/ap_red100.resumo?num_int=36672&amp;ano_int=2005&amp;qtd_acesso=1371957&amp;novoportal=" TargetMode="External"/><Relationship Id="rId18" Type="http://schemas.openxmlformats.org/officeDocument/2006/relationships/hyperlink" Target="http://ext02.tst.jus.br/pls/ap01/ap_red100.resumo?num_int=137478&amp;ano_int=2011&amp;qtd_acesso=3186537&amp;novoporta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ext02.tst.jus.br/pls/ap01/ap_red100.resumo?num_int=77021&amp;ano_int=2004&amp;qtd_acesso=2361819&amp;novoportal=" TargetMode="External"/><Relationship Id="rId17" Type="http://schemas.openxmlformats.org/officeDocument/2006/relationships/hyperlink" Target="http://ext02.tst.jus.br/pls/ap01/ap_red100.resumo?num_int=183944&amp;ano_int=2011&amp;qtd_acesso=4022925&amp;novoporta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xt02.tst.jus.br/pls/ap01/ap_red100.resumo?num_int=53777&amp;ano_int=2000&amp;qtd_acesso=1943379&amp;novoportal=" TargetMode="External"/><Relationship Id="rId20" Type="http://schemas.openxmlformats.org/officeDocument/2006/relationships/hyperlink" Target="http://ext02.tst.jus.br/pls/ap01/ap_red100.resumo?num_int=82122&amp;ano_int=2011&amp;qtd_acesso=2190129&amp;novo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xt02.tst.jus.br/pls/ap01/ap_red100.resumo?num_int=127562&amp;ano_int=2003&amp;qtd_acesso=3007953&amp;novoporta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xt02.tst.jus.br/pls/ap01/ap_red100.resumo?num_int=360852&amp;ano_int=2008&amp;qtd_acesso=7207233&amp;novoportal=" TargetMode="External"/><Relationship Id="rId23" Type="http://schemas.openxmlformats.org/officeDocument/2006/relationships/header" Target="header2.xml"/><Relationship Id="rId10" Type="http://schemas.openxmlformats.org/officeDocument/2006/relationships/hyperlink" Target="http://ext02.tst.jus.br/pls/ap01/ap_red100.resumo?num_int=80698&amp;ano_int=2011&amp;qtd_acesso=2164497&amp;novoportal=" TargetMode="External"/><Relationship Id="rId19" Type="http://schemas.openxmlformats.org/officeDocument/2006/relationships/hyperlink" Target="http://ext02.tst.jus.br/pls/ap01/ap_red100.resumo?num_int=153780&amp;ano_int=2011&amp;qtd_acesso=3479973&amp;novoportal=" TargetMode="External"/><Relationship Id="rId4" Type="http://schemas.openxmlformats.org/officeDocument/2006/relationships/settings" Target="settings.xml"/><Relationship Id="rId9" Type="http://schemas.openxmlformats.org/officeDocument/2006/relationships/hyperlink" Target="http://ext02.tst.jus.br/pls/ap01/ap_red100.resumo?num_int=822394&amp;ano_int=2009&amp;qtd_acesso=15515001&amp;novoportal=" TargetMode="External"/><Relationship Id="rId14" Type="http://schemas.openxmlformats.org/officeDocument/2006/relationships/hyperlink" Target="http://ext02.tst.jus.br/pls/ap01/ap_red100.resumo?num_int=136255&amp;ano_int=2004&amp;qtd_acesso=3428031&amp;novoportal="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F6DE0-1040-475A-9BE6-59CA18E7D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2598</Words>
  <Characters>14031</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16596</CharactersWithSpaces>
  <SharedDoc>false</SharedDoc>
  <HLinks>
    <vt:vector size="78" baseType="variant">
      <vt:variant>
        <vt:i4>5636190</vt:i4>
      </vt:variant>
      <vt:variant>
        <vt:i4>36</vt:i4>
      </vt:variant>
      <vt:variant>
        <vt:i4>0</vt:i4>
      </vt:variant>
      <vt:variant>
        <vt:i4>5</vt:i4>
      </vt:variant>
      <vt:variant>
        <vt:lpwstr>http://ext02.tst.jus.br/pls/ap01/ap_red100.resumo?num_int=82122&amp;ano_int=2011&amp;qtd_acesso=2190129&amp;novoportal=</vt:lpwstr>
      </vt:variant>
      <vt:variant>
        <vt:lpwstr/>
      </vt:variant>
      <vt:variant>
        <vt:i4>3538996</vt:i4>
      </vt:variant>
      <vt:variant>
        <vt:i4>33</vt:i4>
      </vt:variant>
      <vt:variant>
        <vt:i4>0</vt:i4>
      </vt:variant>
      <vt:variant>
        <vt:i4>5</vt:i4>
      </vt:variant>
      <vt:variant>
        <vt:lpwstr>http://ext02.tst.jus.br/pls/ap01/ap_red100.resumo?num_int=153780&amp;ano_int=2011&amp;qtd_acesso=3479973&amp;novoportal=</vt:lpwstr>
      </vt:variant>
      <vt:variant>
        <vt:lpwstr/>
      </vt:variant>
      <vt:variant>
        <vt:i4>3932209</vt:i4>
      </vt:variant>
      <vt:variant>
        <vt:i4>30</vt:i4>
      </vt:variant>
      <vt:variant>
        <vt:i4>0</vt:i4>
      </vt:variant>
      <vt:variant>
        <vt:i4>5</vt:i4>
      </vt:variant>
      <vt:variant>
        <vt:lpwstr>http://ext02.tst.jus.br/pls/ap01/ap_red100.resumo?num_int=137478&amp;ano_int=2011&amp;qtd_acesso=3186537&amp;novoportal=</vt:lpwstr>
      </vt:variant>
      <vt:variant>
        <vt:lpwstr/>
      </vt:variant>
      <vt:variant>
        <vt:i4>3473458</vt:i4>
      </vt:variant>
      <vt:variant>
        <vt:i4>27</vt:i4>
      </vt:variant>
      <vt:variant>
        <vt:i4>0</vt:i4>
      </vt:variant>
      <vt:variant>
        <vt:i4>5</vt:i4>
      </vt:variant>
      <vt:variant>
        <vt:lpwstr>http://ext02.tst.jus.br/pls/ap01/ap_red100.resumo?num_int=183944&amp;ano_int=2011&amp;qtd_acesso=4022925&amp;novoportal=</vt:lpwstr>
      </vt:variant>
      <vt:variant>
        <vt:lpwstr/>
      </vt:variant>
      <vt:variant>
        <vt:i4>6094941</vt:i4>
      </vt:variant>
      <vt:variant>
        <vt:i4>24</vt:i4>
      </vt:variant>
      <vt:variant>
        <vt:i4>0</vt:i4>
      </vt:variant>
      <vt:variant>
        <vt:i4>5</vt:i4>
      </vt:variant>
      <vt:variant>
        <vt:lpwstr>http://ext02.tst.jus.br/pls/ap01/ap_red100.resumo?num_int=53777&amp;ano_int=2000&amp;qtd_acesso=1943379&amp;novoportal=</vt:lpwstr>
      </vt:variant>
      <vt:variant>
        <vt:lpwstr/>
      </vt:variant>
      <vt:variant>
        <vt:i4>3211325</vt:i4>
      </vt:variant>
      <vt:variant>
        <vt:i4>21</vt:i4>
      </vt:variant>
      <vt:variant>
        <vt:i4>0</vt:i4>
      </vt:variant>
      <vt:variant>
        <vt:i4>5</vt:i4>
      </vt:variant>
      <vt:variant>
        <vt:lpwstr>http://ext02.tst.jus.br/pls/ap01/ap_red100.resumo?num_int=360852&amp;ano_int=2008&amp;qtd_acesso=7207233&amp;novoportal=</vt:lpwstr>
      </vt:variant>
      <vt:variant>
        <vt:lpwstr/>
      </vt:variant>
      <vt:variant>
        <vt:i4>4128828</vt:i4>
      </vt:variant>
      <vt:variant>
        <vt:i4>18</vt:i4>
      </vt:variant>
      <vt:variant>
        <vt:i4>0</vt:i4>
      </vt:variant>
      <vt:variant>
        <vt:i4>5</vt:i4>
      </vt:variant>
      <vt:variant>
        <vt:lpwstr>http://ext02.tst.jus.br/pls/ap01/ap_red100.resumo?num_int=136255&amp;ano_int=2004&amp;qtd_acesso=3428031&amp;novoportal=</vt:lpwstr>
      </vt:variant>
      <vt:variant>
        <vt:lpwstr/>
      </vt:variant>
      <vt:variant>
        <vt:i4>5701720</vt:i4>
      </vt:variant>
      <vt:variant>
        <vt:i4>15</vt:i4>
      </vt:variant>
      <vt:variant>
        <vt:i4>0</vt:i4>
      </vt:variant>
      <vt:variant>
        <vt:i4>5</vt:i4>
      </vt:variant>
      <vt:variant>
        <vt:lpwstr>http://ext02.tst.jus.br/pls/ap01/ap_red100.resumo?num_int=36672&amp;ano_int=2005&amp;qtd_acesso=1371957&amp;novoportal=</vt:lpwstr>
      </vt:variant>
      <vt:variant>
        <vt:lpwstr/>
      </vt:variant>
      <vt:variant>
        <vt:i4>5636180</vt:i4>
      </vt:variant>
      <vt:variant>
        <vt:i4>12</vt:i4>
      </vt:variant>
      <vt:variant>
        <vt:i4>0</vt:i4>
      </vt:variant>
      <vt:variant>
        <vt:i4>5</vt:i4>
      </vt:variant>
      <vt:variant>
        <vt:lpwstr>http://ext02.tst.jus.br/pls/ap01/ap_red100.resumo?num_int=77021&amp;ano_int=2004&amp;qtd_acesso=2361819&amp;novoportal=</vt:lpwstr>
      </vt:variant>
      <vt:variant>
        <vt:lpwstr/>
      </vt:variant>
      <vt:variant>
        <vt:i4>3604532</vt:i4>
      </vt:variant>
      <vt:variant>
        <vt:i4>9</vt:i4>
      </vt:variant>
      <vt:variant>
        <vt:i4>0</vt:i4>
      </vt:variant>
      <vt:variant>
        <vt:i4>5</vt:i4>
      </vt:variant>
      <vt:variant>
        <vt:lpwstr>http://ext02.tst.jus.br/pls/ap01/ap_red100.resumo?num_int=127562&amp;ano_int=2003&amp;qtd_acesso=3007953&amp;novoportal=</vt:lpwstr>
      </vt:variant>
      <vt:variant>
        <vt:lpwstr/>
      </vt:variant>
      <vt:variant>
        <vt:i4>5242967</vt:i4>
      </vt:variant>
      <vt:variant>
        <vt:i4>6</vt:i4>
      </vt:variant>
      <vt:variant>
        <vt:i4>0</vt:i4>
      </vt:variant>
      <vt:variant>
        <vt:i4>5</vt:i4>
      </vt:variant>
      <vt:variant>
        <vt:lpwstr>http://ext02.tst.jus.br/pls/ap01/ap_red100.resumo?num_int=80698&amp;ano_int=2011&amp;qtd_acesso=2164497&amp;novoportal=</vt:lpwstr>
      </vt:variant>
      <vt:variant>
        <vt:lpwstr/>
      </vt:variant>
      <vt:variant>
        <vt:i4>2621472</vt:i4>
      </vt:variant>
      <vt:variant>
        <vt:i4>3</vt:i4>
      </vt:variant>
      <vt:variant>
        <vt:i4>0</vt:i4>
      </vt:variant>
      <vt:variant>
        <vt:i4>5</vt:i4>
      </vt:variant>
      <vt:variant>
        <vt:lpwstr>http://ext02.tst.jus.br/pls/ap01/ap_red100.resumo?num_int=822394&amp;ano_int=2009&amp;qtd_acesso=15515001&amp;novoportal=</vt:lpwstr>
      </vt:variant>
      <vt:variant>
        <vt:lpwstr/>
      </vt:variant>
      <vt:variant>
        <vt:i4>5505108</vt:i4>
      </vt:variant>
      <vt:variant>
        <vt:i4>0</vt:i4>
      </vt:variant>
      <vt:variant>
        <vt:i4>0</vt:i4>
      </vt:variant>
      <vt:variant>
        <vt:i4>5</vt:i4>
      </vt:variant>
      <vt:variant>
        <vt:lpwstr>http://ext02.tst.jus.br/pls/ap01/ap_red100.resumo?num_int=38065&amp;ano_int=2011&amp;qtd_acesso=1660695&amp;novoportal=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subject/>
  <dc:creator>C037163</dc:creator>
  <cp:keywords/>
  <dc:description/>
  <cp:lastModifiedBy>c041658</cp:lastModifiedBy>
  <cp:revision>2</cp:revision>
  <cp:lastPrinted>2012-03-13T22:22:00Z</cp:lastPrinted>
  <dcterms:created xsi:type="dcterms:W3CDTF">2018-06-27T22:30:00Z</dcterms:created>
  <dcterms:modified xsi:type="dcterms:W3CDTF">2018-06-27T22:30:00Z</dcterms:modified>
</cp:coreProperties>
</file>