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214" w:type="dxa"/>
        <w:tblLayout w:type="fixed"/>
        <w:tblCellMar>
          <w:left w:w="70" w:type="dxa"/>
          <w:right w:w="70" w:type="dxa"/>
        </w:tblCellMar>
        <w:tblLook w:val="0000" w:firstRow="0" w:lastRow="0" w:firstColumn="0" w:lastColumn="0" w:noHBand="0" w:noVBand="0"/>
      </w:tblPr>
      <w:tblGrid>
        <w:gridCol w:w="9782"/>
      </w:tblGrid>
      <w:tr w:rsidR="001A7589" w:rsidRPr="003509A3" w:rsidTr="005C3140">
        <w:trPr>
          <w:trHeight w:val="537"/>
        </w:trPr>
        <w:tc>
          <w:tcPr>
            <w:tcW w:w="9782" w:type="dxa"/>
            <w:tcBorders>
              <w:top w:val="single" w:sz="4" w:space="0" w:color="auto"/>
            </w:tcBorders>
          </w:tcPr>
          <w:p w:rsidR="001A7589" w:rsidRDefault="001A7589" w:rsidP="009E652F">
            <w:pPr>
              <w:pStyle w:val="Cabealho"/>
              <w:tabs>
                <w:tab w:val="clear" w:pos="4419"/>
                <w:tab w:val="clear" w:pos="8838"/>
              </w:tabs>
              <w:ind w:left="-70" w:right="-70"/>
              <w:jc w:val="both"/>
              <w:rPr>
                <w:rFonts w:ascii="Open Sans" w:hAnsi="Open Sans" w:cs="Open Sans"/>
              </w:rPr>
            </w:pPr>
            <w:r w:rsidRPr="003509A3">
              <w:rPr>
                <w:rFonts w:ascii="Open Sans" w:hAnsi="Open Sans" w:cs="Open Sans"/>
              </w:rPr>
              <w:t>Este Informativo, elaborado a partir de notas tomadas nas sessões de julgamento, contém resumos não oficiais de decisões proferidas pelo Tribunal</w:t>
            </w:r>
            <w:r w:rsidR="00C26DAC">
              <w:rPr>
                <w:rFonts w:ascii="Open Sans" w:hAnsi="Open Sans" w:cs="Open Sans"/>
              </w:rPr>
              <w:t xml:space="preserve"> Superior do Trabalho</w:t>
            </w:r>
            <w:r w:rsidRPr="003509A3">
              <w:rPr>
                <w:rFonts w:ascii="Open Sans" w:hAnsi="Open Sans" w:cs="Open Sans"/>
              </w:rPr>
              <w:t>. A fidelidade dos resumos ao conteúdo efetivo das decisões, embora seja uma das metas perseguidas neste trabalho, somente poderá ser aferida após a sua publicação no Diário Eletrônico da Justiça do Trabalho.</w:t>
            </w:r>
          </w:p>
          <w:p w:rsidR="009E652F" w:rsidRPr="003509A3" w:rsidRDefault="009E652F" w:rsidP="009E652F">
            <w:pPr>
              <w:pStyle w:val="Cabealho"/>
              <w:tabs>
                <w:tab w:val="clear" w:pos="4419"/>
                <w:tab w:val="clear" w:pos="8838"/>
              </w:tabs>
              <w:ind w:left="-70" w:right="-70"/>
              <w:jc w:val="both"/>
              <w:rPr>
                <w:rFonts w:ascii="Open Sans" w:hAnsi="Open Sans" w:cs="Open Sans"/>
              </w:rPr>
            </w:pPr>
          </w:p>
        </w:tc>
      </w:tr>
    </w:tbl>
    <w:p w:rsidR="001A7589" w:rsidRPr="003509A3" w:rsidRDefault="00C160C2" w:rsidP="00067B05">
      <w:pPr>
        <w:pStyle w:val="Ttulo1"/>
        <w:tabs>
          <w:tab w:val="center" w:pos="4606"/>
          <w:tab w:val="left" w:pos="8252"/>
        </w:tabs>
        <w:spacing w:before="0"/>
        <w:ind w:left="-227" w:right="369"/>
        <w:jc w:val="left"/>
      </w:pPr>
      <w:r>
        <w:tab/>
      </w:r>
      <w:r w:rsidR="002518B4">
        <w:t>TRIBUNAL PLENO</w:t>
      </w:r>
      <w:r>
        <w:tab/>
      </w:r>
    </w:p>
    <w:p w:rsidR="00E11FBC" w:rsidRDefault="00E11FBC" w:rsidP="00D75606">
      <w:pPr>
        <w:suppressAutoHyphens/>
        <w:ind w:left="-227" w:right="340"/>
        <w:jc w:val="both"/>
        <w:rPr>
          <w:rFonts w:ascii="Open Sans" w:hAnsi="Open Sans" w:cs="Open Sans"/>
          <w:color w:val="000000"/>
          <w:sz w:val="24"/>
          <w:szCs w:val="24"/>
        </w:rPr>
      </w:pPr>
    </w:p>
    <w:p w:rsidR="00E11FBC" w:rsidRPr="000E4F43" w:rsidRDefault="001D461C" w:rsidP="009C2D07">
      <w:pPr>
        <w:suppressAutoHyphens/>
        <w:ind w:left="-255" w:right="340"/>
        <w:jc w:val="both"/>
        <w:rPr>
          <w:rFonts w:ascii="Open Sans" w:hAnsi="Open Sans" w:cs="Open Sans"/>
          <w:sz w:val="24"/>
          <w:szCs w:val="24"/>
        </w:rPr>
      </w:pPr>
      <w:r w:rsidRPr="000E4F43">
        <w:rPr>
          <w:rFonts w:ascii="Open Sans" w:hAnsi="Open Sans" w:cs="Open Sans"/>
          <w:sz w:val="24"/>
          <w:szCs w:val="24"/>
        </w:rPr>
        <w:t>“</w:t>
      </w:r>
      <w:r w:rsidRPr="000E4F43">
        <w:rPr>
          <w:rFonts w:ascii="Open Sans" w:hAnsi="Open Sans" w:cs="Open Sans"/>
          <w:b/>
          <w:sz w:val="24"/>
          <w:szCs w:val="24"/>
        </w:rPr>
        <w:t>INCIDENTE DE RECURSOS DE REVISTA E DE EMBARGOS REPETITIVOS. TEMA Nº 101. ADICIONAL DE PERICULOSIDADE. ART. 193, § 4º, DA CLT. NORMA AUTOAPLICÁVEL. DESNECESSIDADE DE NORMA REGULAMENTAR PARA FRUIÇÃO DO DIREITO. COMPETÊNCIA RESIDUAL DO PODER EXECUTIVO PARA EXCEPCIONAR A PERICULOSIDADE DA ATIVIDADE EM HIPÓTESES ESPECÍFICAS LISTADAS PELO MINISTÉRIO DO TRABALHO E EMPREGO. ENQUADRAMENTO PATRONAL NAS EXCEÇÕES. LAUDO TÉCNICO. NECESSIDADE.</w:t>
      </w:r>
      <w:r w:rsidRPr="000E4F43">
        <w:rPr>
          <w:rFonts w:ascii="Open Sans" w:hAnsi="Open Sans" w:cs="Open Sans"/>
          <w:sz w:val="24"/>
          <w:szCs w:val="24"/>
        </w:rPr>
        <w:t xml:space="preserve"> O presente incidente de recurso repetitivo versa sobre a questão relativa à aplicabilidade do art. 193, § 4º, da CLT, a fim de definir a seguinte questão afetada ao Pleno do TST: ‘O pagamento do adicional de periculosidade ao empregado motociclista, previsto no art. 193, § 4º, da CLT, está condicionado à regulamentação da matéria pelo Ministério do Trabalho e </w:t>
      </w:r>
      <w:proofErr w:type="gramStart"/>
      <w:r w:rsidRPr="000E4F43">
        <w:rPr>
          <w:rFonts w:ascii="Open Sans" w:hAnsi="Open Sans" w:cs="Open Sans"/>
          <w:sz w:val="24"/>
          <w:szCs w:val="24"/>
        </w:rPr>
        <w:t>Emprego?</w:t>
      </w:r>
      <w:proofErr w:type="gramEnd"/>
      <w:r w:rsidRPr="000E4F43">
        <w:rPr>
          <w:rFonts w:ascii="Open Sans" w:hAnsi="Open Sans" w:cs="Open Sans"/>
          <w:sz w:val="24"/>
          <w:szCs w:val="24"/>
        </w:rPr>
        <w:t xml:space="preserve">’ Analisada a questão, conclui-se que o art. 193, § 4º, da CLT é norma autoaplicável e não depende de regulamentação adicional para surtir efeitos práticos no ordenamento. Nesse contexto, cabe ao Poder Executivo tão somente as especificações gerais sobre as atividades perigosas conexas ao uso da motocicleta em trabalho, a exemplo do que foi feito nos itens 3.1 e 3.2 da atual Portaria nº 2.021/2025. Ali, por exemplo, há uma listagem oficial de hipóteses excepcionais cujo adicional de periculosidade não é justificado em termos técnicos, diante da ausência concreta do risco acentuado para o trabalhador. Também nesse documento oficial é direcionado ao empregador o encargo administrativo de produzir estudo técnico, com laudo exarado por Médico do Trabalho ou Engenheiro de Segurança do Trabalho, nos termos do 195 da CLT e do item 16.3 da NR-16 (previsão contida no item 4.1 da Portaria 2.021/2025), quando pretenda a sua inclusão no rol excepcional constante da norma regulamentar. Ou seja, em regra é devido o adicional de periculosidade a todo trabalhador que utiliza motocicleta em vias públicas para a execução de suas atividades laborais, de forma </w:t>
      </w:r>
      <w:proofErr w:type="gramStart"/>
      <w:r w:rsidRPr="000E4F43">
        <w:rPr>
          <w:rFonts w:ascii="Open Sans" w:hAnsi="Open Sans" w:cs="Open Sans"/>
          <w:sz w:val="24"/>
          <w:szCs w:val="24"/>
        </w:rPr>
        <w:lastRenderedPageBreak/>
        <w:t>não</w:t>
      </w:r>
      <w:proofErr w:type="gramEnd"/>
      <w:r w:rsidRPr="000E4F43">
        <w:rPr>
          <w:rFonts w:ascii="Open Sans" w:hAnsi="Open Sans" w:cs="Open Sans"/>
          <w:sz w:val="24"/>
          <w:szCs w:val="24"/>
        </w:rPr>
        <w:t xml:space="preserve"> eventual e/ou por tempo não considerado ínfimo, aplicando-se direta e imediatamente o art. 193, § 4º, da CLT, salvo prova de enquadramento patronal nas exceções listadas por norma regulamentar que trate da matéria. Em síntese, fixadas as premissas deste julgamento, a tese vinculante firmada pelo Pleno do TST contempla as seguintes diretrizes: 1) O art. 193, § 4º, da CLT é norma autoaplicável e garante o direito ao adicional de periculosidade a todos os trabalhadores que executam atividade laboral com o uso de motocicletas em vias públicas; 2) A exceção ao enquadramento legal da atividade com uso de motocicleta como perigosa, desde que previamente disciplinada por norma regulamentadora do Ministério do Trabalho e Emprego, deve ser formalizada por laudo técnico lavrado por Médico do Trabalho ou Engenheiro de Segurança do Trabalho, nos termos do artigo 195 da CLT e do item 16.3 da NR-16; 3) O enquadramento do empregador nas exceções disciplinadas por norma regulamentadora não terá efeitos retroativos, nem enseja repetição de valores já pagos ao trabalhador; 4) Em juízo, a prova da exceção ao enquadramento legal incumbe à parte que a alegar, observado o item anterior, no tocante à irretroatividade e à ausência de direito à repetição de valores pagos ao trabalhador no curso da contratualidade. </w:t>
      </w:r>
      <w:r w:rsidRPr="000E4F43">
        <w:rPr>
          <w:rFonts w:ascii="Open Sans" w:hAnsi="Open Sans" w:cs="Open Sans"/>
          <w:bCs/>
          <w:sz w:val="24"/>
          <w:szCs w:val="24"/>
        </w:rPr>
        <w:t xml:space="preserve">Incidente de Recursos de Revista e de Embargos Repetitivos conhecido, com fixação, no mérito, de tese vinculante sobre o tema afetado. </w:t>
      </w:r>
      <w:r w:rsidRPr="000E4F43">
        <w:rPr>
          <w:rFonts w:ascii="Open Sans" w:hAnsi="Open Sans" w:cs="Open Sans"/>
          <w:b/>
          <w:bCs/>
          <w:sz w:val="24"/>
          <w:szCs w:val="24"/>
        </w:rPr>
        <w:t xml:space="preserve">CASO PARADIGMA (PROCESSO Nº 0000229-71.2024.5.21.0013). IMPEDIMENTO DO RELATOR DO INCIDENTE. REDISTRIBUIÇÃO DOS AUTOS. </w:t>
      </w:r>
      <w:r w:rsidRPr="000E4F43">
        <w:rPr>
          <w:rFonts w:ascii="Open Sans" w:hAnsi="Open Sans" w:cs="Open Sans"/>
          <w:sz w:val="24"/>
          <w:szCs w:val="24"/>
        </w:rPr>
        <w:t xml:space="preserve">Fixada a tese pelo Pleno, mas verificado o impedimento do relator do incidente para julgamento do caso paradigma, redistribuam-se os autos para prosseguimento do feito. </w:t>
      </w:r>
      <w:proofErr w:type="gramStart"/>
      <w:r w:rsidRPr="000E4F43">
        <w:rPr>
          <w:rFonts w:ascii="Open Sans" w:hAnsi="Open Sans" w:cs="Open Sans"/>
          <w:bCs/>
          <w:sz w:val="24"/>
          <w:szCs w:val="24"/>
        </w:rPr>
        <w:t>Redistribuído o processo por impedimento do relator do incidente.”</w:t>
      </w:r>
      <w:proofErr w:type="gramEnd"/>
      <w:r w:rsidRPr="000E4F43">
        <w:rPr>
          <w:rFonts w:ascii="Open Sans" w:hAnsi="Open Sans" w:cs="Open Sans"/>
          <w:sz w:val="24"/>
          <w:szCs w:val="24"/>
        </w:rPr>
        <w:t xml:space="preserve"> </w:t>
      </w:r>
      <w:hyperlink r:id="rId8" w:anchor="5ff2790" w:history="1">
        <w:r w:rsidR="00E11FBC" w:rsidRPr="000E4F43">
          <w:rPr>
            <w:rStyle w:val="Hyperlink"/>
            <w:rFonts w:ascii="Open Sans" w:hAnsi="Open Sans" w:cs="Open Sans"/>
            <w:sz w:val="24"/>
            <w:szCs w:val="24"/>
          </w:rPr>
          <w:t xml:space="preserve">TST- </w:t>
        </w:r>
        <w:proofErr w:type="spellStart"/>
        <w:r w:rsidRPr="000E4F43">
          <w:rPr>
            <w:rStyle w:val="Hyperlink"/>
            <w:rFonts w:ascii="Open Sans" w:hAnsi="Open Sans" w:cs="Open Sans"/>
            <w:sz w:val="24"/>
            <w:szCs w:val="24"/>
          </w:rPr>
          <w:t>IncJulgRREmbRep</w:t>
        </w:r>
        <w:proofErr w:type="spellEnd"/>
        <w:r w:rsidRPr="000E4F43">
          <w:rPr>
            <w:rStyle w:val="Hyperlink"/>
            <w:rFonts w:ascii="Open Sans" w:hAnsi="Open Sans" w:cs="Open Sans"/>
            <w:sz w:val="24"/>
            <w:szCs w:val="24"/>
          </w:rPr>
          <w:t xml:space="preserve"> - 00000229-71.2024.5.21.0013</w:t>
        </w:r>
        <w:r w:rsidR="00C26DAC" w:rsidRPr="000E4F43">
          <w:rPr>
            <w:rStyle w:val="Hyperlink"/>
            <w:rFonts w:ascii="Open Sans" w:hAnsi="Open Sans" w:cs="Open Sans"/>
            <w:sz w:val="24"/>
            <w:szCs w:val="24"/>
          </w:rPr>
          <w:t>, Tribunal Pleno, R</w:t>
        </w:r>
        <w:r w:rsidR="00E11FBC" w:rsidRPr="000E4F43">
          <w:rPr>
            <w:rStyle w:val="Hyperlink"/>
            <w:rFonts w:ascii="Open Sans" w:hAnsi="Open Sans" w:cs="Open Sans"/>
            <w:sz w:val="24"/>
            <w:szCs w:val="24"/>
          </w:rPr>
          <w:t xml:space="preserve">el. Min. </w:t>
        </w:r>
        <w:r w:rsidRPr="000E4F43">
          <w:rPr>
            <w:rStyle w:val="Hyperlink"/>
            <w:rFonts w:ascii="Open Sans" w:hAnsi="Open Sans" w:cs="Open Sans"/>
            <w:sz w:val="24"/>
            <w:szCs w:val="24"/>
          </w:rPr>
          <w:t>Breno Medeiros, julgado em 17/4</w:t>
        </w:r>
        <w:r w:rsidR="00F2760B" w:rsidRPr="000E4F43">
          <w:rPr>
            <w:rStyle w:val="Hyperlink"/>
            <w:rFonts w:ascii="Open Sans" w:hAnsi="Open Sans" w:cs="Open Sans"/>
            <w:sz w:val="24"/>
            <w:szCs w:val="24"/>
          </w:rPr>
          <w:t>/2026</w:t>
        </w:r>
        <w:r w:rsidR="00E11FBC" w:rsidRPr="000E4F43">
          <w:rPr>
            <w:rStyle w:val="Hyperlink"/>
            <w:rFonts w:ascii="Open Sans" w:hAnsi="Open Sans" w:cs="Open Sans"/>
            <w:sz w:val="24"/>
            <w:szCs w:val="24"/>
          </w:rPr>
          <w:t>.</w:t>
        </w:r>
      </w:hyperlink>
    </w:p>
    <w:p w:rsidR="00F2760B" w:rsidRPr="000E4F43" w:rsidRDefault="00F2760B" w:rsidP="009C2D07">
      <w:pPr>
        <w:suppressAutoHyphens/>
        <w:ind w:left="-255" w:right="340"/>
        <w:jc w:val="both"/>
        <w:rPr>
          <w:rFonts w:ascii="Open Sans" w:hAnsi="Open Sans" w:cs="Open Sans"/>
          <w:color w:val="000000"/>
          <w:sz w:val="24"/>
          <w:szCs w:val="24"/>
        </w:rPr>
      </w:pPr>
    </w:p>
    <w:p w:rsidR="00F2760B" w:rsidRPr="000E4F43" w:rsidRDefault="00A2004B" w:rsidP="009C2D07">
      <w:pPr>
        <w:suppressAutoHyphens/>
        <w:ind w:left="-255" w:right="340"/>
        <w:jc w:val="both"/>
        <w:rPr>
          <w:rStyle w:val="Hyperlink"/>
          <w:rFonts w:ascii="Open Sans" w:hAnsi="Open Sans" w:cs="Open Sans"/>
          <w:color w:val="000000"/>
          <w:sz w:val="24"/>
          <w:szCs w:val="24"/>
          <w:u w:val="none"/>
        </w:rPr>
      </w:pPr>
      <w:r w:rsidRPr="000E4F43">
        <w:rPr>
          <w:rFonts w:ascii="Open Sans" w:hAnsi="Open Sans" w:cs="Open Sans"/>
          <w:color w:val="000000"/>
          <w:sz w:val="24"/>
          <w:szCs w:val="24"/>
        </w:rPr>
        <w:t>“</w:t>
      </w:r>
      <w:r w:rsidRPr="000E4F43">
        <w:rPr>
          <w:rFonts w:ascii="Open Sans" w:hAnsi="Open Sans" w:cs="Open Sans"/>
          <w:b/>
          <w:color w:val="000000"/>
          <w:sz w:val="24"/>
          <w:szCs w:val="24"/>
        </w:rPr>
        <w:t xml:space="preserve">AGRAVO EM PETIÇÃO EM INCIDENTE DE SUPERAÇÃO DE TESE FIRMA EM IAC. </w:t>
      </w:r>
      <w:r w:rsidRPr="000E4F43">
        <w:rPr>
          <w:rFonts w:ascii="Open Sans" w:hAnsi="Open Sans" w:cs="Open Sans"/>
          <w:b/>
          <w:i/>
          <w:color w:val="000000"/>
          <w:sz w:val="24"/>
          <w:szCs w:val="24"/>
        </w:rPr>
        <w:t xml:space="preserve">AMICUS </w:t>
      </w:r>
      <w:proofErr w:type="gramStart"/>
      <w:r w:rsidRPr="000E4F43">
        <w:rPr>
          <w:rFonts w:ascii="Open Sans" w:hAnsi="Open Sans" w:cs="Open Sans"/>
          <w:b/>
          <w:i/>
          <w:color w:val="000000"/>
          <w:sz w:val="24"/>
          <w:szCs w:val="24"/>
        </w:rPr>
        <w:t>CURIAE</w:t>
      </w:r>
      <w:r w:rsidRPr="000E4F43">
        <w:rPr>
          <w:rFonts w:ascii="Open Sans" w:hAnsi="Open Sans" w:cs="Open Sans"/>
          <w:b/>
          <w:color w:val="000000"/>
          <w:sz w:val="24"/>
          <w:szCs w:val="24"/>
        </w:rPr>
        <w:t xml:space="preserve"> .</w:t>
      </w:r>
      <w:proofErr w:type="gramEnd"/>
      <w:r w:rsidRPr="000E4F43">
        <w:rPr>
          <w:rFonts w:ascii="Open Sans" w:hAnsi="Open Sans" w:cs="Open Sans"/>
          <w:b/>
          <w:color w:val="000000"/>
          <w:sz w:val="24"/>
          <w:szCs w:val="24"/>
        </w:rPr>
        <w:t xml:space="preserve"> REJEIÇÃO. IRRECORRIBILIDADE</w:t>
      </w:r>
      <w:r w:rsidRPr="000E4F43">
        <w:rPr>
          <w:rFonts w:ascii="Open Sans" w:hAnsi="Open Sans" w:cs="Open Sans"/>
          <w:color w:val="000000"/>
          <w:sz w:val="24"/>
          <w:szCs w:val="24"/>
        </w:rPr>
        <w:t xml:space="preserve">. Considerando que o ingresso do </w:t>
      </w:r>
      <w:proofErr w:type="spellStart"/>
      <w:r w:rsidRPr="000E4F43">
        <w:rPr>
          <w:rFonts w:ascii="Open Sans" w:hAnsi="Open Sans" w:cs="Open Sans"/>
          <w:i/>
          <w:color w:val="000000"/>
          <w:sz w:val="24"/>
          <w:szCs w:val="24"/>
        </w:rPr>
        <w:t>amicus</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curiae</w:t>
      </w:r>
      <w:proofErr w:type="spellEnd"/>
      <w:r w:rsidRPr="000E4F43">
        <w:rPr>
          <w:rFonts w:ascii="Open Sans" w:hAnsi="Open Sans" w:cs="Open Sans"/>
          <w:color w:val="000000"/>
          <w:sz w:val="24"/>
          <w:szCs w:val="24"/>
        </w:rPr>
        <w:t xml:space="preserve"> está inserido nas faculdades exclusivas do relator, e dada a sua natureza colaborativa, nos termos do art. 138 do CPC, a decisão sobre a intervenção do </w:t>
      </w:r>
      <w:proofErr w:type="spellStart"/>
      <w:r w:rsidRPr="000E4F43">
        <w:rPr>
          <w:rFonts w:ascii="Open Sans" w:hAnsi="Open Sans" w:cs="Open Sans"/>
          <w:color w:val="000000"/>
          <w:sz w:val="24"/>
          <w:szCs w:val="24"/>
        </w:rPr>
        <w:t>a</w:t>
      </w:r>
      <w:r w:rsidRPr="000E4F43">
        <w:rPr>
          <w:rFonts w:ascii="Open Sans" w:hAnsi="Open Sans" w:cs="Open Sans"/>
          <w:i/>
          <w:color w:val="000000"/>
          <w:sz w:val="24"/>
          <w:szCs w:val="24"/>
        </w:rPr>
        <w:t>micus</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curiae</w:t>
      </w:r>
      <w:proofErr w:type="spellEnd"/>
      <w:r w:rsidRPr="000E4F43">
        <w:rPr>
          <w:rFonts w:ascii="Open Sans" w:hAnsi="Open Sans" w:cs="Open Sans"/>
          <w:color w:val="000000"/>
          <w:sz w:val="24"/>
          <w:szCs w:val="24"/>
        </w:rPr>
        <w:t xml:space="preserve"> , admitindo-a ou não, é irrecorrível. Precedentes. Agravo não conhecido. </w:t>
      </w:r>
      <w:r w:rsidRPr="000E4F43">
        <w:rPr>
          <w:rFonts w:ascii="Open Sans" w:hAnsi="Open Sans" w:cs="Open Sans"/>
          <w:b/>
          <w:color w:val="000000"/>
          <w:sz w:val="24"/>
          <w:szCs w:val="24"/>
        </w:rPr>
        <w:t>INCIDENTE DE SUPERAÇÃO DA TESE VINCULANTE FIRMADA NO IAC-5639-31.2013.5.12.0051 ANTE A TESE VINCULANTE FIXADA PELO STF NOS AUTOS DO RE Nº 842.844/SC (TEMA DE REPERCUSSÃO GERAL Nº 542).</w:t>
      </w:r>
      <w:r w:rsidRPr="000E4F43">
        <w:rPr>
          <w:rFonts w:ascii="Open Sans" w:hAnsi="Open Sans" w:cs="Open Sans"/>
          <w:color w:val="000000"/>
          <w:sz w:val="24"/>
          <w:szCs w:val="24"/>
        </w:rPr>
        <w:t xml:space="preserve"> O presente incidente de superação de precedente vinculante no âmbito desta Corte Superior é cabível, nos termos do art. 299 do RITST, que disciplina a instauração da medida ‘sempre que os Ministros da Corte entenderem que a tese vinculante já não reflete mais a adequada compreensão do fenômeno jurídico subjacente, tendo em vista razões de ordem social, econômica e política, bem como por alteração do parâmetro constitucional ou legal em vigor na data de sua instauração.’ Na hipótese, o precedente vinculante cuja superação é deliberada por meio deste incidente é o IAC nº 5639-31.2013.5.12.0051, no qual se fixou a seguinte tese vinculante: ‘É inaplicável ao regime de trabalho temporário, disciplinado pela Lei n.º 6.019/74, a garantia de estabilidade provisória à empregada gestante, prevista no art. 10, II, b, do Ato das Disposições Constitucionais Transitórias.’ Em síntese, perscruta-se neste incidente a viabilidade da manutenção do entendimento desta Corte Superior em face do recente debate travado nos autos do RE nº 842.844/SC (Tema de Repercussão Geral nº 542). Ali, como se sabe, o Pretório </w:t>
      </w:r>
      <w:r w:rsidRPr="000E4F43">
        <w:rPr>
          <w:rFonts w:ascii="Open Sans" w:hAnsi="Open Sans" w:cs="Open Sans"/>
          <w:color w:val="000000"/>
          <w:sz w:val="24"/>
          <w:szCs w:val="24"/>
        </w:rPr>
        <w:lastRenderedPageBreak/>
        <w:t xml:space="preserve">Excelso firmou o entendimento de que: ‘A trabalhadora gestante tem direito ao gozo de licença-maternidade e à estabilidade provisória, independentemente do regime jurídico aplicável, se contratual ou administrativo, ainda que ocupe cargo em comissão ou seja contratada por tempo determinado.’ Firmadas as bases </w:t>
      </w:r>
      <w:proofErr w:type="gramStart"/>
      <w:r w:rsidRPr="000E4F43">
        <w:rPr>
          <w:rFonts w:ascii="Open Sans" w:hAnsi="Open Sans" w:cs="Open Sans"/>
          <w:color w:val="000000"/>
          <w:sz w:val="24"/>
          <w:szCs w:val="24"/>
        </w:rPr>
        <w:t>de</w:t>
      </w:r>
      <w:proofErr w:type="gramEnd"/>
      <w:r w:rsidRPr="000E4F43">
        <w:rPr>
          <w:rFonts w:ascii="Open Sans" w:hAnsi="Open Sans" w:cs="Open Sans"/>
          <w:color w:val="000000"/>
          <w:sz w:val="24"/>
          <w:szCs w:val="24"/>
        </w:rPr>
        <w:t xml:space="preserve"> compreensão do incidente em exame, cumpre adiante examinar o caso paradigma do STF, a fim de verificar a amplitude do precedente firmado, bem como a sua aderência ao caso paradigma que deu origem ao precedente desta Corte. No IAC nº 5639-31.2013.5.12.0051, como se sabe, a discussão envolveu o trabalho temporário, firmado com base na Lei nº 6.019/1974, no qual o contrato de trabalho possui uma natureza transitória e visa ao preenchimento de vagas no estabelecimento contratante em decorrência de acréscimo extraordinário de demanda ou causas transitórias de substituição da força de trabalho. Já no precedente do STF, discutiu-se o direito à licença-maternidade e estabilidade da gestante em um contrato por prazo determinado firmado com a administração pública. Ali, a decisão originária do Tribunal de Justiça de Santa Catarina foi rescindida para assegurar à autora tal direito, sob a fundamentação de que ‘independente da condição de contrato por tempo determinado, há um fato superveniente, a gravidez, que combinado com a condição de não ter dado causa à rescisão, garante-lhe a outorga da estabilidade provisória e do benefício da licença-maternidade, por força da Constituição’. Percebe-se, pois, que ambos os casos tratam de regimes jurídicos virtualmente distintos, o que precisa ser enfrentado para fins de fixar a compatibilidade daquele precedente com a decisão proferida pelo próprio Supremo Tribunal Federal em outro tema de repercussão geral, qual seja, o Tema nº 497. Nesse precedente, a tese vinculante fixada foi a seguinte: ‘A incidência da estabilidade prevista no art. 10, inc. II, do ADCT, somente exige a anterioridade da gravidez à dispensa sem justa </w:t>
      </w:r>
      <w:proofErr w:type="gramStart"/>
      <w:r w:rsidRPr="000E4F43">
        <w:rPr>
          <w:rFonts w:ascii="Open Sans" w:hAnsi="Open Sans" w:cs="Open Sans"/>
          <w:color w:val="000000"/>
          <w:sz w:val="24"/>
          <w:szCs w:val="24"/>
        </w:rPr>
        <w:t>causa.</w:t>
      </w:r>
      <w:proofErr w:type="gramEnd"/>
      <w:r w:rsidRPr="000E4F43">
        <w:rPr>
          <w:rFonts w:ascii="Open Sans" w:hAnsi="Open Sans" w:cs="Open Sans"/>
          <w:color w:val="000000"/>
          <w:sz w:val="24"/>
          <w:szCs w:val="24"/>
        </w:rPr>
        <w:t xml:space="preserve">’ Ocorre que, mesmo diante de tal entendimento jurídico, o TST vinha mantendo hígida a aplicabilidade da tese firmada no IAC-5639-31.2013.5.12.0051, sob a justificativa de que, ali, não se examinou a questão jurídica sob o enfoque do vínculo temporário, exatamente porque em tal liame contratual regido pela Lei nº 6.019/1974 o encerramento do vínculo não se dá ordinariamente por dispensa (com ou sem justa causa), mas sim pelo próprio decurso do tempo estabelecido para vigência do contrato, sem perspectiva de efetivação no emprego. Ocorre que a nova tese firmada pelo Supremo Tribunal Federal afigura-se mais abrangente, e versa sobre hipótese análoga àquela em que se verifica o vínculo temporário no ramo trabalhista. Isso porque a contratação temporária no serviço público, igualmente restrita nos termos da lei, sequer é passível de conversão em contrato por tempo indeterminado, como ocorre no ramo trabalhista quando ultrapassado o prazo de vigência e extensão das causas transitórias albergadas pela lei. É que, na seara da administração pública, as restrições impostas pelo art. 37, II e IX, e § 2º da Constituição Federal vedam qualquer tipo de formação de vínculo originário permanente com a administração pública que não seja decorrente de aprovação em concurso público para provimento de cargo efetivo, o que abrange não só a iniciação do vínculo, como também sua postergação ou conversão administrativa (vide, a título de exemplo, a jurisprudência que vedava, após 1988, a hoje extinta ascensão entre cargos públicos). Daí por que o precedente atual do STF (Tema de Repercussão Geral nº 542) inova e avança quanto ao tema, pois consagra o direito à estabilidade e ao gozo integral da licença-maternidade em contratos públicos aprazados, a exemplo de </w:t>
      </w:r>
      <w:r w:rsidRPr="000E4F43">
        <w:rPr>
          <w:rFonts w:ascii="Open Sans" w:hAnsi="Open Sans" w:cs="Open Sans"/>
          <w:color w:val="000000"/>
          <w:sz w:val="24"/>
          <w:szCs w:val="24"/>
        </w:rPr>
        <w:lastRenderedPageBreak/>
        <w:t xml:space="preserve">emprego público previsto na Lei nº 9.962/2000, bem como em ocupações funcionais demissíveis </w:t>
      </w:r>
      <w:r w:rsidRPr="000C44DD">
        <w:rPr>
          <w:rFonts w:ascii="Open Sans" w:hAnsi="Open Sans" w:cs="Open Sans"/>
          <w:i/>
          <w:color w:val="000000"/>
          <w:sz w:val="24"/>
          <w:szCs w:val="24"/>
        </w:rPr>
        <w:t>ad nutum</w:t>
      </w:r>
      <w:r w:rsidRPr="000E4F43">
        <w:rPr>
          <w:rFonts w:ascii="Open Sans" w:hAnsi="Open Sans" w:cs="Open Sans"/>
          <w:color w:val="000000"/>
          <w:sz w:val="24"/>
          <w:szCs w:val="24"/>
        </w:rPr>
        <w:t xml:space="preserve">, como nos casos de cargos em comissão sem vínculo efetivo. Nesse contexto, conclui-se que o Pretório Excelso, reconhecendo tal amplitude ao direito previsto no art. 10, II, ‘b’, do ADCT, acabou por firmar a premissa jurídica de que a contratação por prazo determinado, em termos gerais e irrestritos, não exime a administração pública de respeitar o prazo da licença-maternidade e da estabilidade da gestante, para fins de encerramento do liame obrigacional com a trabalhadora. Ora, se isso foi fixado em face de um regramento bem mais restritivo como o da administração pública, não há como negar a mesma vigência ao direito constitucional nos casos de contratação privada. Tal constatação, como se verá, está em consonância com a própria linha de argumentação desenvolvida pelo STF, a qual opera como </w:t>
      </w:r>
      <w:proofErr w:type="spellStart"/>
      <w:r w:rsidRPr="000E4F43">
        <w:rPr>
          <w:rFonts w:ascii="Open Sans" w:hAnsi="Open Sans" w:cs="Open Sans"/>
          <w:i/>
          <w:color w:val="000000"/>
          <w:sz w:val="24"/>
          <w:szCs w:val="24"/>
        </w:rPr>
        <w:t>ratio</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decidendi</w:t>
      </w:r>
      <w:proofErr w:type="spellEnd"/>
      <w:r w:rsidRPr="000E4F43">
        <w:rPr>
          <w:rFonts w:ascii="Open Sans" w:hAnsi="Open Sans" w:cs="Open Sans"/>
          <w:color w:val="000000"/>
          <w:sz w:val="24"/>
          <w:szCs w:val="24"/>
        </w:rPr>
        <w:t xml:space="preserve"> do precedente ora examinado. A Corte constitucional partiu da premissa geral de que </w:t>
      </w:r>
      <w:r w:rsidR="00875812">
        <w:rPr>
          <w:rFonts w:ascii="Open Sans" w:hAnsi="Open Sans" w:cs="Open Sans"/>
          <w:color w:val="000000"/>
          <w:sz w:val="24"/>
          <w:szCs w:val="24"/>
        </w:rPr>
        <w:t>‘</w:t>
      </w:r>
      <w:r w:rsidRPr="000E4F43">
        <w:rPr>
          <w:rFonts w:ascii="Open Sans" w:hAnsi="Open Sans" w:cs="Open Sans"/>
          <w:color w:val="000000"/>
          <w:sz w:val="24"/>
          <w:szCs w:val="24"/>
        </w:rPr>
        <w:t xml:space="preserve">as medidas adotadas pelo Estado, como a proteção à maternidade, são de discriminação positiva, ou seja, não constituem prerrogativa injustificada ou abusiva, pois o Estado favorece as mães como forma de tratar as diferenças naturais e amplamente justas entre os </w:t>
      </w:r>
      <w:proofErr w:type="gramStart"/>
      <w:r w:rsidRPr="000E4F43">
        <w:rPr>
          <w:rFonts w:ascii="Open Sans" w:hAnsi="Open Sans" w:cs="Open Sans"/>
          <w:color w:val="000000"/>
          <w:sz w:val="24"/>
          <w:szCs w:val="24"/>
        </w:rPr>
        <w:t>sexos.</w:t>
      </w:r>
      <w:proofErr w:type="gramEnd"/>
      <w:r w:rsidR="00875812">
        <w:rPr>
          <w:rFonts w:ascii="Open Sans" w:hAnsi="Open Sans" w:cs="Open Sans"/>
          <w:color w:val="000000"/>
          <w:sz w:val="24"/>
          <w:szCs w:val="24"/>
        </w:rPr>
        <w:t>’</w:t>
      </w:r>
      <w:r w:rsidRPr="000E4F43">
        <w:rPr>
          <w:rFonts w:ascii="Open Sans" w:hAnsi="Open Sans" w:cs="Open Sans"/>
          <w:color w:val="000000"/>
          <w:sz w:val="24"/>
          <w:szCs w:val="24"/>
        </w:rPr>
        <w:t xml:space="preserve"> Daí por que, na visão daquele guardião constitucional, </w:t>
      </w:r>
      <w:r w:rsidR="00875812">
        <w:rPr>
          <w:rFonts w:ascii="Open Sans" w:hAnsi="Open Sans" w:cs="Open Sans"/>
          <w:color w:val="000000"/>
          <w:sz w:val="24"/>
          <w:szCs w:val="24"/>
        </w:rPr>
        <w:t>‘</w:t>
      </w:r>
      <w:r w:rsidRPr="000E4F43">
        <w:rPr>
          <w:rFonts w:ascii="Open Sans" w:hAnsi="Open Sans" w:cs="Open Sans"/>
          <w:color w:val="000000"/>
          <w:sz w:val="24"/>
          <w:szCs w:val="24"/>
        </w:rPr>
        <w:t>ao estabelecer a licença à gestante (ou licença maternidade) como um direito indisponível relativo ao repouso remunerado, o constituinte de 1988 impôs importantíssimo meio de proteção não só à mãe trabalhadora, mas, sobretudo, ao nascituro.</w:t>
      </w:r>
      <w:r w:rsidR="00875812">
        <w:rPr>
          <w:rFonts w:ascii="Open Sans" w:hAnsi="Open Sans" w:cs="Open Sans"/>
          <w:color w:val="000000"/>
          <w:sz w:val="24"/>
          <w:szCs w:val="24"/>
        </w:rPr>
        <w:t>’</w:t>
      </w:r>
      <w:r w:rsidRPr="000E4F43">
        <w:rPr>
          <w:rFonts w:ascii="Open Sans" w:hAnsi="Open Sans" w:cs="Open Sans"/>
          <w:color w:val="000000"/>
          <w:sz w:val="24"/>
          <w:szCs w:val="24"/>
        </w:rPr>
        <w:t xml:space="preserve"> Seguindo nessa linha de raciocínio, o STF demarcou também que </w:t>
      </w:r>
      <w:r w:rsidR="00875812">
        <w:rPr>
          <w:rFonts w:ascii="Open Sans" w:hAnsi="Open Sans" w:cs="Open Sans"/>
          <w:color w:val="000000"/>
          <w:sz w:val="24"/>
          <w:szCs w:val="24"/>
        </w:rPr>
        <w:t>‘</w:t>
      </w:r>
      <w:r w:rsidRPr="000E4F43">
        <w:rPr>
          <w:rFonts w:ascii="Open Sans" w:hAnsi="Open Sans" w:cs="Open Sans"/>
          <w:color w:val="000000"/>
          <w:sz w:val="24"/>
          <w:szCs w:val="24"/>
        </w:rPr>
        <w:t>além dos benefícios com relação à saúde infantil, o que foi explorado em diversos estudos recentes e com abrangência internacional sobre o tema (e.g. BREITKREUZ, R.; SØRENSEN, T. B.; TROSKE, K. R.</w:t>
      </w:r>
      <w:r w:rsidRPr="000E4F43">
        <w:rPr>
          <w:rFonts w:ascii="Open Sans" w:hAnsi="Open Sans" w:cs="Open Sans"/>
          <w:i/>
          <w:color w:val="000000"/>
          <w:sz w:val="24"/>
          <w:szCs w:val="24"/>
        </w:rPr>
        <w:t xml:space="preserve"> Does </w:t>
      </w:r>
      <w:proofErr w:type="spellStart"/>
      <w:r w:rsidRPr="000E4F43">
        <w:rPr>
          <w:rFonts w:ascii="Open Sans" w:hAnsi="Open Sans" w:cs="Open Sans"/>
          <w:i/>
          <w:color w:val="000000"/>
          <w:sz w:val="24"/>
          <w:szCs w:val="24"/>
        </w:rPr>
        <w:t>longer</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paid</w:t>
      </w:r>
      <w:proofErr w:type="spellEnd"/>
      <w:r w:rsidRPr="000E4F43">
        <w:rPr>
          <w:rFonts w:ascii="Open Sans" w:hAnsi="Open Sans" w:cs="Open Sans"/>
          <w:i/>
          <w:color w:val="000000"/>
          <w:sz w:val="24"/>
          <w:szCs w:val="24"/>
        </w:rPr>
        <w:t xml:space="preserve"> parental </w:t>
      </w:r>
      <w:proofErr w:type="spellStart"/>
      <w:r w:rsidRPr="000E4F43">
        <w:rPr>
          <w:rFonts w:ascii="Open Sans" w:hAnsi="Open Sans" w:cs="Open Sans"/>
          <w:i/>
          <w:color w:val="000000"/>
          <w:sz w:val="24"/>
          <w:szCs w:val="24"/>
        </w:rPr>
        <w:t>leave</w:t>
      </w:r>
      <w:proofErr w:type="spellEnd"/>
      <w:r w:rsidRPr="000E4F43">
        <w:rPr>
          <w:rFonts w:ascii="Open Sans" w:hAnsi="Open Sans" w:cs="Open Sans"/>
          <w:i/>
          <w:color w:val="000000"/>
          <w:sz w:val="24"/>
          <w:szCs w:val="24"/>
        </w:rPr>
        <w:t xml:space="preserve"> improve </w:t>
      </w:r>
      <w:proofErr w:type="spellStart"/>
      <w:r w:rsidRPr="000E4F43">
        <w:rPr>
          <w:rFonts w:ascii="Open Sans" w:hAnsi="Open Sans" w:cs="Open Sans"/>
          <w:i/>
          <w:color w:val="000000"/>
          <w:sz w:val="24"/>
          <w:szCs w:val="24"/>
        </w:rPr>
        <w:t>child</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outcomes</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Evidence</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from</w:t>
      </w:r>
      <w:proofErr w:type="spellEnd"/>
      <w:r w:rsidRPr="000E4F43">
        <w:rPr>
          <w:rFonts w:ascii="Open Sans" w:hAnsi="Open Sans" w:cs="Open Sans"/>
          <w:i/>
          <w:color w:val="000000"/>
          <w:sz w:val="24"/>
          <w:szCs w:val="24"/>
        </w:rPr>
        <w:t xml:space="preserve"> a </w:t>
      </w:r>
      <w:proofErr w:type="spellStart"/>
      <w:r w:rsidRPr="000E4F43">
        <w:rPr>
          <w:rFonts w:ascii="Open Sans" w:hAnsi="Open Sans" w:cs="Open Sans"/>
          <w:i/>
          <w:color w:val="000000"/>
          <w:sz w:val="24"/>
          <w:szCs w:val="24"/>
        </w:rPr>
        <w:t>large-scale</w:t>
      </w:r>
      <w:proofErr w:type="spellEnd"/>
      <w:r w:rsidRPr="000E4F43">
        <w:rPr>
          <w:rFonts w:ascii="Open Sans" w:hAnsi="Open Sans" w:cs="Open Sans"/>
          <w:i/>
          <w:color w:val="000000"/>
          <w:sz w:val="24"/>
          <w:szCs w:val="24"/>
        </w:rPr>
        <w:t xml:space="preserve"> reform. </w:t>
      </w:r>
      <w:proofErr w:type="spellStart"/>
      <w:r w:rsidRPr="000E4F43">
        <w:rPr>
          <w:rFonts w:ascii="Open Sans" w:hAnsi="Open Sans" w:cs="Open Sans"/>
          <w:i/>
          <w:color w:val="000000"/>
          <w:sz w:val="24"/>
          <w:szCs w:val="24"/>
        </w:rPr>
        <w:t>Journal</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of</w:t>
      </w:r>
      <w:proofErr w:type="spellEnd"/>
      <w:r w:rsidRPr="000E4F43">
        <w:rPr>
          <w:rFonts w:ascii="Open Sans" w:hAnsi="Open Sans" w:cs="Open Sans"/>
          <w:i/>
          <w:color w:val="000000"/>
          <w:sz w:val="24"/>
          <w:szCs w:val="24"/>
        </w:rPr>
        <w:t xml:space="preserve"> Health </w:t>
      </w:r>
      <w:proofErr w:type="spellStart"/>
      <w:r w:rsidRPr="000E4F43">
        <w:rPr>
          <w:rFonts w:ascii="Open Sans" w:hAnsi="Open Sans" w:cs="Open Sans"/>
          <w:i/>
          <w:color w:val="000000"/>
          <w:sz w:val="24"/>
          <w:szCs w:val="24"/>
        </w:rPr>
        <w:t>Economics</w:t>
      </w:r>
      <w:proofErr w:type="spellEnd"/>
      <w:r w:rsidRPr="000E4F43">
        <w:rPr>
          <w:rFonts w:ascii="Open Sans" w:hAnsi="Open Sans" w:cs="Open Sans"/>
          <w:color w:val="000000"/>
          <w:sz w:val="24"/>
          <w:szCs w:val="24"/>
        </w:rPr>
        <w:t xml:space="preserve">, v. 76, p. 102481, 2021; MAESTRIPERI, D.; RONEY, J. R. </w:t>
      </w:r>
      <w:r w:rsidRPr="000E4F43">
        <w:rPr>
          <w:rFonts w:ascii="Open Sans" w:hAnsi="Open Sans" w:cs="Open Sans"/>
          <w:i/>
          <w:color w:val="000000"/>
          <w:sz w:val="24"/>
          <w:szCs w:val="24"/>
        </w:rPr>
        <w:t xml:space="preserve">The </w:t>
      </w:r>
      <w:proofErr w:type="spellStart"/>
      <w:r w:rsidRPr="000E4F43">
        <w:rPr>
          <w:rFonts w:ascii="Open Sans" w:hAnsi="Open Sans" w:cs="Open Sans"/>
          <w:i/>
          <w:color w:val="000000"/>
          <w:sz w:val="24"/>
          <w:szCs w:val="24"/>
        </w:rPr>
        <w:t>effects</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of</w:t>
      </w:r>
      <w:proofErr w:type="spellEnd"/>
      <w:r w:rsidRPr="000E4F43">
        <w:rPr>
          <w:rFonts w:ascii="Open Sans" w:hAnsi="Open Sans" w:cs="Open Sans"/>
          <w:i/>
          <w:color w:val="000000"/>
          <w:sz w:val="24"/>
          <w:szCs w:val="24"/>
        </w:rPr>
        <w:t xml:space="preserve"> maternal </w:t>
      </w:r>
      <w:proofErr w:type="spellStart"/>
      <w:r w:rsidRPr="000E4F43">
        <w:rPr>
          <w:rFonts w:ascii="Open Sans" w:hAnsi="Open Sans" w:cs="Open Sans"/>
          <w:i/>
          <w:color w:val="000000"/>
          <w:sz w:val="24"/>
          <w:szCs w:val="24"/>
        </w:rPr>
        <w:t>employment</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and</w:t>
      </w:r>
      <w:proofErr w:type="spellEnd"/>
      <w:r w:rsidRPr="000E4F43">
        <w:rPr>
          <w:rFonts w:ascii="Open Sans" w:hAnsi="Open Sans" w:cs="Open Sans"/>
          <w:i/>
          <w:color w:val="000000"/>
          <w:sz w:val="24"/>
          <w:szCs w:val="24"/>
        </w:rPr>
        <w:t xml:space="preserve"> parental </w:t>
      </w:r>
      <w:proofErr w:type="spellStart"/>
      <w:r w:rsidRPr="000E4F43">
        <w:rPr>
          <w:rFonts w:ascii="Open Sans" w:hAnsi="Open Sans" w:cs="Open Sans"/>
          <w:i/>
          <w:color w:val="000000"/>
          <w:sz w:val="24"/>
          <w:szCs w:val="24"/>
        </w:rPr>
        <w:t>leave</w:t>
      </w:r>
      <w:proofErr w:type="spellEnd"/>
      <w:r w:rsidRPr="000E4F43">
        <w:rPr>
          <w:rFonts w:ascii="Open Sans" w:hAnsi="Open Sans" w:cs="Open Sans"/>
          <w:i/>
          <w:color w:val="000000"/>
          <w:sz w:val="24"/>
          <w:szCs w:val="24"/>
        </w:rPr>
        <w:t xml:space="preserve"> policies </w:t>
      </w:r>
      <w:proofErr w:type="spellStart"/>
      <w:r w:rsidRPr="000E4F43">
        <w:rPr>
          <w:rFonts w:ascii="Open Sans" w:hAnsi="Open Sans" w:cs="Open Sans"/>
          <w:i/>
          <w:color w:val="000000"/>
          <w:sz w:val="24"/>
          <w:szCs w:val="24"/>
        </w:rPr>
        <w:t>on</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children’s</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development</w:t>
      </w:r>
      <w:proofErr w:type="spellEnd"/>
      <w:r w:rsidRPr="000E4F43">
        <w:rPr>
          <w:rFonts w:ascii="Open Sans" w:hAnsi="Open Sans" w:cs="Open Sans"/>
          <w:i/>
          <w:color w:val="000000"/>
          <w:sz w:val="24"/>
          <w:szCs w:val="24"/>
        </w:rPr>
        <w:t xml:space="preserve">: A </w:t>
      </w:r>
      <w:proofErr w:type="spellStart"/>
      <w:r w:rsidRPr="000E4F43">
        <w:rPr>
          <w:rFonts w:ascii="Open Sans" w:hAnsi="Open Sans" w:cs="Open Sans"/>
          <w:i/>
          <w:color w:val="000000"/>
          <w:sz w:val="24"/>
          <w:szCs w:val="24"/>
        </w:rPr>
        <w:t>evolutionary</w:t>
      </w:r>
      <w:proofErr w:type="spellEnd"/>
      <w:r w:rsidRPr="000E4F43">
        <w:rPr>
          <w:rFonts w:ascii="Open Sans" w:hAnsi="Open Sans" w:cs="Open Sans"/>
          <w:i/>
          <w:color w:val="000000"/>
          <w:sz w:val="24"/>
          <w:szCs w:val="24"/>
        </w:rPr>
        <w:t xml:space="preserve"> perspective. American </w:t>
      </w:r>
      <w:proofErr w:type="spellStart"/>
      <w:r w:rsidRPr="000E4F43">
        <w:rPr>
          <w:rFonts w:ascii="Open Sans" w:hAnsi="Open Sans" w:cs="Open Sans"/>
          <w:i/>
          <w:color w:val="000000"/>
          <w:sz w:val="24"/>
          <w:szCs w:val="24"/>
        </w:rPr>
        <w:t>Psychologist</w:t>
      </w:r>
      <w:proofErr w:type="spellEnd"/>
      <w:r w:rsidRPr="000E4F43">
        <w:rPr>
          <w:rFonts w:ascii="Open Sans" w:hAnsi="Open Sans" w:cs="Open Sans"/>
          <w:color w:val="000000"/>
          <w:sz w:val="24"/>
          <w:szCs w:val="24"/>
        </w:rPr>
        <w:t>, v. 76, n. 4, p. 550-563, 2021; e BAKER, M.; MILLIGAN, K.</w:t>
      </w:r>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Maternity</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leave</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and</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children's</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cognitive</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and</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behavioral</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development</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Journal</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of</w:t>
      </w:r>
      <w:proofErr w:type="spellEnd"/>
      <w:r w:rsidRPr="000E4F43">
        <w:rPr>
          <w:rFonts w:ascii="Open Sans" w:hAnsi="Open Sans" w:cs="Open Sans"/>
          <w:i/>
          <w:color w:val="000000"/>
          <w:sz w:val="24"/>
          <w:szCs w:val="24"/>
        </w:rPr>
        <w:t xml:space="preserve"> Labor </w:t>
      </w:r>
      <w:proofErr w:type="spellStart"/>
      <w:r w:rsidRPr="000E4F43">
        <w:rPr>
          <w:rFonts w:ascii="Open Sans" w:hAnsi="Open Sans" w:cs="Open Sans"/>
          <w:i/>
          <w:color w:val="000000"/>
          <w:sz w:val="24"/>
          <w:szCs w:val="24"/>
        </w:rPr>
        <w:t>Economics</w:t>
      </w:r>
      <w:proofErr w:type="spellEnd"/>
      <w:r w:rsidRPr="000E4F43">
        <w:rPr>
          <w:rFonts w:ascii="Open Sans" w:hAnsi="Open Sans" w:cs="Open Sans"/>
          <w:color w:val="000000"/>
          <w:sz w:val="24"/>
          <w:szCs w:val="24"/>
        </w:rPr>
        <w:t>, v. 37, n. S2, p. S345- S397, 2019), também há uma série de evidências empíricas que atestam o impacto da licença-maternidade na saúde física e mental da mulher.’ Nesse sentido,</w:t>
      </w:r>
      <w:r w:rsidR="00502B21">
        <w:rPr>
          <w:rFonts w:ascii="Open Sans" w:hAnsi="Open Sans" w:cs="Open Sans"/>
          <w:color w:val="000000"/>
          <w:sz w:val="24"/>
          <w:szCs w:val="24"/>
        </w:rPr>
        <w:t xml:space="preserve"> ponderou-se no precedente que ‘</w:t>
      </w:r>
      <w:r w:rsidRPr="000E4F43">
        <w:rPr>
          <w:rFonts w:ascii="Open Sans" w:hAnsi="Open Sans" w:cs="Open Sans"/>
          <w:color w:val="000000"/>
          <w:sz w:val="24"/>
          <w:szCs w:val="24"/>
        </w:rPr>
        <w:t xml:space="preserve">o resultado destes estudos demonstra que a proteção à maternidade não decorre apenas da circunstância jurídica de estar ela prevista expressamente na Constituição Federal como um direito, mas da realidade natural de que ela representa não somente a própria preservação da espécie humana, como também uma responsabilidade adicional que recai desproporcionalmente sobre as mulheres.’ Com base nessas premissas, o STF concluiu então que: ‘É </w:t>
      </w:r>
      <w:proofErr w:type="gramStart"/>
      <w:r w:rsidRPr="000E4F43">
        <w:rPr>
          <w:rFonts w:ascii="Open Sans" w:hAnsi="Open Sans" w:cs="Open Sans"/>
          <w:color w:val="000000"/>
          <w:sz w:val="24"/>
          <w:szCs w:val="24"/>
        </w:rPr>
        <w:t>neste</w:t>
      </w:r>
      <w:proofErr w:type="gramEnd"/>
      <w:r w:rsidRPr="000E4F43">
        <w:rPr>
          <w:rFonts w:ascii="Open Sans" w:hAnsi="Open Sans" w:cs="Open Sans"/>
          <w:color w:val="000000"/>
          <w:sz w:val="24"/>
          <w:szCs w:val="24"/>
        </w:rPr>
        <w:t xml:space="preserve"> contexto que nasce, portanto, o dever do Estado em garantir que o fardo decorrente do excesso de responsabilidades acumuladas pela mulher contemporânea possa ser atenuado, aumentando os incentivos para que a decisão de ser mãe não se torne uma exceção – ao menos não por falta de políticas públicas que forneçam o suporte necessário ao exercício da maternidade.’ Daí em diante, a Corte constitucional demarcou o caminho de importantes precedentes firmados em sua jurisprudência, a exemplo ‘da ADI 6.327, que foi conhecida como ADPF (Relator Min. Edson </w:t>
      </w:r>
      <w:proofErr w:type="spellStart"/>
      <w:r w:rsidRPr="000E4F43">
        <w:rPr>
          <w:rFonts w:ascii="Open Sans" w:hAnsi="Open Sans" w:cs="Open Sans"/>
          <w:color w:val="000000"/>
          <w:sz w:val="24"/>
          <w:szCs w:val="24"/>
        </w:rPr>
        <w:t>Fachin</w:t>
      </w:r>
      <w:proofErr w:type="spellEnd"/>
      <w:r w:rsidRPr="000E4F43">
        <w:rPr>
          <w:rFonts w:ascii="Open Sans" w:hAnsi="Open Sans" w:cs="Open Sans"/>
          <w:color w:val="000000"/>
          <w:sz w:val="24"/>
          <w:szCs w:val="24"/>
        </w:rPr>
        <w:t xml:space="preserve">, Plenário, </w:t>
      </w:r>
      <w:proofErr w:type="spellStart"/>
      <w:r w:rsidRPr="000E4F43">
        <w:rPr>
          <w:rFonts w:ascii="Open Sans" w:hAnsi="Open Sans" w:cs="Open Sans"/>
          <w:color w:val="000000"/>
          <w:sz w:val="24"/>
          <w:szCs w:val="24"/>
        </w:rPr>
        <w:t>DJe</w:t>
      </w:r>
      <w:proofErr w:type="spellEnd"/>
      <w:r w:rsidRPr="000E4F43">
        <w:rPr>
          <w:rFonts w:ascii="Open Sans" w:hAnsi="Open Sans" w:cs="Open Sans"/>
          <w:color w:val="000000"/>
          <w:sz w:val="24"/>
          <w:szCs w:val="24"/>
        </w:rPr>
        <w:t xml:space="preserve"> de 7/11/2022)’ , na qual se firmou a tese de que o início da licença-maternidade é demarcado pela Alta Hospitalar, nas hipóteses em que o nascimento do bebê for secundado pela necessidade de internação hospitalar mais longa. Lembrou, ainda, da tese firmada no </w:t>
      </w:r>
      <w:r w:rsidRPr="000E4F43">
        <w:rPr>
          <w:rFonts w:ascii="Open Sans" w:hAnsi="Open Sans" w:cs="Open Sans"/>
          <w:color w:val="000000"/>
          <w:sz w:val="24"/>
          <w:szCs w:val="24"/>
        </w:rPr>
        <w:lastRenderedPageBreak/>
        <w:t xml:space="preserve">Tema de Repercussão Geral nº 792, concluindo que ‘prevaleceu o entendimento de que a legislação não poderia instituir prazos diferenciados de licença-maternidade entre as servidoras gestantes e as adotantes, mercê de ambas constituírem um novo vínculo familiar constitucionalmente </w:t>
      </w:r>
      <w:proofErr w:type="gramStart"/>
      <w:r w:rsidRPr="000E4F43">
        <w:rPr>
          <w:rFonts w:ascii="Open Sans" w:hAnsi="Open Sans" w:cs="Open Sans"/>
          <w:color w:val="000000"/>
          <w:sz w:val="24"/>
          <w:szCs w:val="24"/>
        </w:rPr>
        <w:t>protegido.</w:t>
      </w:r>
      <w:proofErr w:type="gramEnd"/>
      <w:r w:rsidRPr="000E4F43">
        <w:rPr>
          <w:rFonts w:ascii="Open Sans" w:hAnsi="Open Sans" w:cs="Open Sans"/>
          <w:color w:val="000000"/>
          <w:sz w:val="24"/>
          <w:szCs w:val="24"/>
        </w:rPr>
        <w:t>’ Nesse cenário é que o STF construiu a razão de decidir do precedente firmado no Tema de Repercussão Geral nº 542. Sendo assim, percebe-se que a Corte constitucional concluiu, diante da evolução hermenêutica dos direitos constitucionais envolvidos, que naquele ca</w:t>
      </w:r>
      <w:r w:rsidR="007D7B17" w:rsidRPr="000E4F43">
        <w:rPr>
          <w:rFonts w:ascii="Open Sans" w:hAnsi="Open Sans" w:cs="Open Sans"/>
          <w:color w:val="000000"/>
          <w:sz w:val="24"/>
          <w:szCs w:val="24"/>
        </w:rPr>
        <w:t>so ‘</w:t>
      </w:r>
      <w:r w:rsidRPr="000E4F43">
        <w:rPr>
          <w:rFonts w:ascii="Open Sans" w:hAnsi="Open Sans" w:cs="Open Sans"/>
          <w:color w:val="000000"/>
          <w:sz w:val="24"/>
          <w:szCs w:val="24"/>
        </w:rPr>
        <w:t xml:space="preserve">um raciocínio semelhante merece ser adotado, uma vez que tanto as evidências empíricas, quanto a relevância constitucional da matéria apontam para a necessidade de que o direito à licença-maternidade não seja restringido apenas às servidoras públicas, mas também possa abranger empregadas celetistas, nos termos do art. 7º, XVIII, e art. 39, § 3º, da Constituição da República, isto porque a natureza plural ostentada pela licença-maternidade requer que, ao decidir sobre o tema, sejam considerados os interesses da mãe, do nascituro, do </w:t>
      </w:r>
      <w:r w:rsidR="007D7B17" w:rsidRPr="000E4F43">
        <w:rPr>
          <w:rFonts w:ascii="Open Sans" w:hAnsi="Open Sans" w:cs="Open Sans"/>
          <w:color w:val="000000"/>
          <w:sz w:val="24"/>
          <w:szCs w:val="24"/>
        </w:rPr>
        <w:t xml:space="preserve">infante, e de toda a </w:t>
      </w:r>
      <w:proofErr w:type="gramStart"/>
      <w:r w:rsidR="007D7B17" w:rsidRPr="000E4F43">
        <w:rPr>
          <w:rFonts w:ascii="Open Sans" w:hAnsi="Open Sans" w:cs="Open Sans"/>
          <w:color w:val="000000"/>
          <w:sz w:val="24"/>
          <w:szCs w:val="24"/>
        </w:rPr>
        <w:t>sociedade.</w:t>
      </w:r>
      <w:proofErr w:type="gramEnd"/>
      <w:r w:rsidR="007D7B17" w:rsidRPr="000E4F43">
        <w:rPr>
          <w:rFonts w:ascii="Open Sans" w:hAnsi="Open Sans" w:cs="Open Sans"/>
          <w:color w:val="000000"/>
          <w:sz w:val="24"/>
          <w:szCs w:val="24"/>
        </w:rPr>
        <w:t>’</w:t>
      </w:r>
      <w:r w:rsidRPr="000E4F43">
        <w:rPr>
          <w:rFonts w:ascii="Open Sans" w:hAnsi="Open Sans" w:cs="Open Sans"/>
          <w:color w:val="000000"/>
          <w:sz w:val="24"/>
          <w:szCs w:val="24"/>
        </w:rPr>
        <w:t xml:space="preserve"> Esse ponto do precedente vinculante do STF é central para a análise feita neste incidente, pois a base de compreensão do Pretório Excelso acerca da extensão do direito à estabilidade provisória às servidoras temporárias é exatamente a impossibilidade de se fazer uma diferenciação legalmente válida entre o vínculo firmado administrativamente e aquele fixado com base na CLT, tendo por base a leitura dos </w:t>
      </w:r>
      <w:proofErr w:type="spellStart"/>
      <w:r w:rsidRPr="000E4F43">
        <w:rPr>
          <w:rFonts w:ascii="Open Sans" w:hAnsi="Open Sans" w:cs="Open Sans"/>
          <w:color w:val="000000"/>
          <w:sz w:val="24"/>
          <w:szCs w:val="24"/>
        </w:rPr>
        <w:t>arts</w:t>
      </w:r>
      <w:proofErr w:type="spellEnd"/>
      <w:r w:rsidRPr="000E4F43">
        <w:rPr>
          <w:rFonts w:ascii="Open Sans" w:hAnsi="Open Sans" w:cs="Open Sans"/>
          <w:color w:val="000000"/>
          <w:sz w:val="24"/>
          <w:szCs w:val="24"/>
        </w:rPr>
        <w:t xml:space="preserve">. 7º, XVIII, e 39, § 3º, da Constituição. </w:t>
      </w:r>
      <w:proofErr w:type="gramStart"/>
      <w:r w:rsidRPr="000E4F43">
        <w:rPr>
          <w:rFonts w:ascii="Open Sans" w:hAnsi="Open Sans" w:cs="Open Sans"/>
          <w:color w:val="000000"/>
          <w:sz w:val="24"/>
          <w:szCs w:val="24"/>
        </w:rPr>
        <w:t>Se é</w:t>
      </w:r>
      <w:proofErr w:type="gramEnd"/>
      <w:r w:rsidRPr="000E4F43">
        <w:rPr>
          <w:rFonts w:ascii="Open Sans" w:hAnsi="Open Sans" w:cs="Open Sans"/>
          <w:color w:val="000000"/>
          <w:sz w:val="24"/>
          <w:szCs w:val="24"/>
        </w:rPr>
        <w:t xml:space="preserve"> assim, não há como deixar de reconhecer a incidência do entendimento fixado no Tema de Repercussão Geral nº 542 como hipótese de superação da tese firmada no âmbito do TST no IAC nº 5639-31.2013.512.0051. Isso porque, se em um contexto no qual o vínculo depende de critérios bem mais exigentes, como aqueles previstos no art. 37, II e IX, e § 2º, da Constituição, é possível estender os efeitos de um contrato aprazado previamente por incidência dos direitos constitucionais da gestante e lactante, com maior razão há de ser em um contrato temporário cujo liame obrigacional opera seus efeitos jurídicos de modo bem menos restrito, como ocorre com o vínculo contratual celetista. É dizer, em um vínculo privado firmado entre um tomador de serviços e um empregado temporário, cujo prazo é previsto em lei, mas cuja relação com a Empresa de Trabalho Temporário é firmada por prazo indeterminado, não há mesmo razão jurídica para a supressão do direito constitucional em questão. Questão análoga, aliás, pesou sobre a declaração de inconstitucionalidade de fração do art. 394-A da CLT (ADI nº 5.938), no tocante ao afastamento da empregada gestante/lactante de atividades enquadradas como insalubres. Ali, o STF reconheceu que a diferenciação firmada pelo legislador entre gestantes e lactantes, assim como entre </w:t>
      </w:r>
      <w:proofErr w:type="gramStart"/>
      <w:r w:rsidRPr="000E4F43">
        <w:rPr>
          <w:rFonts w:ascii="Open Sans" w:hAnsi="Open Sans" w:cs="Open Sans"/>
          <w:color w:val="000000"/>
          <w:sz w:val="24"/>
          <w:szCs w:val="24"/>
        </w:rPr>
        <w:t>os graus leve</w:t>
      </w:r>
      <w:proofErr w:type="gramEnd"/>
      <w:r w:rsidRPr="000E4F43">
        <w:rPr>
          <w:rFonts w:ascii="Open Sans" w:hAnsi="Open Sans" w:cs="Open Sans"/>
          <w:color w:val="000000"/>
          <w:sz w:val="24"/>
          <w:szCs w:val="24"/>
        </w:rPr>
        <w:t xml:space="preserve">, médio e máximo de insalubridade, para fins de recomendação do afastamento da empregada de atividades insalubres eram inconstitucionais, firmando naquele precedente um compromisso constitucional com a proteção integral da maternidade. Tal compromisso reflete-se como parâmetro de constitucionalidade também para o direito à estabilidade e à licença-maternidade ora examinado neste incidente. Daí por que não há como manter vigente no cenário jurídico atual o precedente firmado em Plenário pelo TST no IAC nº 5639-31.2013.5.12.0051, o qual restou completamente superado pela tese vinculante firmada nos autos do RE nº 842.844/SC (Tema de Repercussão Geral nº 542), assim como pelo histórico de precedentes constitucionais aqui referidos, os quais impõem uma evolução do entendimento desta Corte Superior do Trabalho. Ressalte-se, por fim, </w:t>
      </w:r>
      <w:r w:rsidRPr="000E4F43">
        <w:rPr>
          <w:rFonts w:ascii="Open Sans" w:hAnsi="Open Sans" w:cs="Open Sans"/>
          <w:color w:val="000000"/>
          <w:sz w:val="24"/>
          <w:szCs w:val="24"/>
        </w:rPr>
        <w:lastRenderedPageBreak/>
        <w:t xml:space="preserve">que o julgamento proferido pelo STF nos autos do ARE nº 1331863 (2ª Turma, Rel. Min. Nunes Marques, publicado no DJE de 11/09/2024) não fixou a inaplicabilidade do Tema de Repercussão Geral nº 542 do STF à hipótese em exame, porquanto ali a decisão proferida pelo colegiado negou provimento a um agravo com fundamento na ausência de </w:t>
      </w:r>
      <w:proofErr w:type="spellStart"/>
      <w:r w:rsidRPr="000E4F43">
        <w:rPr>
          <w:rFonts w:ascii="Open Sans" w:hAnsi="Open Sans" w:cs="Open Sans"/>
          <w:color w:val="000000"/>
          <w:sz w:val="24"/>
          <w:szCs w:val="24"/>
        </w:rPr>
        <w:t>dialeticidade</w:t>
      </w:r>
      <w:proofErr w:type="spellEnd"/>
      <w:r w:rsidRPr="000E4F43">
        <w:rPr>
          <w:rFonts w:ascii="Open Sans" w:hAnsi="Open Sans" w:cs="Open Sans"/>
          <w:color w:val="000000"/>
          <w:sz w:val="24"/>
          <w:szCs w:val="24"/>
        </w:rPr>
        <w:t xml:space="preserve"> recursal, aplicando para tanto a Súmula nº </w:t>
      </w:r>
      <w:r w:rsidR="007D7B17" w:rsidRPr="000E4F43">
        <w:rPr>
          <w:rFonts w:ascii="Open Sans" w:hAnsi="Open Sans" w:cs="Open Sans"/>
          <w:color w:val="000000"/>
          <w:sz w:val="24"/>
          <w:szCs w:val="24"/>
        </w:rPr>
        <w:t>287 do STF, que dispõe que: ‘</w:t>
      </w:r>
      <w:r w:rsidRPr="000E4F43">
        <w:rPr>
          <w:rFonts w:ascii="Open Sans" w:hAnsi="Open Sans" w:cs="Open Sans"/>
          <w:color w:val="000000"/>
          <w:sz w:val="24"/>
          <w:szCs w:val="24"/>
        </w:rPr>
        <w:t>Nega-se provimento ao agravo, quando a deficiência na sua fundamentação, ou na do recurso extraordinário, não permitir a exa</w:t>
      </w:r>
      <w:r w:rsidR="007D7B17" w:rsidRPr="000E4F43">
        <w:rPr>
          <w:rFonts w:ascii="Open Sans" w:hAnsi="Open Sans" w:cs="Open Sans"/>
          <w:color w:val="000000"/>
          <w:sz w:val="24"/>
          <w:szCs w:val="24"/>
        </w:rPr>
        <w:t xml:space="preserve">ta compreensão da </w:t>
      </w:r>
      <w:proofErr w:type="gramStart"/>
      <w:r w:rsidR="007D7B17" w:rsidRPr="000E4F43">
        <w:rPr>
          <w:rFonts w:ascii="Open Sans" w:hAnsi="Open Sans" w:cs="Open Sans"/>
          <w:color w:val="000000"/>
          <w:sz w:val="24"/>
          <w:szCs w:val="24"/>
        </w:rPr>
        <w:t>controvérsia.</w:t>
      </w:r>
      <w:proofErr w:type="gramEnd"/>
      <w:r w:rsidR="007D7B17" w:rsidRPr="000E4F43">
        <w:rPr>
          <w:rFonts w:ascii="Open Sans" w:hAnsi="Open Sans" w:cs="Open Sans"/>
          <w:color w:val="000000"/>
          <w:sz w:val="24"/>
          <w:szCs w:val="24"/>
        </w:rPr>
        <w:t>’</w:t>
      </w:r>
      <w:r w:rsidRPr="000E4F43">
        <w:rPr>
          <w:rFonts w:ascii="Open Sans" w:hAnsi="Open Sans" w:cs="Open Sans"/>
          <w:color w:val="000000"/>
          <w:sz w:val="24"/>
          <w:szCs w:val="24"/>
        </w:rPr>
        <w:t xml:space="preserve"> Ou seja, a decisão é eminentemente processual, e as razões lançadas em </w:t>
      </w:r>
      <w:r w:rsidRPr="000E4F43">
        <w:rPr>
          <w:rFonts w:ascii="Open Sans" w:hAnsi="Open Sans" w:cs="Open Sans"/>
          <w:i/>
          <w:color w:val="000000"/>
          <w:sz w:val="24"/>
          <w:szCs w:val="24"/>
        </w:rPr>
        <w:t xml:space="preserve">obter </w:t>
      </w:r>
      <w:proofErr w:type="spellStart"/>
      <w:r w:rsidRPr="000E4F43">
        <w:rPr>
          <w:rFonts w:ascii="Open Sans" w:hAnsi="Open Sans" w:cs="Open Sans"/>
          <w:i/>
          <w:color w:val="000000"/>
          <w:sz w:val="24"/>
          <w:szCs w:val="24"/>
        </w:rPr>
        <w:t>dictum</w:t>
      </w:r>
      <w:proofErr w:type="spellEnd"/>
      <w:r w:rsidRPr="000E4F43">
        <w:rPr>
          <w:rFonts w:ascii="Open Sans" w:hAnsi="Open Sans" w:cs="Open Sans"/>
          <w:i/>
          <w:color w:val="000000"/>
          <w:sz w:val="24"/>
          <w:szCs w:val="24"/>
        </w:rPr>
        <w:t xml:space="preserve"> </w:t>
      </w:r>
      <w:r w:rsidRPr="000E4F43">
        <w:rPr>
          <w:rFonts w:ascii="Open Sans" w:hAnsi="Open Sans" w:cs="Open Sans"/>
          <w:color w:val="000000"/>
          <w:sz w:val="24"/>
          <w:szCs w:val="24"/>
        </w:rPr>
        <w:t>pelo relator, no sentido de que a tese firmada no RE nº 842.844 não se</w:t>
      </w:r>
      <w:r w:rsidR="007D7B17" w:rsidRPr="000E4F43">
        <w:rPr>
          <w:rFonts w:ascii="Open Sans" w:hAnsi="Open Sans" w:cs="Open Sans"/>
          <w:color w:val="000000"/>
          <w:sz w:val="24"/>
          <w:szCs w:val="24"/>
        </w:rPr>
        <w:t xml:space="preserve"> aplicaria ao IAC nº 2 do TST, ‘</w:t>
      </w:r>
      <w:r w:rsidRPr="000E4F43">
        <w:rPr>
          <w:rFonts w:ascii="Open Sans" w:hAnsi="Open Sans" w:cs="Open Sans"/>
          <w:color w:val="000000"/>
          <w:sz w:val="24"/>
          <w:szCs w:val="24"/>
        </w:rPr>
        <w:t>uma vez que naquela oportunidade se analisou contrato de trabalho por tempo determinado celebrado com a Administração Pública e não entre pa</w:t>
      </w:r>
      <w:r w:rsidR="007D7B17" w:rsidRPr="000E4F43">
        <w:rPr>
          <w:rFonts w:ascii="Open Sans" w:hAnsi="Open Sans" w:cs="Open Sans"/>
          <w:color w:val="000000"/>
          <w:sz w:val="24"/>
          <w:szCs w:val="24"/>
        </w:rPr>
        <w:t>rticulares’</w:t>
      </w:r>
      <w:r w:rsidRPr="000E4F43">
        <w:rPr>
          <w:rFonts w:ascii="Open Sans" w:hAnsi="Open Sans" w:cs="Open Sans"/>
          <w:color w:val="000000"/>
          <w:sz w:val="24"/>
          <w:szCs w:val="24"/>
        </w:rPr>
        <w:t xml:space="preserve"> , não operaram como</w:t>
      </w:r>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ratio</w:t>
      </w:r>
      <w:proofErr w:type="spellEnd"/>
      <w:r w:rsidRPr="000E4F43">
        <w:rPr>
          <w:rFonts w:ascii="Open Sans" w:hAnsi="Open Sans" w:cs="Open Sans"/>
          <w:i/>
          <w:color w:val="000000"/>
          <w:sz w:val="24"/>
          <w:szCs w:val="24"/>
        </w:rPr>
        <w:t xml:space="preserve"> </w:t>
      </w:r>
      <w:proofErr w:type="spellStart"/>
      <w:r w:rsidRPr="000E4F43">
        <w:rPr>
          <w:rFonts w:ascii="Open Sans" w:hAnsi="Open Sans" w:cs="Open Sans"/>
          <w:i/>
          <w:color w:val="000000"/>
          <w:sz w:val="24"/>
          <w:szCs w:val="24"/>
        </w:rPr>
        <w:t>decidendi</w:t>
      </w:r>
      <w:proofErr w:type="spellEnd"/>
      <w:r w:rsidRPr="000E4F43">
        <w:rPr>
          <w:rFonts w:ascii="Open Sans" w:hAnsi="Open Sans" w:cs="Open Sans"/>
          <w:color w:val="000000"/>
          <w:sz w:val="24"/>
          <w:szCs w:val="24"/>
        </w:rPr>
        <w:t xml:space="preserve"> do julgado, pelo que não vinculam o presente incidente de superação, que analisou detidamente o mérito da questão. Ante os fundamentos até aqui expendidos, conclui-se pela superação da tese vinculante firmada nos autos do IAC nº 5639-31.2013.5.12.0051, nos termos do art. 299 do Regimento Interno do TST, com exclusão do respectivo processo paradigma da tabela de uniformização de jurisprudência do Tribunal Superior do Trabalho, bem como ampla divulgação do novo paradigma jurisprudencial em vigor do</w:t>
      </w:r>
      <w:r w:rsidR="007D7B17" w:rsidRPr="000E4F43">
        <w:rPr>
          <w:rFonts w:ascii="Open Sans" w:hAnsi="Open Sans" w:cs="Open Sans"/>
          <w:color w:val="000000"/>
          <w:sz w:val="24"/>
          <w:szCs w:val="24"/>
        </w:rPr>
        <w:t>ravante, nos seguintes termos: ‘</w:t>
      </w:r>
      <w:r w:rsidRPr="000E4F43">
        <w:rPr>
          <w:rFonts w:ascii="Open Sans" w:hAnsi="Open Sans" w:cs="Open Sans"/>
          <w:color w:val="000000"/>
          <w:sz w:val="24"/>
          <w:szCs w:val="24"/>
        </w:rPr>
        <w:t>A tese fixada pelo Supremo Tribunal Federal no Tema de Repercussão Geral nº 542 possui aderência e vincula o regime jurídico dos contratos de trabalho regidos pela Lei nº 6.019/1974, razão pela qual se aplica às trabalhadoras assim consideradas a garantia provi</w:t>
      </w:r>
      <w:r w:rsidR="007D7B17" w:rsidRPr="000E4F43">
        <w:rPr>
          <w:rFonts w:ascii="Open Sans" w:hAnsi="Open Sans" w:cs="Open Sans"/>
          <w:color w:val="000000"/>
          <w:sz w:val="24"/>
          <w:szCs w:val="24"/>
        </w:rPr>
        <w:t>sória prevista no art. 10, II, ‘b’</w:t>
      </w:r>
      <w:r w:rsidRPr="000E4F43">
        <w:rPr>
          <w:rFonts w:ascii="Open Sans" w:hAnsi="Open Sans" w:cs="Open Sans"/>
          <w:color w:val="000000"/>
          <w:sz w:val="24"/>
          <w:szCs w:val="24"/>
        </w:rPr>
        <w:t>, do Ato das Disposiçõe</w:t>
      </w:r>
      <w:r w:rsidR="007D7B17" w:rsidRPr="000E4F43">
        <w:rPr>
          <w:rFonts w:ascii="Open Sans" w:hAnsi="Open Sans" w:cs="Open Sans"/>
          <w:color w:val="000000"/>
          <w:sz w:val="24"/>
          <w:szCs w:val="24"/>
        </w:rPr>
        <w:t xml:space="preserve">s Constitucionais </w:t>
      </w:r>
      <w:proofErr w:type="gramStart"/>
      <w:r w:rsidR="007D7B17" w:rsidRPr="000E4F43">
        <w:rPr>
          <w:rFonts w:ascii="Open Sans" w:hAnsi="Open Sans" w:cs="Open Sans"/>
          <w:color w:val="000000"/>
          <w:sz w:val="24"/>
          <w:szCs w:val="24"/>
        </w:rPr>
        <w:t>Transitórias.</w:t>
      </w:r>
      <w:proofErr w:type="gramEnd"/>
      <w:r w:rsidR="007D7B17" w:rsidRPr="000E4F43">
        <w:rPr>
          <w:rFonts w:ascii="Open Sans" w:hAnsi="Open Sans" w:cs="Open Sans"/>
          <w:color w:val="000000"/>
          <w:sz w:val="24"/>
          <w:szCs w:val="24"/>
        </w:rPr>
        <w:t>’</w:t>
      </w:r>
      <w:r w:rsidRPr="000E4F43">
        <w:rPr>
          <w:rFonts w:ascii="Open Sans" w:hAnsi="Open Sans" w:cs="Open Sans"/>
          <w:color w:val="000000"/>
          <w:sz w:val="24"/>
          <w:szCs w:val="24"/>
        </w:rPr>
        <w:t xml:space="preserve"> Diante de tal conclusão, determina-se o retorno dos autos originários ao órgão competente (2ª Turma do TST), a fim de que prossiga no julgamento do feito, como entender de direito, observadas as linhas gerais do incidente de superação de precedente vinculante aqui examinado. Incidente de superação de precedente vinculante acolhido, com consequente superação da tese vinculante firmada nos autos do IAC nº 5639-31.2013.5.12.0051 e determinação de remessa do presente feito à 2ª Turma do TST para prosseguir no exame do recurso de revista. </w:t>
      </w:r>
      <w:r w:rsidRPr="000E4F43">
        <w:rPr>
          <w:rFonts w:ascii="Open Sans" w:hAnsi="Open Sans" w:cs="Open Sans"/>
          <w:b/>
          <w:color w:val="000000"/>
          <w:sz w:val="24"/>
          <w:szCs w:val="24"/>
        </w:rPr>
        <w:t>II – MODULAÇÃO DE EFEITOS. PROPOSTA APROVADA PELO PLENO DO TST.</w:t>
      </w:r>
      <w:r w:rsidRPr="000E4F43">
        <w:rPr>
          <w:rFonts w:ascii="Open Sans" w:hAnsi="Open Sans" w:cs="Open Sans"/>
          <w:color w:val="000000"/>
          <w:sz w:val="24"/>
          <w:szCs w:val="24"/>
        </w:rPr>
        <w:t xml:space="preserve"> O Tribunal Pleno do TST, por maioria, vencido este relator, aprovou a proposta de modulação de efeitos decisórios apresentada pelo Ministro Cláudio Mascarenhas Brandão (transcrita no acórdão a partir das notas taquigráficas do julgamento). Assim, percebe-se que o Tribunal Pleno do TST acolheu a proposta de modulação dos efeitos da decisão de superação do precedente firmado nos autos do IAC nº 5639-31.20</w:t>
      </w:r>
      <w:r w:rsidR="007D7B17" w:rsidRPr="000E4F43">
        <w:rPr>
          <w:rFonts w:ascii="Open Sans" w:hAnsi="Open Sans" w:cs="Open Sans"/>
          <w:color w:val="000000"/>
          <w:sz w:val="24"/>
          <w:szCs w:val="24"/>
        </w:rPr>
        <w:t>13.5.12.0051, a partir da data ‘</w:t>
      </w:r>
      <w:r w:rsidRPr="000E4F43">
        <w:rPr>
          <w:rFonts w:ascii="Open Sans" w:hAnsi="Open Sans" w:cs="Open Sans"/>
          <w:color w:val="000000"/>
          <w:sz w:val="24"/>
          <w:szCs w:val="24"/>
        </w:rPr>
        <w:t>em que o Supremo Tribunal Federal proferiu o julgamento do tema em recurso</w:t>
      </w:r>
      <w:r w:rsidR="007D7B17" w:rsidRPr="000E4F43">
        <w:rPr>
          <w:rFonts w:ascii="Open Sans" w:hAnsi="Open Sans" w:cs="Open Sans"/>
          <w:color w:val="000000"/>
          <w:sz w:val="24"/>
          <w:szCs w:val="24"/>
        </w:rPr>
        <w:t xml:space="preserve"> repetitivo 842.844/SC.’</w:t>
      </w:r>
      <w:r w:rsidRPr="000E4F43">
        <w:rPr>
          <w:rFonts w:ascii="Open Sans" w:hAnsi="Open Sans" w:cs="Open Sans"/>
          <w:color w:val="000000"/>
          <w:sz w:val="24"/>
          <w:szCs w:val="24"/>
        </w:rPr>
        <w:t xml:space="preserve"> Por fim, constata-se que o feito foi chamado à ordem na Sessão de Julgamento de </w:t>
      </w:r>
      <w:proofErr w:type="gramStart"/>
      <w:r w:rsidRPr="000E4F43">
        <w:rPr>
          <w:rFonts w:ascii="Open Sans" w:hAnsi="Open Sans" w:cs="Open Sans"/>
          <w:color w:val="000000"/>
          <w:sz w:val="24"/>
          <w:szCs w:val="24"/>
        </w:rPr>
        <w:t>8</w:t>
      </w:r>
      <w:proofErr w:type="gramEnd"/>
      <w:r w:rsidRPr="000E4F43">
        <w:rPr>
          <w:rFonts w:ascii="Open Sans" w:hAnsi="Open Sans" w:cs="Open Sans"/>
          <w:color w:val="000000"/>
          <w:sz w:val="24"/>
          <w:szCs w:val="24"/>
        </w:rPr>
        <w:t xml:space="preserve"> de maio de 2026 do Tribunal Pleno, para retificar a data da modulação que constou na certidão do julgamento da sessão originária de 17/04/2026, nos s</w:t>
      </w:r>
      <w:r w:rsidR="007D7B17" w:rsidRPr="000E4F43">
        <w:rPr>
          <w:rFonts w:ascii="Open Sans" w:hAnsi="Open Sans" w:cs="Open Sans"/>
          <w:color w:val="000000"/>
          <w:sz w:val="24"/>
          <w:szCs w:val="24"/>
        </w:rPr>
        <w:t>eguintes termos: ‘</w:t>
      </w:r>
      <w:r w:rsidRPr="000E4F43">
        <w:rPr>
          <w:rFonts w:ascii="Open Sans" w:hAnsi="Open Sans" w:cs="Open Sans"/>
          <w:color w:val="000000"/>
          <w:sz w:val="24"/>
          <w:szCs w:val="24"/>
        </w:rPr>
        <w:t xml:space="preserve">[...]chamar o feito à ordem para, corrigindo erro material no julgamento realizado em 17/4/2026, no tocante à modulação dos efeitos da decisão, fixar o dia 10/10/2023 (data da publicação da ata do julgamento do RE 842.844 pelo Supremo Tribunal Federal) como marco inicial da superação da tese firmada pelo Incidente de Assunção de Competência nº </w:t>
      </w:r>
      <w:r w:rsidR="007D7B17" w:rsidRPr="000E4F43">
        <w:rPr>
          <w:rFonts w:ascii="Open Sans" w:hAnsi="Open Sans" w:cs="Open Sans"/>
          <w:color w:val="000000"/>
          <w:sz w:val="24"/>
          <w:szCs w:val="24"/>
        </w:rPr>
        <w:t>TST-IAC-5639-31.2013.5.12.0051.’</w:t>
      </w:r>
      <w:r w:rsidRPr="000E4F43">
        <w:rPr>
          <w:rFonts w:ascii="Open Sans" w:hAnsi="Open Sans" w:cs="Open Sans"/>
          <w:color w:val="000000"/>
          <w:sz w:val="24"/>
          <w:szCs w:val="24"/>
        </w:rPr>
        <w:t xml:space="preserve"> Logo, tendo por base as informações constantes do julgamento do Pleno do TST, com a posterior retificação do erro material verificado, a </w:t>
      </w:r>
      <w:r w:rsidRPr="000E4F43">
        <w:rPr>
          <w:rFonts w:ascii="Open Sans" w:hAnsi="Open Sans" w:cs="Open Sans"/>
          <w:color w:val="000000"/>
          <w:sz w:val="24"/>
          <w:szCs w:val="24"/>
        </w:rPr>
        <w:lastRenderedPageBreak/>
        <w:t xml:space="preserve">data de início da eficácia da decisão de superação da tese vinculante firmada no IAC nº 5639-31.2013.5.12.0051 foi fixada em 10 de Outubro de 2023. </w:t>
      </w:r>
      <w:proofErr w:type="gramStart"/>
      <w:r w:rsidRPr="000E4F43">
        <w:rPr>
          <w:rFonts w:ascii="Open Sans" w:hAnsi="Open Sans" w:cs="Open Sans"/>
          <w:color w:val="000000"/>
          <w:sz w:val="24"/>
          <w:szCs w:val="24"/>
        </w:rPr>
        <w:t>Proposta de modulação dos efeitos da decisão aprovada para fixar a data de 10/10/2023 como marco inicial da superação da tese firmada no IAC nº 5639-31.2013.5.12.0051.”</w:t>
      </w:r>
      <w:proofErr w:type="gramEnd"/>
      <w:r w:rsidRPr="000E4F43">
        <w:rPr>
          <w:rFonts w:ascii="Open Sans" w:hAnsi="Open Sans" w:cs="Open Sans"/>
          <w:b/>
          <w:color w:val="000000"/>
          <w:sz w:val="24"/>
          <w:szCs w:val="24"/>
        </w:rPr>
        <w:t xml:space="preserve"> </w:t>
      </w:r>
      <w:r w:rsidR="00ED0FB7" w:rsidRPr="000E4F43">
        <w:rPr>
          <w:rFonts w:ascii="Open Sans" w:hAnsi="Open Sans" w:cs="Open Sans"/>
          <w:color w:val="000000"/>
          <w:sz w:val="24"/>
          <w:szCs w:val="24"/>
        </w:rPr>
        <w:fldChar w:fldCharType="begin"/>
      </w:r>
      <w:r w:rsidR="00C30D75" w:rsidRPr="000E4F43">
        <w:rPr>
          <w:rFonts w:ascii="Open Sans" w:hAnsi="Open Sans" w:cs="Open Sans"/>
          <w:color w:val="000000"/>
          <w:sz w:val="24"/>
          <w:szCs w:val="24"/>
        </w:rPr>
        <w:instrText>HYPERLINK "https://consultaprocessual.tst.jus.br/consultaProcessual/resumoForm.do?consulta=1&amp;numeroInt=231466&amp;anoInt=2022"</w:instrText>
      </w:r>
      <w:r w:rsidR="00ED0FB7" w:rsidRPr="000E4F43">
        <w:rPr>
          <w:rFonts w:ascii="Open Sans" w:hAnsi="Open Sans" w:cs="Open Sans"/>
          <w:color w:val="000000"/>
          <w:sz w:val="24"/>
          <w:szCs w:val="24"/>
        </w:rPr>
        <w:fldChar w:fldCharType="separate"/>
      </w:r>
      <w:r w:rsidR="00F2760B" w:rsidRPr="000E4F43">
        <w:rPr>
          <w:rStyle w:val="Hyperlink"/>
          <w:rFonts w:ascii="Open Sans" w:hAnsi="Open Sans" w:cs="Open Sans"/>
          <w:sz w:val="24"/>
          <w:szCs w:val="24"/>
        </w:rPr>
        <w:t>TST-</w:t>
      </w:r>
      <w:r w:rsidR="007D7B17" w:rsidRPr="000E4F43">
        <w:rPr>
          <w:rStyle w:val="Hyperlink"/>
          <w:rFonts w:ascii="Open Sans" w:hAnsi="Open Sans" w:cs="Open Sans"/>
          <w:sz w:val="24"/>
          <w:szCs w:val="24"/>
        </w:rPr>
        <w:t xml:space="preserve">PetCiv-1000059-12.2020.5.02.0382, </w:t>
      </w:r>
      <w:r w:rsidR="00C26DAC" w:rsidRPr="000E4F43">
        <w:rPr>
          <w:rStyle w:val="Hyperlink"/>
          <w:rFonts w:ascii="Open Sans" w:hAnsi="Open Sans" w:cs="Open Sans"/>
          <w:sz w:val="24"/>
          <w:szCs w:val="24"/>
        </w:rPr>
        <w:t>Tribunal Pleno, R</w:t>
      </w:r>
      <w:r w:rsidR="00F2760B" w:rsidRPr="000E4F43">
        <w:rPr>
          <w:rStyle w:val="Hyperlink"/>
          <w:rFonts w:ascii="Open Sans" w:hAnsi="Open Sans" w:cs="Open Sans"/>
          <w:sz w:val="24"/>
          <w:szCs w:val="24"/>
        </w:rPr>
        <w:t xml:space="preserve">el. Min. </w:t>
      </w:r>
      <w:r w:rsidR="007D7B17" w:rsidRPr="000E4F43">
        <w:rPr>
          <w:rStyle w:val="Hyperlink"/>
          <w:rFonts w:ascii="Open Sans" w:hAnsi="Open Sans" w:cs="Open Sans"/>
          <w:sz w:val="24"/>
          <w:szCs w:val="24"/>
        </w:rPr>
        <w:t>Breno Medeiros</w:t>
      </w:r>
      <w:r w:rsidR="00ED0FB7" w:rsidRPr="000E4F43">
        <w:rPr>
          <w:rStyle w:val="Hyperlink"/>
          <w:rFonts w:ascii="Open Sans" w:hAnsi="Open Sans" w:cs="Open Sans"/>
          <w:sz w:val="24"/>
          <w:szCs w:val="24"/>
        </w:rPr>
        <w:t xml:space="preserve">, </w:t>
      </w:r>
      <w:r w:rsidR="007D7B17" w:rsidRPr="000E4F43">
        <w:rPr>
          <w:rStyle w:val="Hyperlink"/>
          <w:rFonts w:ascii="Open Sans" w:hAnsi="Open Sans" w:cs="Open Sans"/>
          <w:sz w:val="24"/>
          <w:szCs w:val="24"/>
        </w:rPr>
        <w:t>julgado em 17</w:t>
      </w:r>
      <w:r w:rsidR="00ED0FB7" w:rsidRPr="000E4F43">
        <w:rPr>
          <w:rStyle w:val="Hyperlink"/>
          <w:rFonts w:ascii="Open Sans" w:hAnsi="Open Sans" w:cs="Open Sans"/>
          <w:sz w:val="24"/>
          <w:szCs w:val="24"/>
        </w:rPr>
        <w:t>/4</w:t>
      </w:r>
      <w:r w:rsidR="00F2760B" w:rsidRPr="000E4F43">
        <w:rPr>
          <w:rStyle w:val="Hyperlink"/>
          <w:rFonts w:ascii="Open Sans" w:hAnsi="Open Sans" w:cs="Open Sans"/>
          <w:sz w:val="24"/>
          <w:szCs w:val="24"/>
        </w:rPr>
        <w:t>/2026</w:t>
      </w:r>
      <w:r w:rsidR="00C30D75" w:rsidRPr="000E4F43">
        <w:rPr>
          <w:rStyle w:val="Hyperlink"/>
          <w:rFonts w:ascii="Open Sans" w:hAnsi="Open Sans" w:cs="Open Sans"/>
          <w:sz w:val="24"/>
          <w:szCs w:val="24"/>
        </w:rPr>
        <w:t>, feito chamado à ordem para corrigir erro material em 8/5/2026</w:t>
      </w:r>
      <w:r w:rsidR="00F2760B" w:rsidRPr="000E4F43">
        <w:rPr>
          <w:rStyle w:val="Hyperlink"/>
          <w:rFonts w:ascii="Open Sans" w:hAnsi="Open Sans" w:cs="Open Sans"/>
          <w:sz w:val="24"/>
          <w:szCs w:val="24"/>
        </w:rPr>
        <w:t>.</w:t>
      </w:r>
    </w:p>
    <w:p w:rsidR="00AB4AE2" w:rsidRDefault="00ED0FB7" w:rsidP="009C2D07">
      <w:pPr>
        <w:suppressAutoHyphens/>
        <w:ind w:left="-255" w:right="340"/>
        <w:jc w:val="both"/>
        <w:rPr>
          <w:rFonts w:ascii="Open Sans" w:hAnsi="Open Sans" w:cs="Open Sans"/>
          <w:color w:val="000000"/>
          <w:sz w:val="24"/>
          <w:szCs w:val="24"/>
        </w:rPr>
      </w:pPr>
      <w:r w:rsidRPr="000E4F43">
        <w:rPr>
          <w:rFonts w:ascii="Open Sans" w:hAnsi="Open Sans" w:cs="Open Sans"/>
          <w:color w:val="000000"/>
          <w:sz w:val="24"/>
          <w:szCs w:val="24"/>
        </w:rPr>
        <w:fldChar w:fldCharType="end"/>
      </w:r>
    </w:p>
    <w:p w:rsidR="00D350E5" w:rsidRPr="003509A3" w:rsidRDefault="00D350E5" w:rsidP="00D350E5">
      <w:pPr>
        <w:pStyle w:val="Ttulo1"/>
        <w:spacing w:before="0"/>
        <w:ind w:left="-227" w:right="369"/>
      </w:pPr>
      <w:r>
        <w:t>S</w:t>
      </w:r>
      <w:r w:rsidRPr="003509A3">
        <w:t>EÇÃO ESPECI</w:t>
      </w:r>
      <w:r>
        <w:t>ALIZADA EM DISSÍDIOS COLETIVOS</w:t>
      </w:r>
    </w:p>
    <w:p w:rsidR="00D350E5" w:rsidRDefault="00D350E5" w:rsidP="000E4F43">
      <w:pPr>
        <w:suppressAutoHyphens/>
        <w:ind w:left="-227" w:right="369"/>
        <w:jc w:val="both"/>
        <w:rPr>
          <w:rFonts w:ascii="Open Sans" w:hAnsi="Open Sans" w:cs="Open Sans"/>
          <w:color w:val="000000"/>
          <w:sz w:val="24"/>
          <w:szCs w:val="24"/>
        </w:rPr>
      </w:pPr>
    </w:p>
    <w:p w:rsidR="00D350E5" w:rsidRDefault="00D350E5" w:rsidP="009C2D07">
      <w:pPr>
        <w:suppressAutoHyphens/>
        <w:ind w:left="-255" w:right="340"/>
        <w:jc w:val="both"/>
        <w:rPr>
          <w:rFonts w:ascii="Open Sans" w:hAnsi="Open Sans" w:cs="Open Sans"/>
          <w:color w:val="000000"/>
          <w:sz w:val="24"/>
          <w:szCs w:val="24"/>
        </w:rPr>
      </w:pPr>
      <w:proofErr w:type="gramStart"/>
      <w:r>
        <w:rPr>
          <w:rFonts w:ascii="Open Sans" w:hAnsi="Open Sans" w:cs="Open Sans"/>
          <w:color w:val="000000"/>
          <w:sz w:val="24"/>
          <w:szCs w:val="24"/>
        </w:rPr>
        <w:t>“</w:t>
      </w:r>
      <w:r w:rsidRPr="00D350E5">
        <w:rPr>
          <w:rFonts w:ascii="Open Sans" w:hAnsi="Open Sans" w:cs="Open Sans"/>
          <w:b/>
          <w:color w:val="000000"/>
          <w:sz w:val="24"/>
          <w:szCs w:val="24"/>
        </w:rPr>
        <w:t>RECURSO ORDINÁRIO DO SINDICATO DE HOTÉIS, RESTAURANTES, BARES E SIMILARES DO ESTADO DO RIO GRANDE DO NORTE.</w:t>
      </w:r>
      <w:proofErr w:type="gramEnd"/>
      <w:r w:rsidRPr="00D350E5">
        <w:rPr>
          <w:rFonts w:ascii="Open Sans" w:hAnsi="Open Sans" w:cs="Open Sans"/>
          <w:b/>
          <w:color w:val="000000"/>
          <w:sz w:val="24"/>
          <w:szCs w:val="24"/>
        </w:rPr>
        <w:t xml:space="preserve"> AÇÃO ANULATÓRIA DE NORMA COLETIVA AJUIZADA PELO MPT. CLÁUSULA 31ª, §1º, DA CONVENÇÃO COLETIVA DE TRABALHO REPOUSO SEMENAL REMUNERADO COICIDENTE COM O DOMINGO A CADA TRÊS SEMANAS, SEM DISTINÇÃO DE SEXO. INVALIDADE. INCIDÊNCIA DA REGRA DE PROTEÇÃO DO TRABALHO DA MULHER. ARTS. 7º, XX, XVIII, 226 e 227 DA CF E 386 DA CLT.</w:t>
      </w:r>
      <w:r w:rsidRPr="00D350E5">
        <w:rPr>
          <w:rFonts w:ascii="Open Sans" w:hAnsi="Open Sans" w:cs="Open Sans"/>
          <w:color w:val="000000"/>
          <w:sz w:val="24"/>
          <w:szCs w:val="24"/>
        </w:rPr>
        <w:t xml:space="preserve"> O Tribunal Regional declarou inválida a Cláusula 31ª, 1º, da CCT firmada entre os sindicatos das categorias econômica e profissional, ligadas ao comércio. Referida norma estabeleceu que o repouso semanal remunerado de todos os trabalhadores da categoria, </w:t>
      </w:r>
      <w:r w:rsidRPr="00D350E5">
        <w:rPr>
          <w:rFonts w:ascii="Open Sans" w:hAnsi="Open Sans" w:cs="Open Sans"/>
          <w:color w:val="000000"/>
          <w:sz w:val="24"/>
          <w:szCs w:val="24"/>
          <w:u w:val="single"/>
        </w:rPr>
        <w:t>sem distinção de sexo</w:t>
      </w:r>
      <w:r w:rsidRPr="00D350E5">
        <w:rPr>
          <w:rFonts w:ascii="Open Sans" w:hAnsi="Open Sans" w:cs="Open Sans"/>
          <w:color w:val="000000"/>
          <w:sz w:val="24"/>
          <w:szCs w:val="24"/>
        </w:rPr>
        <w:t xml:space="preserve">, deverá coincidir pelo menos uma vez no período máximo de três semanas, com o domingo. A cláusula busca refletir a norma jurídica especial regente dos trabalhadores no comércio em geral, a qual dispõe que o repouso semanal deverá coincidir com o domingo ao menos uma vez no período máximo de </w:t>
      </w:r>
      <w:r w:rsidRPr="00D350E5">
        <w:rPr>
          <w:rFonts w:ascii="Open Sans" w:hAnsi="Open Sans" w:cs="Open Sans"/>
          <w:i/>
          <w:color w:val="000000"/>
          <w:sz w:val="24"/>
          <w:szCs w:val="24"/>
        </w:rPr>
        <w:t>três semanas</w:t>
      </w:r>
      <w:r w:rsidRPr="00D350E5">
        <w:rPr>
          <w:rFonts w:ascii="Open Sans" w:hAnsi="Open Sans" w:cs="Open Sans"/>
          <w:color w:val="000000"/>
          <w:sz w:val="24"/>
          <w:szCs w:val="24"/>
        </w:rPr>
        <w:t xml:space="preserve"> (art. 6º, </w:t>
      </w:r>
      <w:r w:rsidRPr="00D350E5">
        <w:rPr>
          <w:rFonts w:ascii="Open Sans" w:hAnsi="Open Sans" w:cs="Open Sans"/>
          <w:i/>
          <w:color w:val="000000"/>
          <w:sz w:val="24"/>
          <w:szCs w:val="24"/>
        </w:rPr>
        <w:t>caput</w:t>
      </w:r>
      <w:r w:rsidRPr="00D350E5">
        <w:rPr>
          <w:rFonts w:ascii="Open Sans" w:hAnsi="Open Sans" w:cs="Open Sans"/>
          <w:color w:val="000000"/>
          <w:sz w:val="24"/>
          <w:szCs w:val="24"/>
        </w:rPr>
        <w:t xml:space="preserve"> e parágrafo único, da Lei nº 10.101/2000, com a redação dada pela Lei 11.603/2007). Nada obstante a reprodução quase literal do artigo que trata do intervalo máximo para a concessão do repouso semanal remunerado aos domingos, aplicável os trabalhadores do comércio em geral, é pacífico nesta Corte que, em relação às mulheres que laboram nesse segmento econômico, incide a regra específica do art. 386 da CLT, que estipula o período máximo de 15 dias a favor delas. Note-se que a Constituição prevê como direito social fundamental a </w:t>
      </w:r>
      <w:r w:rsidR="004B0522">
        <w:rPr>
          <w:rFonts w:ascii="Open Sans" w:hAnsi="Open Sans" w:cs="Open Sans"/>
          <w:i/>
          <w:color w:val="000000"/>
          <w:sz w:val="24"/>
          <w:szCs w:val="24"/>
        </w:rPr>
        <w:t>‘</w:t>
      </w:r>
      <w:r w:rsidRPr="00D350E5">
        <w:rPr>
          <w:rFonts w:ascii="Open Sans" w:hAnsi="Open Sans" w:cs="Open Sans"/>
          <w:i/>
          <w:color w:val="000000"/>
          <w:sz w:val="24"/>
          <w:szCs w:val="24"/>
        </w:rPr>
        <w:t>proteção do mercado de trabalho da mulher, mediante incentivos específicos, nos termos da lei</w:t>
      </w:r>
      <w:r w:rsidR="004B0522">
        <w:rPr>
          <w:rFonts w:ascii="Open Sans" w:hAnsi="Open Sans" w:cs="Open Sans"/>
          <w:i/>
          <w:color w:val="000000"/>
          <w:sz w:val="24"/>
          <w:szCs w:val="24"/>
        </w:rPr>
        <w:t>’</w:t>
      </w:r>
      <w:r w:rsidRPr="00D350E5">
        <w:rPr>
          <w:rFonts w:ascii="Open Sans" w:hAnsi="Open Sans" w:cs="Open Sans"/>
          <w:color w:val="000000"/>
          <w:sz w:val="24"/>
          <w:szCs w:val="24"/>
        </w:rPr>
        <w:t xml:space="preserve"> (art. 7º, XX, da CF), tendo o legislador ordinário excepcionado expressamente, da Lei nº 10.101/2000, as mulheres que trabalham aos domingos, elevando o art. 386 da CLT, inserido no Capítulo III, que trata da Proteção do Trabalho da Mulher, à categoria de legislação especial. Tal regra estatal é imperativa e não passível de flexibilização por negociação coletiva. Sobre o assunto, é preciso destacar que, além dos dispositivos já mencionados, o nosso ordenamento jurídico tem diversas outras disposições que garantem um núcleo protetivo de direitos fundamentais sociais das mulheres e </w:t>
      </w:r>
      <w:proofErr w:type="gramStart"/>
      <w:r w:rsidRPr="00D350E5">
        <w:rPr>
          <w:rFonts w:ascii="Open Sans" w:hAnsi="Open Sans" w:cs="Open Sans"/>
          <w:color w:val="000000"/>
          <w:sz w:val="24"/>
          <w:szCs w:val="24"/>
        </w:rPr>
        <w:t>legitimam</w:t>
      </w:r>
      <w:proofErr w:type="gramEnd"/>
      <w:r w:rsidRPr="00D350E5">
        <w:rPr>
          <w:rFonts w:ascii="Open Sans" w:hAnsi="Open Sans" w:cs="Open Sans"/>
          <w:color w:val="000000"/>
          <w:sz w:val="24"/>
          <w:szCs w:val="24"/>
        </w:rPr>
        <w:t xml:space="preserve"> o tratamento diferenciado em relação aos homens, como o art. 5º, I, que estabelece o princípio da igualdade, o art. 7º, XVIII, que prevê a licença-maternidade de 120 dias, o art. 226, que valoriza a instituição familiar, e o art. 227, que busca garantir um padrão moral e educacional adequado para crianças e adolescentes. Todo esse conjunto de normas confere respaldo à concepção de um estado que se preocupa e maneja os seus instrumentos jurídicos e administrativos para a proteção e o tratamento diferenciado da mulher, exigência indissociável dos objetivos previstos nos </w:t>
      </w:r>
      <w:proofErr w:type="spellStart"/>
      <w:r w:rsidRPr="00D350E5">
        <w:rPr>
          <w:rFonts w:ascii="Open Sans" w:hAnsi="Open Sans" w:cs="Open Sans"/>
          <w:color w:val="000000"/>
          <w:sz w:val="24"/>
          <w:szCs w:val="24"/>
        </w:rPr>
        <w:t>arts</w:t>
      </w:r>
      <w:proofErr w:type="spellEnd"/>
      <w:r w:rsidRPr="00D350E5">
        <w:rPr>
          <w:rFonts w:ascii="Open Sans" w:hAnsi="Open Sans" w:cs="Open Sans"/>
          <w:color w:val="000000"/>
          <w:sz w:val="24"/>
          <w:szCs w:val="24"/>
        </w:rPr>
        <w:t xml:space="preserve">. 1º e 3º da Constituição e que advém também da necessidade de se reparar as consequências decorrentes das </w:t>
      </w:r>
      <w:r w:rsidRPr="00D350E5">
        <w:rPr>
          <w:rFonts w:ascii="Open Sans" w:hAnsi="Open Sans" w:cs="Open Sans"/>
          <w:color w:val="000000"/>
          <w:sz w:val="24"/>
          <w:szCs w:val="24"/>
        </w:rPr>
        <w:lastRenderedPageBreak/>
        <w:t xml:space="preserve">particularidades fisiológicas e culturais que, ao longo da história humana, impuseram à mulher uma sobrecarga de responsabilidades e atribuições superiores, fruto de uma sociedade marcada pela estruturação patriarcal. Diante desse cenário, o Poder Judiciário, em sua função precípua de concretizar o direito, assumiu sua parcela de responsabilidade social para enfrentar essa grave questão inerente à sociedade brasileira. Ao buscar conferir efetividade ao princípio da igualdade substantiva, contemplado tanto na Constituição Federal quanto em tratados internacionais de direitos humanos dos quais o Brasil é signatário, o Judiciário atua como um agente de transformação. Seu objetivo primordial é evitar a continuidade das desigualdades e opressões históricas, as quais se originam da nefasta influência do machismo, do </w:t>
      </w:r>
      <w:proofErr w:type="spellStart"/>
      <w:r w:rsidRPr="00D350E5">
        <w:rPr>
          <w:rFonts w:ascii="Open Sans" w:hAnsi="Open Sans" w:cs="Open Sans"/>
          <w:color w:val="000000"/>
          <w:sz w:val="24"/>
          <w:szCs w:val="24"/>
        </w:rPr>
        <w:t>sexismo</w:t>
      </w:r>
      <w:proofErr w:type="spellEnd"/>
      <w:r w:rsidRPr="00D350E5">
        <w:rPr>
          <w:rFonts w:ascii="Open Sans" w:hAnsi="Open Sans" w:cs="Open Sans"/>
          <w:color w:val="000000"/>
          <w:sz w:val="24"/>
          <w:szCs w:val="24"/>
        </w:rPr>
        <w:t>, do racismo e de outras práticas preconceituosas, com o propósito derradeiro de eliminar todas as formas de discriminação contra a mulher e construir uma sociedade verdadeiramente equânime. Nesse sentido, o Conselho Nacional de Justiça editou a Recomendação 128, publicada em 15/2/2022, que aconselha a magistratura brasileira a adotar</w:t>
      </w:r>
      <w:r w:rsidRPr="00D350E5">
        <w:rPr>
          <w:rFonts w:ascii="Open Sans" w:hAnsi="Open Sans" w:cs="Open Sans"/>
          <w:color w:val="000000"/>
          <w:sz w:val="24"/>
          <w:szCs w:val="24"/>
          <w:u w:val="single"/>
        </w:rPr>
        <w:t xml:space="preserve"> o Protocolo para Julgamento com Perspectiva de Gênero</w:t>
      </w:r>
      <w:r w:rsidRPr="00D350E5">
        <w:rPr>
          <w:rFonts w:ascii="Open Sans" w:hAnsi="Open Sans" w:cs="Open Sans"/>
          <w:color w:val="000000"/>
          <w:sz w:val="24"/>
          <w:szCs w:val="24"/>
        </w:rPr>
        <w:t>. Inspirado nas Recomendações Gerais nº 33 e 35 do Comitê para Eliminação de Todas as Formas de Discriminação contra a Mulher (CEDAW) e na Convenção Interamericana para Prevenir, Punir e Erradicar a Violência contra a Mulher (</w:t>
      </w:r>
      <w:r w:rsidR="004B0522">
        <w:rPr>
          <w:rFonts w:ascii="Open Sans" w:hAnsi="Open Sans" w:cs="Open Sans"/>
          <w:i/>
          <w:color w:val="000000"/>
          <w:sz w:val="24"/>
          <w:szCs w:val="24"/>
        </w:rPr>
        <w:t>‘</w:t>
      </w:r>
      <w:r w:rsidRPr="00D350E5">
        <w:rPr>
          <w:rFonts w:ascii="Open Sans" w:hAnsi="Open Sans" w:cs="Open Sans"/>
          <w:i/>
          <w:color w:val="000000"/>
          <w:sz w:val="24"/>
          <w:szCs w:val="24"/>
        </w:rPr>
        <w:t>Convenção de Belém do Pará</w:t>
      </w:r>
      <w:r w:rsidR="004B0522">
        <w:rPr>
          <w:rFonts w:ascii="Open Sans" w:hAnsi="Open Sans" w:cs="Open Sans"/>
          <w:i/>
          <w:color w:val="000000"/>
          <w:sz w:val="24"/>
          <w:szCs w:val="24"/>
        </w:rPr>
        <w:t>’</w:t>
      </w:r>
      <w:r w:rsidRPr="00D350E5">
        <w:rPr>
          <w:rFonts w:ascii="Open Sans" w:hAnsi="Open Sans" w:cs="Open Sans"/>
          <w:color w:val="000000"/>
          <w:sz w:val="24"/>
          <w:szCs w:val="24"/>
        </w:rPr>
        <w:t>), todos da ONU, o Protocolo incentiva que, nas causas que envolvam questões de gênero, o Julgador não incorra na repetição de estereótipos e na perpetuação de tratamentos diferentes e injustos contra as mulheres, bem como que as decisões explicitem e considerem as desigualdades estruturais e seus impactos, aproximando a Justiça de parâmetros constitucionais e internacionais de direitos humanos que combatam a discriminação. Com efeito, a contemporânea organização social, impulsionada pelos preceitos humanistas, sociais e inclusivos da Constituição Cidadã de 1988, tem catalisado um movimento jurisprudencial virtuoso, refletido em decisões que promovem a efetivação de direitos fundamentais. Um exemplo emblemático dessa evolução se materializou no julgamento do Incidente de Inconstitucionalidade em Recurso de Revista n.º IIN-RR-1540/2005.046-12-00.5, perante o Tribunal Pleno desta Corte. Naquela ocasião, foi reconhecida a plena recepção constitucional do art. 384 da CLT, que estabelece a garantia de quinze minutos de descanso à mulher antes de iniciar a jornada de horas extras. Note-se que, embora o art. 384 da CLT tenha sido revogado pela Lei 13.467/2017, o art. 386 da CLT, aqui analisado, não sofreu qualquer alteração pela Lei da Reforma Trabalhista. Paralelamente a isso, esta Corte tem afirmado reiteradamente que o art. 386 da CLT também foi recepcionado pela Constituição, devendo prevalecer sobre as disposições do art. 6º da Lei 10.101/2000, no caso das trabalhadoras no comércio em geral (julgados de todas</w:t>
      </w:r>
      <w:r>
        <w:rPr>
          <w:rFonts w:ascii="Open Sans" w:hAnsi="Open Sans" w:cs="Open Sans"/>
          <w:color w:val="000000"/>
          <w:sz w:val="24"/>
          <w:szCs w:val="24"/>
        </w:rPr>
        <w:t xml:space="preserve"> as oito Turmas do TST e da SBDI</w:t>
      </w:r>
      <w:r w:rsidRPr="00D350E5">
        <w:rPr>
          <w:rFonts w:ascii="Open Sans" w:hAnsi="Open Sans" w:cs="Open Sans"/>
          <w:color w:val="000000"/>
          <w:sz w:val="24"/>
          <w:szCs w:val="24"/>
        </w:rPr>
        <w:t>-1). Diante desse panorama, é manifesta a impossibilidade jurídica de se validar cláusula de norma coletiva que pretenda afastar ou negar a aplicabilidade do art. 386 da CLT às trabalhadoras do comércio que laboram aos domingos. Registre-se que a tese firmada pela Suprema Corte em sede de Repercussão Geral no Tema 1046 não comporta a salvaguarda da cláusula normativa em comento. Conforme decidiu a Suprema Corte,</w:t>
      </w:r>
      <w:r w:rsidRPr="00D350E5">
        <w:rPr>
          <w:rFonts w:ascii="Open Sans" w:hAnsi="Open Sans" w:cs="Open Sans"/>
          <w:i/>
          <w:color w:val="000000"/>
          <w:sz w:val="24"/>
          <w:szCs w:val="24"/>
        </w:rPr>
        <w:t xml:space="preserve"> </w:t>
      </w:r>
      <w:r w:rsidR="004B0522">
        <w:rPr>
          <w:rFonts w:ascii="Open Sans" w:hAnsi="Open Sans" w:cs="Open Sans"/>
          <w:i/>
          <w:color w:val="000000"/>
          <w:sz w:val="24"/>
          <w:szCs w:val="24"/>
        </w:rPr>
        <w:t>‘</w:t>
      </w:r>
      <w:r w:rsidRPr="00D350E5">
        <w:rPr>
          <w:rFonts w:ascii="Open Sans" w:hAnsi="Open Sans" w:cs="Open Sans"/>
          <w:i/>
          <w:color w:val="000000"/>
          <w:sz w:val="24"/>
          <w:szCs w:val="24"/>
        </w:rPr>
        <w:t xml:space="preserve">são constitucionais os acordos e as convenções coletivos que, ao considerarem a adequação setorial negociada, pactuam limitações ou afastamentos de direitos trabalhistas, independentemente da explicitação especificada de vantagens compensatórias, </w:t>
      </w:r>
      <w:r w:rsidRPr="00D350E5">
        <w:rPr>
          <w:rFonts w:ascii="Open Sans" w:hAnsi="Open Sans" w:cs="Open Sans"/>
          <w:i/>
          <w:color w:val="000000"/>
          <w:sz w:val="24"/>
          <w:szCs w:val="24"/>
          <w:u w:val="single"/>
        </w:rPr>
        <w:t>desde que respeitados os direitos absolutamente indisponíveis</w:t>
      </w:r>
      <w:r w:rsidR="004B0522">
        <w:rPr>
          <w:rFonts w:ascii="Open Sans" w:hAnsi="Open Sans" w:cs="Open Sans"/>
          <w:color w:val="000000"/>
          <w:sz w:val="24"/>
          <w:szCs w:val="24"/>
        </w:rPr>
        <w:t>’</w:t>
      </w:r>
      <w:r w:rsidRPr="00D350E5">
        <w:rPr>
          <w:rFonts w:ascii="Open Sans" w:hAnsi="Open Sans" w:cs="Open Sans"/>
          <w:color w:val="000000"/>
          <w:sz w:val="24"/>
          <w:szCs w:val="24"/>
        </w:rPr>
        <w:t xml:space="preserve">. Com </w:t>
      </w:r>
      <w:r w:rsidRPr="00D350E5">
        <w:rPr>
          <w:rFonts w:ascii="Open Sans" w:hAnsi="Open Sans" w:cs="Open Sans"/>
          <w:color w:val="000000"/>
          <w:sz w:val="24"/>
          <w:szCs w:val="24"/>
        </w:rPr>
        <w:lastRenderedPageBreak/>
        <w:t xml:space="preserve">efeito, a jurisprudência do Supremo Tribunal Federal, ao confirmar o prestígio da autonomia da vontade coletiva, não conferiu aos sindicatos e empregadores um poder ilimitado e discricionário para transacionar direitos fundamentais de índole trabalhista. Ao contrário, a Suprema Corte, no julgamento do ARE 1.121.633/GO (caso paradigma do Tema 1046), reiterou que a liberdade negocial encontra balizas nos princípios humanísticos e sociais que informam a Constituição da República, bem como nos direitos individuais e sociais expressamente previstos e considerados imperativos pela ordem jurídica vigente, realizando-se tal aferição pela aplicação do princípio da adequação setorial negociada. Segundo esse princípio, as normas autônomas </w:t>
      </w:r>
      <w:proofErr w:type="spellStart"/>
      <w:r w:rsidRPr="00D350E5">
        <w:rPr>
          <w:rFonts w:ascii="Open Sans" w:hAnsi="Open Sans" w:cs="Open Sans"/>
          <w:color w:val="000000"/>
          <w:sz w:val="24"/>
          <w:szCs w:val="24"/>
        </w:rPr>
        <w:t>juscoletivas</w:t>
      </w:r>
      <w:proofErr w:type="spellEnd"/>
      <w:r w:rsidRPr="00D350E5">
        <w:rPr>
          <w:rFonts w:ascii="Open Sans" w:hAnsi="Open Sans" w:cs="Open Sans"/>
          <w:color w:val="000000"/>
          <w:sz w:val="24"/>
          <w:szCs w:val="24"/>
        </w:rPr>
        <w:t xml:space="preserve"> não podem prevalecer se concernentes a direitos revestidos de indisponibilidade absoluta (e não indisponibilidade relativa), imantadas por uma tutela de interesse público, por constituírem um</w:t>
      </w:r>
      <w:r w:rsidRPr="00D350E5">
        <w:rPr>
          <w:rFonts w:ascii="Open Sans" w:hAnsi="Open Sans" w:cs="Open Sans"/>
          <w:i/>
          <w:color w:val="000000"/>
          <w:sz w:val="24"/>
          <w:szCs w:val="24"/>
        </w:rPr>
        <w:t xml:space="preserve"> patamar civilizatório mínimo</w:t>
      </w:r>
      <w:r w:rsidRPr="00D350E5">
        <w:rPr>
          <w:rFonts w:ascii="Open Sans" w:hAnsi="Open Sans" w:cs="Open Sans"/>
          <w:color w:val="000000"/>
          <w:sz w:val="24"/>
          <w:szCs w:val="24"/>
        </w:rPr>
        <w:t xml:space="preserve"> que a sociedade democrática não </w:t>
      </w:r>
      <w:r w:rsidRPr="00986EB9">
        <w:rPr>
          <w:rFonts w:ascii="Open Sans" w:hAnsi="Open Sans" w:cs="Open Sans"/>
          <w:color w:val="000000"/>
          <w:sz w:val="24"/>
          <w:szCs w:val="24"/>
          <w:u w:val="single"/>
        </w:rPr>
        <w:t xml:space="preserve">concebe </w:t>
      </w:r>
      <w:r w:rsidRPr="00D350E5">
        <w:rPr>
          <w:rFonts w:ascii="Open Sans" w:hAnsi="Open Sans" w:cs="Open Sans"/>
          <w:color w:val="000000"/>
          <w:sz w:val="24"/>
          <w:szCs w:val="24"/>
        </w:rPr>
        <w:t xml:space="preserve">ver reduzido em qualquer segmento econômico-profissional, </w:t>
      </w:r>
      <w:proofErr w:type="gramStart"/>
      <w:r w:rsidRPr="00D350E5">
        <w:rPr>
          <w:rFonts w:ascii="Open Sans" w:hAnsi="Open Sans" w:cs="Open Sans"/>
          <w:color w:val="000000"/>
          <w:sz w:val="24"/>
          <w:szCs w:val="24"/>
        </w:rPr>
        <w:t>sob pena</w:t>
      </w:r>
      <w:proofErr w:type="gramEnd"/>
      <w:r w:rsidRPr="00D350E5">
        <w:rPr>
          <w:rFonts w:ascii="Open Sans" w:hAnsi="Open Sans" w:cs="Open Sans"/>
          <w:color w:val="000000"/>
          <w:sz w:val="24"/>
          <w:szCs w:val="24"/>
        </w:rPr>
        <w:t xml:space="preserve"> de se afrontarem a própria dignidade da pessoa humana e a valorização mínima deferível ao </w:t>
      </w:r>
      <w:r>
        <w:rPr>
          <w:rFonts w:ascii="Open Sans" w:hAnsi="Open Sans" w:cs="Open Sans"/>
          <w:color w:val="000000"/>
          <w:sz w:val="24"/>
          <w:szCs w:val="24"/>
        </w:rPr>
        <w:t>trabalho (</w:t>
      </w:r>
      <w:proofErr w:type="spellStart"/>
      <w:r>
        <w:rPr>
          <w:rFonts w:ascii="Open Sans" w:hAnsi="Open Sans" w:cs="Open Sans"/>
          <w:color w:val="000000"/>
          <w:sz w:val="24"/>
          <w:szCs w:val="24"/>
        </w:rPr>
        <w:t>arts</w:t>
      </w:r>
      <w:proofErr w:type="spellEnd"/>
      <w:r>
        <w:rPr>
          <w:rFonts w:ascii="Open Sans" w:hAnsi="Open Sans" w:cs="Open Sans"/>
          <w:color w:val="000000"/>
          <w:sz w:val="24"/>
          <w:szCs w:val="24"/>
        </w:rPr>
        <w:t xml:space="preserve">. 1º, III, e 170, </w:t>
      </w:r>
      <w:r w:rsidRPr="00D350E5">
        <w:rPr>
          <w:rFonts w:ascii="Open Sans" w:hAnsi="Open Sans" w:cs="Open Sans"/>
          <w:i/>
          <w:color w:val="000000"/>
          <w:sz w:val="24"/>
          <w:szCs w:val="24"/>
        </w:rPr>
        <w:t>caput</w:t>
      </w:r>
      <w:r w:rsidRPr="00D350E5">
        <w:rPr>
          <w:rFonts w:ascii="Open Sans" w:hAnsi="Open Sans" w:cs="Open Sans"/>
          <w:color w:val="000000"/>
          <w:sz w:val="24"/>
          <w:szCs w:val="24"/>
        </w:rPr>
        <w:t>, CF/88). No caso brasileiro, esse patamar civilizatório mínimo está dado, essencialmente, por três grupos convergentes de normas trabalhistas heterônomas: a</w:t>
      </w:r>
      <w:r w:rsidRPr="00986EB9">
        <w:rPr>
          <w:rFonts w:ascii="Open Sans" w:hAnsi="Open Sans" w:cs="Open Sans"/>
          <w:i/>
          <w:color w:val="000000"/>
          <w:sz w:val="24"/>
          <w:szCs w:val="24"/>
        </w:rPr>
        <w:t>s normas constitucionais em geral</w:t>
      </w:r>
      <w:r w:rsidRPr="00D350E5">
        <w:rPr>
          <w:rFonts w:ascii="Open Sans" w:hAnsi="Open Sans" w:cs="Open Sans"/>
          <w:color w:val="000000"/>
          <w:sz w:val="24"/>
          <w:szCs w:val="24"/>
        </w:rPr>
        <w:t xml:space="preserve"> (respeitadas, é claro, as ressalvas parciais expressamente feitas pela própria Constituição: art. 7º</w:t>
      </w:r>
      <w:proofErr w:type="gramStart"/>
      <w:r w:rsidRPr="00D350E5">
        <w:rPr>
          <w:rFonts w:ascii="Open Sans" w:hAnsi="Open Sans" w:cs="Open Sans"/>
          <w:color w:val="000000"/>
          <w:sz w:val="24"/>
          <w:szCs w:val="24"/>
        </w:rPr>
        <w:t>, VI</w:t>
      </w:r>
      <w:proofErr w:type="gramEnd"/>
      <w:r w:rsidRPr="00D350E5">
        <w:rPr>
          <w:rFonts w:ascii="Open Sans" w:hAnsi="Open Sans" w:cs="Open Sans"/>
          <w:color w:val="000000"/>
          <w:sz w:val="24"/>
          <w:szCs w:val="24"/>
        </w:rPr>
        <w:t xml:space="preserve">, XIII e XIV, por exemplo); </w:t>
      </w:r>
      <w:r w:rsidRPr="00986EB9">
        <w:rPr>
          <w:rFonts w:ascii="Open Sans" w:hAnsi="Open Sans" w:cs="Open Sans"/>
          <w:i/>
          <w:color w:val="000000"/>
          <w:sz w:val="24"/>
          <w:szCs w:val="24"/>
        </w:rPr>
        <w:t>as normas de tratados e convenções internacionais vigorantes no plano interno brasileiro</w:t>
      </w:r>
      <w:r w:rsidRPr="00D350E5">
        <w:rPr>
          <w:rFonts w:ascii="Open Sans" w:hAnsi="Open Sans" w:cs="Open Sans"/>
          <w:color w:val="000000"/>
          <w:sz w:val="24"/>
          <w:szCs w:val="24"/>
        </w:rPr>
        <w:t xml:space="preserve"> (referidas pelo art. 5º, § 2º, CF/88, já expressando um patamar civilizatório no próprio mundo ocidental em que se integra o Brasil);</w:t>
      </w:r>
      <w:r w:rsidRPr="00986EB9">
        <w:rPr>
          <w:rFonts w:ascii="Open Sans" w:hAnsi="Open Sans" w:cs="Open Sans"/>
          <w:i/>
          <w:color w:val="000000"/>
          <w:sz w:val="24"/>
          <w:szCs w:val="24"/>
        </w:rPr>
        <w:t xml:space="preserve"> as normas legais infraconstitucionais que asseguram patamares de cidadania ao indivíduo que labora</w:t>
      </w:r>
      <w:r>
        <w:rPr>
          <w:rFonts w:ascii="Open Sans" w:hAnsi="Open Sans" w:cs="Open Sans"/>
          <w:color w:val="000000"/>
          <w:sz w:val="24"/>
          <w:szCs w:val="24"/>
        </w:rPr>
        <w:t xml:space="preserve"> (</w:t>
      </w:r>
      <w:r w:rsidRPr="00D350E5">
        <w:rPr>
          <w:rFonts w:ascii="Open Sans" w:hAnsi="Open Sans" w:cs="Open Sans"/>
          <w:color w:val="000000"/>
          <w:sz w:val="24"/>
          <w:szCs w:val="24"/>
        </w:rPr>
        <w:t xml:space="preserve">preceitos relativos à saúde e segurança no trabalho , normas concernentes a bases salariais mínimas, normas de identificação profissional, dispositivos </w:t>
      </w:r>
      <w:proofErr w:type="spellStart"/>
      <w:r w:rsidRPr="00D350E5">
        <w:rPr>
          <w:rFonts w:ascii="Open Sans" w:hAnsi="Open Sans" w:cs="Open Sans"/>
          <w:color w:val="000000"/>
          <w:sz w:val="24"/>
          <w:szCs w:val="24"/>
        </w:rPr>
        <w:t>antidiscriminatórios</w:t>
      </w:r>
      <w:proofErr w:type="spellEnd"/>
      <w:r w:rsidRPr="00D350E5">
        <w:rPr>
          <w:rFonts w:ascii="Open Sans" w:hAnsi="Open Sans" w:cs="Open Sans"/>
          <w:color w:val="000000"/>
          <w:sz w:val="24"/>
          <w:szCs w:val="24"/>
        </w:rPr>
        <w:t xml:space="preserve">, etc.). Perceba-se que, embora a Lei n. 13.467/2017 tenha alargado o elenco de parcelas de indisponibilidade apenas relativa - inclusive, em muitos casos, em arrepio e desprezo ao estuário normativo da Constituição de 1988 (vide o amplo rol de temas constantes no art. 611-A da CLT) -, ela não buscou eliminar a fundamental distinção entre direitos de indisponibilidade absoluta e direitos de indisponibilidade relativa. Nesse sentido, o art. 611-B, em seus incisos I a XXX, projeta o princípio da adequação setorial negociada, ao estabelecer limites jurídicos objetivos à criatividade jurídica da negociação coletiva trabalhista, proibindo a supressão ou a redução dos direitos trabalhistas de indisponibilidade </w:t>
      </w:r>
      <w:proofErr w:type="gramStart"/>
      <w:r w:rsidRPr="00D350E5">
        <w:rPr>
          <w:rFonts w:ascii="Open Sans" w:hAnsi="Open Sans" w:cs="Open Sans"/>
          <w:color w:val="000000"/>
          <w:sz w:val="24"/>
          <w:szCs w:val="24"/>
        </w:rPr>
        <w:t>absoluta ali elencados</w:t>
      </w:r>
      <w:proofErr w:type="gramEnd"/>
      <w:r w:rsidRPr="00D350E5">
        <w:rPr>
          <w:rFonts w:ascii="Open Sans" w:hAnsi="Open Sans" w:cs="Open Sans"/>
          <w:color w:val="000000"/>
          <w:sz w:val="24"/>
          <w:szCs w:val="24"/>
        </w:rPr>
        <w:t xml:space="preserve">. A propósito, um desses direitos expressamente mencionados no referido dispositivo, de indisponibilidade absoluta e insuscetível de supressão ou redução pela negociação coletiva, é o da </w:t>
      </w:r>
      <w:r w:rsidR="004B0522">
        <w:rPr>
          <w:rFonts w:ascii="Open Sans" w:hAnsi="Open Sans" w:cs="Open Sans"/>
          <w:i/>
          <w:color w:val="000000"/>
          <w:sz w:val="24"/>
          <w:szCs w:val="24"/>
        </w:rPr>
        <w:t>‘</w:t>
      </w:r>
      <w:r w:rsidRPr="00986EB9">
        <w:rPr>
          <w:rFonts w:ascii="Open Sans" w:hAnsi="Open Sans" w:cs="Open Sans"/>
          <w:i/>
          <w:color w:val="000000"/>
          <w:sz w:val="24"/>
          <w:szCs w:val="24"/>
        </w:rPr>
        <w:t xml:space="preserve">proteção do mercado de trabalho da mulher, mediante incentivos específicos, nos </w:t>
      </w:r>
      <w:proofErr w:type="gramStart"/>
      <w:r w:rsidRPr="00986EB9">
        <w:rPr>
          <w:rFonts w:ascii="Open Sans" w:hAnsi="Open Sans" w:cs="Open Sans"/>
          <w:i/>
          <w:color w:val="000000"/>
          <w:sz w:val="24"/>
          <w:szCs w:val="24"/>
        </w:rPr>
        <w:t>termos da lei</w:t>
      </w:r>
      <w:r w:rsidR="004B0522">
        <w:rPr>
          <w:rFonts w:ascii="Open Sans" w:hAnsi="Open Sans" w:cs="Open Sans"/>
          <w:i/>
          <w:color w:val="000000"/>
          <w:sz w:val="24"/>
          <w:szCs w:val="24"/>
        </w:rPr>
        <w:t>’</w:t>
      </w:r>
      <w:r w:rsidRPr="00986EB9">
        <w:rPr>
          <w:rFonts w:ascii="Open Sans" w:hAnsi="Open Sans" w:cs="Open Sans"/>
          <w:i/>
          <w:color w:val="000000"/>
          <w:sz w:val="24"/>
          <w:szCs w:val="24"/>
        </w:rPr>
        <w:t>,</w:t>
      </w:r>
      <w:r w:rsidRPr="00D350E5">
        <w:rPr>
          <w:rFonts w:ascii="Open Sans" w:hAnsi="Open Sans" w:cs="Open Sans"/>
          <w:color w:val="000000"/>
          <w:sz w:val="24"/>
          <w:szCs w:val="24"/>
        </w:rPr>
        <w:t xml:space="preserve"> fixado no inciso XV do art. 611-B da CLT</w:t>
      </w:r>
      <w:proofErr w:type="gramEnd"/>
      <w:r w:rsidRPr="00D350E5">
        <w:rPr>
          <w:rFonts w:ascii="Open Sans" w:hAnsi="Open Sans" w:cs="Open Sans"/>
          <w:color w:val="000000"/>
          <w:sz w:val="24"/>
          <w:szCs w:val="24"/>
        </w:rPr>
        <w:t xml:space="preserve">. </w:t>
      </w:r>
      <w:r w:rsidRPr="00986EB9">
        <w:rPr>
          <w:rFonts w:ascii="Open Sans" w:hAnsi="Open Sans" w:cs="Open Sans"/>
          <w:color w:val="000000"/>
          <w:sz w:val="24"/>
          <w:szCs w:val="24"/>
          <w:u w:val="single"/>
        </w:rPr>
        <w:t>No caso concreto</w:t>
      </w:r>
      <w:r w:rsidRPr="00D350E5">
        <w:rPr>
          <w:rFonts w:ascii="Open Sans" w:hAnsi="Open Sans" w:cs="Open Sans"/>
          <w:color w:val="000000"/>
          <w:sz w:val="24"/>
          <w:szCs w:val="24"/>
        </w:rPr>
        <w:t xml:space="preserve">, conforme exaustivamente exposto, o debate sobre a cláusula examinada não se limita a uma dimensão meramente formal ou quantitativa, mas, fundamentalmente, à questão de gênero, bem como à necessidade de se concretizar a igualdade substantiva entre homens e mulheres. A ordem jurídica brasileira, em sua integridade </w:t>
      </w:r>
      <w:proofErr w:type="spellStart"/>
      <w:r w:rsidRPr="00D350E5">
        <w:rPr>
          <w:rFonts w:ascii="Open Sans" w:hAnsi="Open Sans" w:cs="Open Sans"/>
          <w:color w:val="000000"/>
          <w:sz w:val="24"/>
          <w:szCs w:val="24"/>
        </w:rPr>
        <w:t>principiológica</w:t>
      </w:r>
      <w:proofErr w:type="spellEnd"/>
      <w:r w:rsidRPr="00D350E5">
        <w:rPr>
          <w:rFonts w:ascii="Open Sans" w:hAnsi="Open Sans" w:cs="Open Sans"/>
          <w:color w:val="000000"/>
          <w:sz w:val="24"/>
          <w:szCs w:val="24"/>
        </w:rPr>
        <w:t xml:space="preserve">, manifesta uma intencionalidade em moldar as relações sociais para alcançar tal fim, conforme bem ilustram os direitos sociais fundamentais aqui mencionados, a exemplo do art. 7º, XX, da Constituição Federal, que determina a proteção do mercado de trabalho da mulher por meio de incentivos específicos. Em conclusão, o art. 386 da CLT é um direito de indisponibilidade absoluta, destinado a </w:t>
      </w:r>
      <w:r w:rsidRPr="00D350E5">
        <w:rPr>
          <w:rFonts w:ascii="Open Sans" w:hAnsi="Open Sans" w:cs="Open Sans"/>
          <w:color w:val="000000"/>
          <w:sz w:val="24"/>
          <w:szCs w:val="24"/>
        </w:rPr>
        <w:lastRenderedPageBreak/>
        <w:t xml:space="preserve">mitigar desvantagens históricas e a promover um ambiente de trabalho mais equitativo e digno para as trabalhadoras, e não está sujeito à </w:t>
      </w:r>
      <w:proofErr w:type="gramStart"/>
      <w:r w:rsidRPr="00D350E5">
        <w:rPr>
          <w:rFonts w:ascii="Open Sans" w:hAnsi="Open Sans" w:cs="Open Sans"/>
          <w:color w:val="000000"/>
          <w:sz w:val="24"/>
          <w:szCs w:val="24"/>
        </w:rPr>
        <w:t>flexibilização</w:t>
      </w:r>
      <w:proofErr w:type="gramEnd"/>
      <w:r w:rsidRPr="00D350E5">
        <w:rPr>
          <w:rFonts w:ascii="Open Sans" w:hAnsi="Open Sans" w:cs="Open Sans"/>
          <w:color w:val="000000"/>
          <w:sz w:val="24"/>
          <w:szCs w:val="24"/>
        </w:rPr>
        <w:t xml:space="preserve"> pela negociação coletiva. A tentativa de afastar a incidência do referido dispositivo por meio de cláusula normativa configura uma violação direta e frontal à Constituição Federal e aos princípios que a regem. Mantém-se o acórdão recorrido, que declarou ilícita a Cláusula 31ª, §1º, da Convenção Coletiva de Trabalho. </w:t>
      </w:r>
      <w:proofErr w:type="gramStart"/>
      <w:r w:rsidRPr="00D350E5">
        <w:rPr>
          <w:rFonts w:ascii="Open Sans" w:hAnsi="Open Sans" w:cs="Open Sans"/>
          <w:color w:val="000000"/>
          <w:sz w:val="24"/>
          <w:szCs w:val="24"/>
        </w:rPr>
        <w:t>Recurso ordinário desprovido.</w:t>
      </w:r>
      <w:r>
        <w:rPr>
          <w:rFonts w:ascii="Open Sans" w:hAnsi="Open Sans" w:cs="Open Sans"/>
          <w:color w:val="000000"/>
          <w:sz w:val="24"/>
          <w:szCs w:val="24"/>
        </w:rPr>
        <w:t>”</w:t>
      </w:r>
      <w:proofErr w:type="gramEnd"/>
      <w:r>
        <w:rPr>
          <w:rFonts w:ascii="Open Sans" w:hAnsi="Open Sans" w:cs="Open Sans"/>
          <w:color w:val="000000"/>
          <w:sz w:val="24"/>
          <w:szCs w:val="24"/>
        </w:rPr>
        <w:t xml:space="preserve">  </w:t>
      </w:r>
      <w:hyperlink r:id="rId9" w:anchor="97d797a" w:history="1">
        <w:r w:rsidRPr="00986EB9">
          <w:rPr>
            <w:rStyle w:val="Hyperlink"/>
            <w:rFonts w:ascii="Open Sans" w:hAnsi="Open Sans" w:cs="Open Sans"/>
            <w:sz w:val="24"/>
            <w:szCs w:val="24"/>
          </w:rPr>
          <w:t>TST-ROT-0001503-12.2024.5.21.0000, SDC, Relator Ministro Mauricio Godinho Delgado, julgado em 13/4/2026.</w:t>
        </w:r>
      </w:hyperlink>
    </w:p>
    <w:p w:rsidR="00D350E5" w:rsidRDefault="00D350E5" w:rsidP="000E4F43">
      <w:pPr>
        <w:suppressAutoHyphens/>
        <w:ind w:left="-227" w:right="369"/>
        <w:jc w:val="both"/>
        <w:rPr>
          <w:rFonts w:ascii="Open Sans" w:hAnsi="Open Sans" w:cs="Open Sans"/>
          <w:color w:val="000000"/>
          <w:sz w:val="24"/>
          <w:szCs w:val="24"/>
        </w:rPr>
      </w:pPr>
    </w:p>
    <w:p w:rsidR="001A7589" w:rsidRPr="003509A3" w:rsidRDefault="001A7589" w:rsidP="00067B05">
      <w:pPr>
        <w:pStyle w:val="Ttulo1"/>
        <w:spacing w:before="0"/>
        <w:ind w:left="-227" w:right="369"/>
      </w:pPr>
      <w:r w:rsidRPr="003509A3">
        <w:t xml:space="preserve">SUBSEÇÃO </w:t>
      </w:r>
      <w:r>
        <w:t>I</w:t>
      </w:r>
      <w:r w:rsidRPr="003509A3">
        <w:t xml:space="preserve"> ESPECIALIZADA EM DISSÍDIOS INDIVIDUAIS</w:t>
      </w:r>
    </w:p>
    <w:p w:rsidR="00EA4ED7" w:rsidRDefault="00EA4ED7" w:rsidP="00255D91">
      <w:pPr>
        <w:ind w:left="-340" w:right="340"/>
        <w:jc w:val="both"/>
        <w:rPr>
          <w:rFonts w:ascii="Open Sans" w:hAnsi="Open Sans" w:cs="Open Sans"/>
          <w:color w:val="000000"/>
          <w:sz w:val="24"/>
          <w:szCs w:val="24"/>
        </w:rPr>
      </w:pPr>
    </w:p>
    <w:p w:rsidR="00EA4ED7" w:rsidRDefault="00EA4ED7" w:rsidP="004B0522">
      <w:pPr>
        <w:ind w:left="-255" w:right="340"/>
        <w:jc w:val="both"/>
        <w:rPr>
          <w:rFonts w:ascii="Open Sans" w:hAnsi="Open Sans" w:cs="Open Sans"/>
          <w:b/>
          <w:bCs/>
          <w:i/>
          <w:color w:val="000000"/>
          <w:sz w:val="24"/>
          <w:szCs w:val="24"/>
        </w:rPr>
      </w:pPr>
      <w:r>
        <w:rPr>
          <w:rFonts w:ascii="Open Sans" w:hAnsi="Open Sans" w:cs="Open Sans"/>
          <w:b/>
          <w:bCs/>
          <w:i/>
          <w:color w:val="000000"/>
          <w:sz w:val="24"/>
          <w:szCs w:val="24"/>
        </w:rPr>
        <w:t>Nulidade processual. Configuração. Não apreciação de requerimento</w:t>
      </w:r>
      <w:r w:rsidRPr="00EA4ED7">
        <w:rPr>
          <w:rFonts w:ascii="Open Sans" w:hAnsi="Open Sans" w:cs="Open Sans"/>
          <w:b/>
          <w:bCs/>
          <w:i/>
          <w:color w:val="000000"/>
          <w:sz w:val="24"/>
          <w:szCs w:val="24"/>
        </w:rPr>
        <w:t xml:space="preserve"> de retirada de pauta</w:t>
      </w:r>
      <w:r w:rsidR="00313109">
        <w:rPr>
          <w:rFonts w:ascii="Open Sans" w:hAnsi="Open Sans" w:cs="Open Sans"/>
          <w:b/>
          <w:bCs/>
          <w:i/>
          <w:color w:val="000000"/>
          <w:sz w:val="24"/>
          <w:szCs w:val="24"/>
        </w:rPr>
        <w:t xml:space="preserve"> virtual para inclusão em pauta presencial</w:t>
      </w:r>
      <w:r w:rsidRPr="00EA4ED7">
        <w:rPr>
          <w:rFonts w:ascii="Open Sans" w:hAnsi="Open Sans" w:cs="Open Sans"/>
          <w:b/>
          <w:bCs/>
          <w:i/>
          <w:color w:val="000000"/>
          <w:sz w:val="24"/>
          <w:szCs w:val="24"/>
        </w:rPr>
        <w:t xml:space="preserve"> formulado por única advogada constituída nos autos</w:t>
      </w:r>
      <w:r>
        <w:rPr>
          <w:rFonts w:ascii="Open Sans" w:hAnsi="Open Sans" w:cs="Open Sans"/>
          <w:b/>
          <w:bCs/>
          <w:i/>
          <w:color w:val="000000"/>
          <w:sz w:val="24"/>
          <w:szCs w:val="24"/>
        </w:rPr>
        <w:t>.</w:t>
      </w:r>
      <w:r w:rsidRPr="00EA4ED7">
        <w:rPr>
          <w:rFonts w:ascii="Open Sans" w:hAnsi="Open Sans" w:cs="Open Sans"/>
          <w:b/>
          <w:bCs/>
          <w:i/>
          <w:color w:val="000000"/>
          <w:sz w:val="24"/>
          <w:szCs w:val="24"/>
        </w:rPr>
        <w:t xml:space="preserve"> </w:t>
      </w:r>
      <w:r>
        <w:rPr>
          <w:rFonts w:ascii="Open Sans" w:hAnsi="Open Sans" w:cs="Open Sans"/>
          <w:b/>
          <w:bCs/>
          <w:i/>
          <w:color w:val="000000"/>
          <w:sz w:val="24"/>
          <w:szCs w:val="24"/>
        </w:rPr>
        <w:t>Impossibilidade de acompanhamento do julgamento em razão de intercorrências oriundas</w:t>
      </w:r>
      <w:r w:rsidRPr="00EA4ED7">
        <w:rPr>
          <w:rFonts w:ascii="Open Sans" w:hAnsi="Open Sans" w:cs="Open Sans"/>
          <w:b/>
          <w:bCs/>
          <w:i/>
          <w:color w:val="000000"/>
          <w:sz w:val="24"/>
          <w:szCs w:val="24"/>
        </w:rPr>
        <w:t xml:space="preserve"> de cirurgia cesariana. Ausência de direito à susten</w:t>
      </w:r>
      <w:r>
        <w:rPr>
          <w:rFonts w:ascii="Open Sans" w:hAnsi="Open Sans" w:cs="Open Sans"/>
          <w:b/>
          <w:bCs/>
          <w:i/>
          <w:color w:val="000000"/>
          <w:sz w:val="24"/>
          <w:szCs w:val="24"/>
        </w:rPr>
        <w:t>tação oral. Necessidade de preservação</w:t>
      </w:r>
      <w:r w:rsidRPr="00EA4ED7">
        <w:rPr>
          <w:rFonts w:ascii="Open Sans" w:hAnsi="Open Sans" w:cs="Open Sans"/>
          <w:b/>
          <w:bCs/>
          <w:i/>
          <w:color w:val="000000"/>
          <w:sz w:val="24"/>
          <w:szCs w:val="24"/>
        </w:rPr>
        <w:t xml:space="preserve"> das demais prerrogativas profissionais da advocacia. Aplicação do Protocolo para Julgamento com Perspectiva de Gênero do CNJ. </w:t>
      </w:r>
    </w:p>
    <w:p w:rsidR="00A35CD6" w:rsidRDefault="00EA4ED7" w:rsidP="007111F0">
      <w:pPr>
        <w:ind w:left="-255" w:right="340"/>
        <w:jc w:val="both"/>
        <w:rPr>
          <w:rFonts w:ascii="Open Sans" w:hAnsi="Open Sans" w:cs="Open Sans"/>
          <w:color w:val="000000"/>
          <w:sz w:val="24"/>
          <w:szCs w:val="24"/>
        </w:rPr>
      </w:pPr>
      <w:r w:rsidRPr="00EA4ED7">
        <w:rPr>
          <w:rFonts w:ascii="Open Sans" w:hAnsi="Open Sans" w:cs="Open Sans"/>
          <w:color w:val="000000"/>
          <w:sz w:val="24"/>
          <w:szCs w:val="24"/>
        </w:rPr>
        <w:t>Embora não haja direito à sustentação oral em agravo interno interposto contra dec</w:t>
      </w:r>
      <w:r w:rsidR="00313109">
        <w:rPr>
          <w:rFonts w:ascii="Open Sans" w:hAnsi="Open Sans" w:cs="Open Sans"/>
          <w:color w:val="000000"/>
          <w:sz w:val="24"/>
          <w:szCs w:val="24"/>
        </w:rPr>
        <w:t>isão da Presidência de Turma que não admite o recurso previsto no art. 894 da CLT</w:t>
      </w:r>
      <w:r w:rsidRPr="00EA4ED7">
        <w:rPr>
          <w:rFonts w:ascii="Open Sans" w:hAnsi="Open Sans" w:cs="Open Sans"/>
          <w:color w:val="000000"/>
          <w:sz w:val="24"/>
          <w:szCs w:val="24"/>
        </w:rPr>
        <w:t>, a impossibilidade de seu exercício não afasta as demais prerrogativas asseguradas pelo art. 7º, X, da Lei nº 8.906/1994. Na hipótese, a única advogada constituída nos autos requereu, antes do julgamento em sessão virtual,</w:t>
      </w:r>
      <w:r w:rsidR="00313109">
        <w:rPr>
          <w:rFonts w:ascii="Open Sans" w:hAnsi="Open Sans" w:cs="Open Sans"/>
          <w:color w:val="000000"/>
          <w:sz w:val="24"/>
          <w:szCs w:val="24"/>
        </w:rPr>
        <w:t xml:space="preserve"> a retirada do processo e inclusão em pauta presencial</w:t>
      </w:r>
      <w:r w:rsidRPr="00EA4ED7">
        <w:rPr>
          <w:rFonts w:ascii="Open Sans" w:hAnsi="Open Sans" w:cs="Open Sans"/>
          <w:color w:val="000000"/>
          <w:sz w:val="24"/>
          <w:szCs w:val="24"/>
        </w:rPr>
        <w:t xml:space="preserve"> em razão de convalescença decorrente de intercorrências ocorridas durante cirurgia cesariana, pleito que não foi apreciado pelo Colegiado. Considerando que o exercício da prerrogativa de usar da palavra</w:t>
      </w:r>
      <w:r w:rsidR="006C0750">
        <w:rPr>
          <w:rFonts w:ascii="Open Sans" w:hAnsi="Open Sans" w:cs="Open Sans"/>
          <w:color w:val="000000"/>
          <w:sz w:val="24"/>
          <w:szCs w:val="24"/>
        </w:rPr>
        <w:t>, mediante intervenções pontuais,</w:t>
      </w:r>
      <w:r w:rsidRPr="00EA4ED7">
        <w:rPr>
          <w:rFonts w:ascii="Open Sans" w:hAnsi="Open Sans" w:cs="Open Sans"/>
          <w:color w:val="000000"/>
          <w:sz w:val="24"/>
          <w:szCs w:val="24"/>
        </w:rPr>
        <w:t xml:space="preserve"> para esclarecer equívocos ou dúvidas suscetíveis de i</w:t>
      </w:r>
      <w:r w:rsidR="006C0750">
        <w:rPr>
          <w:rFonts w:ascii="Open Sans" w:hAnsi="Open Sans" w:cs="Open Sans"/>
          <w:color w:val="000000"/>
          <w:sz w:val="24"/>
          <w:szCs w:val="24"/>
        </w:rPr>
        <w:t xml:space="preserve">nfluenciar o julgamento integra </w:t>
      </w:r>
      <w:r w:rsidRPr="00EA4ED7">
        <w:rPr>
          <w:rFonts w:ascii="Open Sans" w:hAnsi="Open Sans" w:cs="Open Sans"/>
          <w:color w:val="000000"/>
          <w:sz w:val="24"/>
          <w:szCs w:val="24"/>
        </w:rPr>
        <w:t>as garantias da ampla defesa e que a situação atrai a incidência do Protocolo para Julgamento com Perspectiva de Gênero do CNJ, revela-se nulo o julgamento realizado sem a apreciação do requerimento.</w:t>
      </w:r>
      <w:r w:rsidR="006C0750">
        <w:rPr>
          <w:rFonts w:ascii="Open Sans" w:hAnsi="Open Sans" w:cs="Open Sans"/>
          <w:color w:val="000000"/>
          <w:sz w:val="24"/>
          <w:szCs w:val="24"/>
        </w:rPr>
        <w:t xml:space="preserve"> Nesse contexto</w:t>
      </w:r>
      <w:r w:rsidRPr="00EA4ED7">
        <w:rPr>
          <w:rFonts w:ascii="Open Sans" w:hAnsi="Open Sans" w:cs="Open Sans"/>
          <w:color w:val="000000"/>
          <w:sz w:val="24"/>
          <w:szCs w:val="24"/>
        </w:rPr>
        <w:t>, a SBDI-I, por unanimidade, acolheu os embargos de declaração para declarar a nulidade do</w:t>
      </w:r>
      <w:r w:rsidR="006C0750">
        <w:rPr>
          <w:rFonts w:ascii="Open Sans" w:hAnsi="Open Sans" w:cs="Open Sans"/>
          <w:color w:val="000000"/>
          <w:sz w:val="24"/>
          <w:szCs w:val="24"/>
        </w:rPr>
        <w:t xml:space="preserve"> acórdão embargado e determinar </w:t>
      </w:r>
      <w:r w:rsidRPr="00EA4ED7">
        <w:rPr>
          <w:rFonts w:ascii="Open Sans" w:hAnsi="Open Sans" w:cs="Open Sans"/>
          <w:color w:val="000000"/>
          <w:sz w:val="24"/>
          <w:szCs w:val="24"/>
        </w:rPr>
        <w:t>a realização de novo j</w:t>
      </w:r>
      <w:r w:rsidR="006C0750">
        <w:rPr>
          <w:rFonts w:ascii="Open Sans" w:hAnsi="Open Sans" w:cs="Open Sans"/>
          <w:color w:val="000000"/>
          <w:sz w:val="24"/>
          <w:szCs w:val="24"/>
        </w:rPr>
        <w:t>ulgamento em sessão presencial</w:t>
      </w:r>
      <w:r w:rsidRPr="00EA4ED7">
        <w:rPr>
          <w:rFonts w:ascii="Open Sans" w:hAnsi="Open Sans" w:cs="Open Sans"/>
          <w:color w:val="000000"/>
          <w:sz w:val="24"/>
          <w:szCs w:val="24"/>
        </w:rPr>
        <w:t xml:space="preserve">. </w:t>
      </w:r>
      <w:hyperlink r:id="rId10" w:history="1">
        <w:r w:rsidRPr="006C0750">
          <w:rPr>
            <w:rStyle w:val="Hyperlink"/>
            <w:rFonts w:ascii="Open Sans" w:hAnsi="Open Sans" w:cs="Open Sans"/>
            <w:sz w:val="24"/>
            <w:szCs w:val="24"/>
          </w:rPr>
          <w:t xml:space="preserve">TST-ED-Ag-E-Ag-AIRR-84-65.2021.5.08.0018, SBDI-I, Rel. Min. Evandro Pereira Valadão Lopes, </w:t>
        </w:r>
        <w:proofErr w:type="gramStart"/>
        <w:r w:rsidRPr="006C0750">
          <w:rPr>
            <w:rStyle w:val="Hyperlink"/>
            <w:rFonts w:ascii="Open Sans" w:hAnsi="Open Sans" w:cs="Open Sans"/>
            <w:sz w:val="24"/>
            <w:szCs w:val="24"/>
          </w:rPr>
          <w:t>16/4/2026.</w:t>
        </w:r>
        <w:proofErr w:type="gramEnd"/>
      </w:hyperlink>
    </w:p>
    <w:p w:rsidR="007111F0" w:rsidRPr="007111F0" w:rsidRDefault="007111F0" w:rsidP="007111F0">
      <w:pPr>
        <w:ind w:left="-255" w:right="340"/>
        <w:jc w:val="both"/>
        <w:rPr>
          <w:rFonts w:ascii="Open Sans" w:hAnsi="Open Sans" w:cs="Open Sans"/>
          <w:color w:val="000000"/>
          <w:sz w:val="24"/>
          <w:szCs w:val="24"/>
        </w:rPr>
      </w:pPr>
    </w:p>
    <w:p w:rsidR="005F0E81" w:rsidRDefault="00ED375D" w:rsidP="004B0522">
      <w:pPr>
        <w:ind w:left="-255" w:right="340"/>
        <w:jc w:val="both"/>
        <w:rPr>
          <w:rFonts w:ascii="Open Sans" w:hAnsi="Open Sans" w:cs="Open Sans"/>
          <w:color w:val="000000"/>
          <w:sz w:val="24"/>
          <w:szCs w:val="24"/>
        </w:rPr>
      </w:pPr>
      <w:r>
        <w:rPr>
          <w:rFonts w:ascii="Open Sans" w:hAnsi="Open Sans" w:cs="Open Sans"/>
          <w:b/>
          <w:color w:val="000000"/>
          <w:sz w:val="24"/>
          <w:szCs w:val="24"/>
        </w:rPr>
        <w:t>“</w:t>
      </w:r>
      <w:r w:rsidRPr="00ED375D">
        <w:rPr>
          <w:rFonts w:ascii="Open Sans" w:hAnsi="Open Sans" w:cs="Open Sans"/>
          <w:b/>
          <w:color w:val="000000"/>
          <w:sz w:val="24"/>
          <w:szCs w:val="24"/>
        </w:rPr>
        <w:t xml:space="preserve">AGRAVO INTERNO EM EMBARGOS EM RECURSO DE REVISTA. INTERPOSIÇÃO NA VIGÊNCIA DA LEI Nº 13.467/2017. LEGITIMIDADE ATIVA DO SINDICATO DA CATEGORIA PROFISSIONAL. SUBSTITUIÇÃO PROCESSUAL. ADICIONAL DE INSALUBRIDADE. DIREITOS INDIVIDUAIS HOMOGÊNEOS. </w:t>
      </w:r>
      <w:r w:rsidRPr="00ED375D">
        <w:rPr>
          <w:rFonts w:ascii="Open Sans" w:hAnsi="Open Sans" w:cs="Open Sans"/>
          <w:color w:val="000000"/>
          <w:sz w:val="24"/>
          <w:szCs w:val="24"/>
        </w:rPr>
        <w:t xml:space="preserve">O reconhecimento da legitimidade ativa do sindicato da categoria profissional para pleitear direitos individuais homogêneos guarda sintonia com a jurisprudência desta Corte Superior e do Supremo Tribunal Federal. O artigo 8º, inciso III, da Constituição Federal assegura aos sindicatos a possibilidade de substituição processual ampla e irrestrita para agir no interesse de toda a categoria. No caso, a petição inicial revela a pretensão de ver reconhecido o direito ao pagamento do adicional de insalubridade aos empregados que laboram expostos a agentes danosos e prejudiciais à saúde humana. Trata-se, </w:t>
      </w:r>
      <w:r w:rsidRPr="00ED375D">
        <w:rPr>
          <w:rFonts w:ascii="Open Sans" w:hAnsi="Open Sans" w:cs="Open Sans"/>
          <w:color w:val="000000"/>
          <w:sz w:val="24"/>
          <w:szCs w:val="24"/>
        </w:rPr>
        <w:lastRenderedPageBreak/>
        <w:t xml:space="preserve">portanto, de fato de origem comum, que atinge determinado número de empregados (os que laboram em tais condições), o que torna o direito homogêneo – conforme art. 81, parágrafo único, III, do CDC (Lei nº 8.078/90) - e legitima a atuação do sindicato como substituto processual. Precedentes. Incide, portanto, o disposto no artigo 894, § 2º, da CLT. Correta a aplicação do referido óbice, mantém-se o decidido. Verificada, por conseguinte, a manifesta improcedência do presente agravo, em razão da interposição de recurso contra matéria pacificada no âmbito deste órgão uniformizador da jurisprudência interna </w:t>
      </w:r>
      <w:proofErr w:type="spellStart"/>
      <w:r w:rsidRPr="00ED375D">
        <w:rPr>
          <w:rFonts w:ascii="Open Sans" w:hAnsi="Open Sans" w:cs="Open Sans"/>
          <w:color w:val="000000"/>
          <w:sz w:val="24"/>
          <w:szCs w:val="24"/>
        </w:rPr>
        <w:t>corporis</w:t>
      </w:r>
      <w:proofErr w:type="spellEnd"/>
      <w:r w:rsidRPr="00ED375D">
        <w:rPr>
          <w:rFonts w:ascii="Open Sans" w:hAnsi="Open Sans" w:cs="Open Sans"/>
          <w:color w:val="000000"/>
          <w:sz w:val="24"/>
          <w:szCs w:val="24"/>
        </w:rPr>
        <w:t>, aplica-se a multa prevista no artigo 1.021, § 4º, do Código de Processo Civil. Agravo interno conhecido e não provido.</w:t>
      </w:r>
      <w:r>
        <w:rPr>
          <w:rFonts w:ascii="Open Sans" w:hAnsi="Open Sans" w:cs="Open Sans"/>
          <w:color w:val="000000"/>
          <w:sz w:val="24"/>
          <w:szCs w:val="24"/>
        </w:rPr>
        <w:t xml:space="preserve">” </w:t>
      </w:r>
      <w:hyperlink r:id="rId11" w:history="1">
        <w:r w:rsidRPr="00ED375D">
          <w:rPr>
            <w:rStyle w:val="Hyperlink"/>
            <w:rFonts w:ascii="Open Sans" w:hAnsi="Open Sans" w:cs="Open Sans"/>
            <w:sz w:val="24"/>
            <w:szCs w:val="24"/>
          </w:rPr>
          <w:t>TST-</w:t>
        </w:r>
        <w:r w:rsidRPr="00ED375D">
          <w:rPr>
            <w:rStyle w:val="Hyperlink"/>
          </w:rPr>
          <w:t xml:space="preserve"> </w:t>
        </w:r>
        <w:r w:rsidRPr="00ED375D">
          <w:rPr>
            <w:rStyle w:val="Hyperlink"/>
            <w:rFonts w:ascii="Open Sans" w:hAnsi="Open Sans" w:cs="Open Sans"/>
            <w:sz w:val="24"/>
            <w:szCs w:val="24"/>
          </w:rPr>
          <w:t>Ag-Emb-RR-10239-25.2023.5.03.0042, SDI-I, Rel. Min. Cláudio Mascarenhas B</w:t>
        </w:r>
        <w:r w:rsidR="00792B21">
          <w:rPr>
            <w:rStyle w:val="Hyperlink"/>
            <w:rFonts w:ascii="Open Sans" w:hAnsi="Open Sans" w:cs="Open Sans"/>
            <w:sz w:val="24"/>
            <w:szCs w:val="24"/>
          </w:rPr>
          <w:t>randã</w:t>
        </w:r>
        <w:r w:rsidRPr="00ED375D">
          <w:rPr>
            <w:rStyle w:val="Hyperlink"/>
            <w:rFonts w:ascii="Open Sans" w:hAnsi="Open Sans" w:cs="Open Sans"/>
            <w:sz w:val="24"/>
            <w:szCs w:val="24"/>
          </w:rPr>
          <w:t>o,</w:t>
        </w:r>
        <w:proofErr w:type="gramStart"/>
        <w:r w:rsidRPr="00ED375D">
          <w:rPr>
            <w:rStyle w:val="Hyperlink"/>
            <w:rFonts w:ascii="Open Sans" w:hAnsi="Open Sans" w:cs="Open Sans"/>
            <w:sz w:val="24"/>
            <w:szCs w:val="24"/>
          </w:rPr>
          <w:t xml:space="preserve">  </w:t>
        </w:r>
        <w:proofErr w:type="gramEnd"/>
        <w:r w:rsidRPr="00ED375D">
          <w:rPr>
            <w:rStyle w:val="Hyperlink"/>
            <w:rFonts w:ascii="Open Sans" w:hAnsi="Open Sans" w:cs="Open Sans"/>
            <w:sz w:val="24"/>
            <w:szCs w:val="24"/>
          </w:rPr>
          <w:t>julgado em 24/4/2026.</w:t>
        </w:r>
      </w:hyperlink>
    </w:p>
    <w:p w:rsidR="00792B21" w:rsidRDefault="00792B21" w:rsidP="004B0522">
      <w:pPr>
        <w:ind w:left="-255" w:right="340"/>
        <w:jc w:val="both"/>
        <w:rPr>
          <w:rFonts w:ascii="Open Sans" w:hAnsi="Open Sans" w:cs="Open Sans"/>
          <w:color w:val="000000"/>
          <w:sz w:val="24"/>
          <w:szCs w:val="24"/>
        </w:rPr>
      </w:pPr>
    </w:p>
    <w:p w:rsidR="00792B21" w:rsidRDefault="00792B21" w:rsidP="004B0522">
      <w:pPr>
        <w:ind w:left="-255" w:right="340"/>
        <w:jc w:val="both"/>
        <w:rPr>
          <w:rFonts w:ascii="Open Sans" w:hAnsi="Open Sans" w:cs="Open Sans"/>
          <w:color w:val="000000"/>
          <w:sz w:val="24"/>
          <w:szCs w:val="24"/>
        </w:rPr>
      </w:pPr>
      <w:r>
        <w:rPr>
          <w:rFonts w:ascii="Open Sans" w:hAnsi="Open Sans" w:cs="Open Sans"/>
          <w:b/>
          <w:color w:val="000000"/>
          <w:sz w:val="24"/>
          <w:szCs w:val="24"/>
        </w:rPr>
        <w:t>“</w:t>
      </w:r>
      <w:r w:rsidRPr="00792B21">
        <w:rPr>
          <w:rFonts w:ascii="Open Sans" w:hAnsi="Open Sans" w:cs="Open Sans"/>
          <w:b/>
          <w:color w:val="000000"/>
          <w:sz w:val="24"/>
          <w:szCs w:val="24"/>
        </w:rPr>
        <w:t xml:space="preserve">RECURSO DE EMBARGOS EM RECURSO DE REVISTA. ACÓRDÃO EMBARGADO PUBLICADO NA VIGÊNCIA DA LEI Nº 13.467/2017. PETROLEIROS. REFLEXO DAS HORAS EXTRAS NO REPOUSO SEMANAL REMUNERADO. PERCENTUAL DE CÁLCULO. LEI Nº 605/49. TEMA 160 DA TABELA DE IRR. </w:t>
      </w:r>
      <w:r w:rsidRPr="00792B21">
        <w:rPr>
          <w:rFonts w:ascii="Open Sans" w:hAnsi="Open Sans" w:cs="Open Sans"/>
          <w:color w:val="000000"/>
          <w:sz w:val="24"/>
          <w:szCs w:val="24"/>
        </w:rPr>
        <w:t xml:space="preserve">A c. Oitava Turma deu provimento ao recurso de revista da reclamada para julgar improcedente a aplicação do percentual de 27,77% de reflexos de horas extras prestadas sobre o cálculo do repouso semanal remunerado, considerando correta a aplicação do percentual de 16,67% pela reclamada. O Tribunal Pleno do TST, no Tema nº 160 da Tabela de Recursos de Revista Repetitivos, fixou a tese de que </w:t>
      </w:r>
      <w:r w:rsidR="00456DEF">
        <w:rPr>
          <w:rFonts w:ascii="Open Sans" w:hAnsi="Open Sans" w:cs="Open Sans"/>
          <w:color w:val="000000"/>
          <w:sz w:val="24"/>
          <w:szCs w:val="24"/>
        </w:rPr>
        <w:t>‘</w:t>
      </w:r>
      <w:r w:rsidRPr="00792B21">
        <w:rPr>
          <w:rFonts w:ascii="Open Sans" w:hAnsi="Open Sans" w:cs="Open Sans"/>
          <w:color w:val="000000"/>
          <w:sz w:val="24"/>
          <w:szCs w:val="24"/>
        </w:rPr>
        <w:t>Aplica-se o percentual de 16,67% (dezesseis vírgula sessenta e sete por cento) ao cálculo dos reflexos das horas extraordinárias sobre o repouso semanal remunerado do petroleiro regido pela Lei nº 5.811/1972</w:t>
      </w:r>
      <w:r w:rsidR="00456DEF">
        <w:rPr>
          <w:rFonts w:ascii="Open Sans" w:hAnsi="Open Sans" w:cs="Open Sans"/>
          <w:color w:val="000000"/>
          <w:sz w:val="24"/>
          <w:szCs w:val="24"/>
        </w:rPr>
        <w:t>’</w:t>
      </w:r>
      <w:r w:rsidRPr="00792B21">
        <w:rPr>
          <w:rFonts w:ascii="Open Sans" w:hAnsi="Open Sans" w:cs="Open Sans"/>
          <w:color w:val="000000"/>
          <w:sz w:val="24"/>
          <w:szCs w:val="24"/>
        </w:rPr>
        <w:t>. Dessa maneira, uma vez que a decisão embargada está em consonância com a tese vinculante, incide o óbice do art. 894, § 2º, da CLT. Recurso de embargos não conhecido.</w:t>
      </w:r>
      <w:r>
        <w:rPr>
          <w:rFonts w:ascii="Open Sans" w:hAnsi="Open Sans" w:cs="Open Sans"/>
          <w:color w:val="000000"/>
          <w:sz w:val="24"/>
          <w:szCs w:val="24"/>
        </w:rPr>
        <w:t xml:space="preserve">” </w:t>
      </w:r>
      <w:hyperlink r:id="rId12" w:history="1">
        <w:r w:rsidRPr="00792B21">
          <w:rPr>
            <w:rStyle w:val="Hyperlink"/>
            <w:rFonts w:ascii="Open Sans" w:hAnsi="Open Sans" w:cs="Open Sans"/>
            <w:sz w:val="24"/>
            <w:szCs w:val="24"/>
          </w:rPr>
          <w:t xml:space="preserve">TST-Emb-RR-816-33.2014.5.05.0161, SDI-I, Rel. Min. Breno Medeiros, julgado em </w:t>
        </w:r>
        <w:proofErr w:type="gramStart"/>
        <w:r w:rsidRPr="00792B21">
          <w:rPr>
            <w:rStyle w:val="Hyperlink"/>
            <w:rFonts w:ascii="Open Sans" w:hAnsi="Open Sans" w:cs="Open Sans"/>
            <w:sz w:val="24"/>
            <w:szCs w:val="24"/>
          </w:rPr>
          <w:t>24/4/2026.</w:t>
        </w:r>
        <w:proofErr w:type="gramEnd"/>
      </w:hyperlink>
    </w:p>
    <w:p w:rsidR="00ED375D" w:rsidRDefault="00ED375D" w:rsidP="00FE041C">
      <w:pPr>
        <w:ind w:left="-284" w:right="85"/>
        <w:jc w:val="both"/>
        <w:rPr>
          <w:rFonts w:ascii="Open Sans" w:hAnsi="Open Sans" w:cs="Open Sans"/>
          <w:b/>
          <w:color w:val="000000"/>
          <w:sz w:val="24"/>
          <w:szCs w:val="24"/>
        </w:rPr>
      </w:pPr>
    </w:p>
    <w:p w:rsidR="001A7589" w:rsidRPr="003E0231" w:rsidRDefault="001A7589" w:rsidP="00067B05">
      <w:pPr>
        <w:pStyle w:val="Ttulo1"/>
        <w:spacing w:before="0"/>
        <w:ind w:left="-227" w:right="369"/>
      </w:pPr>
      <w:r w:rsidRPr="003509A3">
        <w:t xml:space="preserve">SUBSEÇÃO </w:t>
      </w:r>
      <w:r>
        <w:t>I</w:t>
      </w:r>
      <w:r w:rsidRPr="003509A3">
        <w:t>I ESPECIALIZADA EM DISSÍDIOS INDIVIDUAIS</w:t>
      </w:r>
    </w:p>
    <w:p w:rsidR="00C3084A" w:rsidRDefault="00C3084A" w:rsidP="00255D91">
      <w:pPr>
        <w:ind w:left="-227" w:right="369"/>
        <w:jc w:val="both"/>
        <w:rPr>
          <w:rFonts w:ascii="Open Sans" w:hAnsi="Open Sans" w:cs="Open Sans"/>
          <w:color w:val="000000"/>
          <w:sz w:val="24"/>
          <w:szCs w:val="24"/>
        </w:rPr>
      </w:pPr>
    </w:p>
    <w:p w:rsidR="00962746" w:rsidRPr="00962746" w:rsidRDefault="00962746" w:rsidP="004B0522">
      <w:pPr>
        <w:ind w:left="-255" w:right="340"/>
        <w:jc w:val="both"/>
        <w:rPr>
          <w:rFonts w:ascii="Open Sans" w:hAnsi="Open Sans" w:cs="Open Sans"/>
          <w:b/>
          <w:i/>
          <w:color w:val="000000"/>
          <w:sz w:val="24"/>
          <w:szCs w:val="24"/>
        </w:rPr>
      </w:pPr>
      <w:r w:rsidRPr="00962746">
        <w:rPr>
          <w:rFonts w:ascii="Open Sans" w:hAnsi="Open Sans" w:cs="Open Sans"/>
          <w:b/>
          <w:i/>
          <w:color w:val="000000"/>
          <w:sz w:val="24"/>
          <w:szCs w:val="24"/>
        </w:rPr>
        <w:t>Recurso ordinário em ação rescisória. Prazo decadencial. Fluência em relação à pessoa com deficiência relativamente incapaz. Constitucionalidade da alteração promovida pelo art. 114 do Estatuto da Pessoa com Deficiência.</w:t>
      </w:r>
    </w:p>
    <w:p w:rsidR="002F28B3" w:rsidRDefault="00962746" w:rsidP="004B0522">
      <w:pPr>
        <w:ind w:left="-255" w:right="340"/>
        <w:jc w:val="both"/>
        <w:rPr>
          <w:rStyle w:val="Hyperlink"/>
          <w:rFonts w:ascii="Open Sans" w:hAnsi="Open Sans" w:cs="Open Sans"/>
          <w:sz w:val="24"/>
          <w:szCs w:val="24"/>
        </w:rPr>
      </w:pPr>
      <w:r w:rsidRPr="00962746">
        <w:rPr>
          <w:rFonts w:ascii="Open Sans" w:hAnsi="Open Sans" w:cs="Open Sans"/>
          <w:color w:val="000000"/>
          <w:sz w:val="24"/>
          <w:szCs w:val="24"/>
        </w:rPr>
        <w:t>A Lei</w:t>
      </w:r>
      <w:r>
        <w:rPr>
          <w:rFonts w:ascii="Open Sans" w:hAnsi="Open Sans" w:cs="Open Sans"/>
          <w:color w:val="000000"/>
          <w:sz w:val="24"/>
          <w:szCs w:val="24"/>
        </w:rPr>
        <w:t xml:space="preserve"> nº</w:t>
      </w:r>
      <w:r w:rsidRPr="00962746">
        <w:rPr>
          <w:rFonts w:ascii="Open Sans" w:hAnsi="Open Sans" w:cs="Open Sans"/>
          <w:color w:val="000000"/>
          <w:sz w:val="24"/>
          <w:szCs w:val="24"/>
        </w:rPr>
        <w:t xml:space="preserve"> 12.764/2012</w:t>
      </w:r>
      <w:r>
        <w:rPr>
          <w:rFonts w:ascii="Open Sans" w:hAnsi="Open Sans" w:cs="Open Sans"/>
          <w:color w:val="000000"/>
          <w:sz w:val="24"/>
          <w:szCs w:val="24"/>
        </w:rPr>
        <w:t xml:space="preserve">, apesar de assegurar </w:t>
      </w:r>
      <w:r w:rsidR="00E02D7D">
        <w:rPr>
          <w:rFonts w:ascii="Open Sans" w:hAnsi="Open Sans" w:cs="Open Sans"/>
          <w:color w:val="000000"/>
          <w:sz w:val="24"/>
          <w:szCs w:val="24"/>
        </w:rPr>
        <w:t>como direito o acesso à moradia,</w:t>
      </w:r>
      <w:r w:rsidRPr="00962746">
        <w:rPr>
          <w:rFonts w:ascii="Open Sans" w:hAnsi="Open Sans" w:cs="Open Sans"/>
          <w:color w:val="000000"/>
          <w:sz w:val="24"/>
          <w:szCs w:val="24"/>
        </w:rPr>
        <w:t xml:space="preserve"> não</w:t>
      </w:r>
      <w:r w:rsidR="00E02D7D">
        <w:rPr>
          <w:rFonts w:ascii="Open Sans" w:hAnsi="Open Sans" w:cs="Open Sans"/>
          <w:color w:val="000000"/>
          <w:sz w:val="24"/>
          <w:szCs w:val="24"/>
        </w:rPr>
        <w:t xml:space="preserve"> isentou</w:t>
      </w:r>
      <w:r w:rsidRPr="00962746">
        <w:rPr>
          <w:rFonts w:ascii="Open Sans" w:hAnsi="Open Sans" w:cs="Open Sans"/>
          <w:color w:val="000000"/>
          <w:sz w:val="24"/>
          <w:szCs w:val="24"/>
        </w:rPr>
        <w:t xml:space="preserve"> a pessoa com transtorno do espectro autista </w:t>
      </w:r>
      <w:r w:rsidR="00E02D7D">
        <w:rPr>
          <w:rFonts w:ascii="Open Sans" w:hAnsi="Open Sans" w:cs="Open Sans"/>
          <w:color w:val="000000"/>
          <w:sz w:val="24"/>
          <w:szCs w:val="24"/>
        </w:rPr>
        <w:t>em relação</w:t>
      </w:r>
      <w:r w:rsidRPr="00962746">
        <w:rPr>
          <w:rFonts w:ascii="Open Sans" w:hAnsi="Open Sans" w:cs="Open Sans"/>
          <w:color w:val="000000"/>
          <w:sz w:val="24"/>
          <w:szCs w:val="24"/>
        </w:rPr>
        <w:t xml:space="preserve"> aos efeitos do decurso do prazo decadencial para ajuizamento da ação rescisória</w:t>
      </w:r>
      <w:r w:rsidR="00E02D7D">
        <w:rPr>
          <w:rFonts w:ascii="Open Sans" w:hAnsi="Open Sans" w:cs="Open Sans"/>
          <w:color w:val="000000"/>
          <w:sz w:val="24"/>
          <w:szCs w:val="24"/>
        </w:rPr>
        <w:t xml:space="preserve">, </w:t>
      </w:r>
      <w:r w:rsidR="00E02D7D" w:rsidRPr="00E02D7D">
        <w:rPr>
          <w:rFonts w:ascii="Open Sans" w:hAnsi="Open Sans" w:cs="Open Sans"/>
          <w:color w:val="000000"/>
          <w:sz w:val="24"/>
          <w:szCs w:val="24"/>
        </w:rPr>
        <w:t xml:space="preserve">à míngua de qualquer </w:t>
      </w:r>
      <w:r w:rsidR="00E02D7D">
        <w:rPr>
          <w:rFonts w:ascii="Open Sans" w:hAnsi="Open Sans" w:cs="Open Sans"/>
          <w:color w:val="000000"/>
          <w:sz w:val="24"/>
          <w:szCs w:val="24"/>
        </w:rPr>
        <w:t>pertinência entre os institutos</w:t>
      </w:r>
      <w:r w:rsidRPr="00962746">
        <w:rPr>
          <w:rFonts w:ascii="Open Sans" w:hAnsi="Open Sans" w:cs="Open Sans"/>
          <w:color w:val="000000"/>
          <w:sz w:val="24"/>
          <w:szCs w:val="24"/>
        </w:rPr>
        <w:t>. Além disso, com o advento da Lei nº 14.146/2015 (Estatuto da Pessoa com Deficiência), passou a ser considerado absolutame</w:t>
      </w:r>
      <w:r w:rsidR="00E02D7D">
        <w:rPr>
          <w:rFonts w:ascii="Open Sans" w:hAnsi="Open Sans" w:cs="Open Sans"/>
          <w:color w:val="000000"/>
          <w:sz w:val="24"/>
          <w:szCs w:val="24"/>
        </w:rPr>
        <w:t>nte incapaz apenas o menor de dezesseis</w:t>
      </w:r>
      <w:r w:rsidRPr="00962746">
        <w:rPr>
          <w:rFonts w:ascii="Open Sans" w:hAnsi="Open Sans" w:cs="Open Sans"/>
          <w:color w:val="000000"/>
          <w:sz w:val="24"/>
          <w:szCs w:val="24"/>
        </w:rPr>
        <w:t xml:space="preserve"> anos</w:t>
      </w:r>
      <w:r w:rsidR="00DD436E">
        <w:rPr>
          <w:rFonts w:ascii="Open Sans" w:hAnsi="Open Sans" w:cs="Open Sans"/>
          <w:color w:val="000000"/>
          <w:sz w:val="24"/>
          <w:szCs w:val="24"/>
        </w:rPr>
        <w:t xml:space="preserve">, sendo considerados relativamente capazes aqueles que, </w:t>
      </w:r>
      <w:r w:rsidRPr="00962746">
        <w:rPr>
          <w:rFonts w:ascii="Open Sans" w:hAnsi="Open Sans" w:cs="Open Sans"/>
          <w:color w:val="000000"/>
          <w:sz w:val="24"/>
          <w:szCs w:val="24"/>
        </w:rPr>
        <w:t>por causa transitória ou permanente, não puderem exprimir sua vontade</w:t>
      </w:r>
      <w:r w:rsidR="00DD436E">
        <w:rPr>
          <w:rFonts w:ascii="Open Sans" w:hAnsi="Open Sans" w:cs="Open Sans"/>
          <w:color w:val="000000"/>
          <w:sz w:val="24"/>
          <w:szCs w:val="24"/>
        </w:rPr>
        <w:t>. Assim, ante o</w:t>
      </w:r>
      <w:r w:rsidRPr="00962746">
        <w:rPr>
          <w:rFonts w:ascii="Open Sans" w:hAnsi="Open Sans" w:cs="Open Sans"/>
          <w:color w:val="000000"/>
          <w:sz w:val="24"/>
          <w:szCs w:val="24"/>
        </w:rPr>
        <w:t xml:space="preserve"> teor do disposto no art. 208 do Código Civil, forçoso concluir que</w:t>
      </w:r>
      <w:r w:rsidR="00E02D7D">
        <w:rPr>
          <w:rFonts w:ascii="Open Sans" w:hAnsi="Open Sans" w:cs="Open Sans"/>
          <w:color w:val="000000"/>
          <w:sz w:val="24"/>
          <w:szCs w:val="24"/>
        </w:rPr>
        <w:t>, na situação dos autos,</w:t>
      </w:r>
      <w:r w:rsidRPr="00962746">
        <w:rPr>
          <w:rFonts w:ascii="Open Sans" w:hAnsi="Open Sans" w:cs="Open Sans"/>
          <w:color w:val="000000"/>
          <w:sz w:val="24"/>
          <w:szCs w:val="24"/>
        </w:rPr>
        <w:t xml:space="preserve"> a autora, </w:t>
      </w:r>
      <w:r w:rsidR="001E6344">
        <w:rPr>
          <w:rFonts w:ascii="Open Sans" w:hAnsi="Open Sans" w:cs="Open Sans"/>
          <w:color w:val="000000"/>
          <w:sz w:val="24"/>
          <w:szCs w:val="24"/>
        </w:rPr>
        <w:t xml:space="preserve">por ser </w:t>
      </w:r>
      <w:r w:rsidRPr="00962746">
        <w:rPr>
          <w:rFonts w:ascii="Open Sans" w:hAnsi="Open Sans" w:cs="Open Sans"/>
          <w:color w:val="000000"/>
          <w:sz w:val="24"/>
          <w:szCs w:val="24"/>
        </w:rPr>
        <w:t>relativamente incapaz</w:t>
      </w:r>
      <w:r w:rsidR="00DD436E">
        <w:rPr>
          <w:rFonts w:ascii="Open Sans" w:hAnsi="Open Sans" w:cs="Open Sans"/>
          <w:color w:val="000000"/>
          <w:sz w:val="24"/>
          <w:szCs w:val="24"/>
        </w:rPr>
        <w:t>,</w:t>
      </w:r>
      <w:r w:rsidR="00156E92">
        <w:rPr>
          <w:rFonts w:ascii="Open Sans" w:hAnsi="Open Sans" w:cs="Open Sans"/>
          <w:color w:val="000000"/>
          <w:sz w:val="24"/>
          <w:szCs w:val="24"/>
        </w:rPr>
        <w:t xml:space="preserve"> </w:t>
      </w:r>
      <w:proofErr w:type="gramStart"/>
      <w:r w:rsidR="00DD436E">
        <w:rPr>
          <w:rFonts w:ascii="Open Sans" w:hAnsi="Open Sans" w:cs="Open Sans"/>
          <w:color w:val="000000"/>
          <w:sz w:val="24"/>
          <w:szCs w:val="24"/>
        </w:rPr>
        <w:t>sujeita-se</w:t>
      </w:r>
      <w:proofErr w:type="gramEnd"/>
      <w:r w:rsidR="00DD436E">
        <w:rPr>
          <w:rFonts w:ascii="Open Sans" w:hAnsi="Open Sans" w:cs="Open Sans"/>
          <w:color w:val="000000"/>
          <w:sz w:val="24"/>
          <w:szCs w:val="24"/>
        </w:rPr>
        <w:t xml:space="preserve"> aos deletérios </w:t>
      </w:r>
      <w:r w:rsidRPr="00962746">
        <w:rPr>
          <w:rFonts w:ascii="Open Sans" w:hAnsi="Open Sans" w:cs="Open Sans"/>
          <w:color w:val="000000"/>
          <w:sz w:val="24"/>
          <w:szCs w:val="24"/>
        </w:rPr>
        <w:t>efeitos do transcurso do prazo de decadência.</w:t>
      </w:r>
      <w:r w:rsidR="00156E92">
        <w:rPr>
          <w:rFonts w:ascii="Open Sans" w:hAnsi="Open Sans" w:cs="Open Sans"/>
          <w:color w:val="000000"/>
          <w:sz w:val="24"/>
          <w:szCs w:val="24"/>
        </w:rPr>
        <w:t xml:space="preserve"> </w:t>
      </w:r>
      <w:r w:rsidRPr="00962746">
        <w:rPr>
          <w:rFonts w:ascii="Open Sans" w:hAnsi="Open Sans" w:cs="Open Sans"/>
          <w:color w:val="000000"/>
          <w:sz w:val="24"/>
          <w:szCs w:val="24"/>
        </w:rPr>
        <w:t xml:space="preserve">Sob esses fundamentos, a SBDI-II, por unanimidade, conheceu dos recursos, e, no mérito, negou-lhes provimento. </w:t>
      </w:r>
      <w:hyperlink r:id="rId13" w:anchor="6d72df0" w:history="1">
        <w:r w:rsidRPr="00962746">
          <w:rPr>
            <w:rStyle w:val="Hyperlink"/>
            <w:rFonts w:ascii="Open Sans" w:hAnsi="Open Sans" w:cs="Open Sans"/>
            <w:sz w:val="24"/>
            <w:szCs w:val="24"/>
          </w:rPr>
          <w:t>TST-ROT-2423-19.2024.5.09.0000, SBDI-I</w:t>
        </w:r>
        <w:r w:rsidR="001E6344">
          <w:rPr>
            <w:rStyle w:val="Hyperlink"/>
            <w:rFonts w:ascii="Open Sans" w:hAnsi="Open Sans" w:cs="Open Sans"/>
            <w:sz w:val="24"/>
            <w:szCs w:val="24"/>
          </w:rPr>
          <w:t>I, R</w:t>
        </w:r>
        <w:r w:rsidRPr="00962746">
          <w:rPr>
            <w:rStyle w:val="Hyperlink"/>
            <w:rFonts w:ascii="Open Sans" w:hAnsi="Open Sans" w:cs="Open Sans"/>
            <w:sz w:val="24"/>
            <w:szCs w:val="24"/>
          </w:rPr>
          <w:t xml:space="preserve">el. Min. Amaury Rodrigues Pinto Junior, </w:t>
        </w:r>
        <w:proofErr w:type="gramStart"/>
        <w:r w:rsidRPr="00962746">
          <w:rPr>
            <w:rStyle w:val="Hyperlink"/>
            <w:rFonts w:ascii="Open Sans" w:hAnsi="Open Sans" w:cs="Open Sans"/>
            <w:sz w:val="24"/>
            <w:szCs w:val="24"/>
          </w:rPr>
          <w:t>14/4/2026.</w:t>
        </w:r>
        <w:proofErr w:type="gramEnd"/>
      </w:hyperlink>
    </w:p>
    <w:p w:rsidR="00D77E3E" w:rsidRDefault="00D77E3E" w:rsidP="004B0522">
      <w:pPr>
        <w:ind w:left="-255" w:right="340"/>
        <w:jc w:val="both"/>
        <w:rPr>
          <w:rFonts w:ascii="Open Sans" w:hAnsi="Open Sans" w:cs="Open Sans"/>
          <w:color w:val="000000"/>
          <w:sz w:val="24"/>
          <w:szCs w:val="24"/>
        </w:rPr>
      </w:pPr>
    </w:p>
    <w:p w:rsidR="00962746" w:rsidRDefault="009F0605" w:rsidP="004B0522">
      <w:pPr>
        <w:ind w:left="-255" w:right="340"/>
        <w:jc w:val="both"/>
        <w:rPr>
          <w:rFonts w:ascii="Open Sans" w:hAnsi="Open Sans" w:cs="Open Sans"/>
          <w:color w:val="000000"/>
          <w:sz w:val="24"/>
          <w:szCs w:val="24"/>
        </w:rPr>
      </w:pPr>
      <w:r>
        <w:rPr>
          <w:rFonts w:ascii="Open Sans" w:hAnsi="Open Sans" w:cs="Open Sans"/>
          <w:color w:val="000000"/>
          <w:sz w:val="24"/>
          <w:szCs w:val="24"/>
        </w:rPr>
        <w:t>“</w:t>
      </w:r>
      <w:r w:rsidRPr="009F0605">
        <w:rPr>
          <w:rFonts w:ascii="Open Sans" w:hAnsi="Open Sans" w:cs="Open Sans"/>
          <w:b/>
          <w:color w:val="000000"/>
          <w:sz w:val="24"/>
          <w:szCs w:val="24"/>
        </w:rPr>
        <w:t>AGRAVO EM RECURSO ORDINÁRIO EM MANDADO DE SEGURANÇA. EXECUÇÃO. PENHORA SOBRE REMUNERAÇÃO. PERCENTUAL TOTAL ACIMA DE 50% DOS GANHOS LÍQUIDOS DO DEVEDOR. CONCESSÃO DA SEGURANÇA. AGRAVO DESPROVIDO.</w:t>
      </w:r>
      <w:r w:rsidRPr="009F0605">
        <w:rPr>
          <w:rFonts w:ascii="Open Sans" w:hAnsi="Open Sans" w:cs="Open Sans"/>
          <w:color w:val="000000"/>
          <w:sz w:val="24"/>
          <w:szCs w:val="24"/>
        </w:rPr>
        <w:t xml:space="preserve"> I - O mandado de segurança centra-se na pretensão de sustação da penhora de 30% sobre os proventos de aposentadoria do impetrante, parte executada na ação matriz. II - No caso, a prova dos autos demonstra que as penhoras incidentes sobre os proventos da parte autora resultam em um desconto final acima de 50% de sua remuneração. Neste contexto, ao contrário do aludido pelo recorrente, a lei não autoriza, em hipótese alguma, a penhora de remuneração acima de 50% dos ganhos líquidos do devedor, ainda que o remanescente seja superior a um salário mínimo. III - Por essa razão, a decisão agravada enquadrou acertadamente a situação dos autos nos limites delimitados pelo art. 529, § 3º, do CPC, em consonância com a jurisprudência pacífica desta SBDI-II. IV - Assim, violado direito líquido e certo do impetrante e diante da necessidade do respeito ao ordenamento jurídico vigente, correta a decisão agravada ao desprover o recurso ordinário, ficando mantida a concessão da segurança para cassar a ordem de penhora. Agravo conhe</w:t>
      </w:r>
      <w:r w:rsidR="00EB4C33">
        <w:rPr>
          <w:rFonts w:ascii="Open Sans" w:hAnsi="Open Sans" w:cs="Open Sans"/>
          <w:color w:val="000000"/>
          <w:sz w:val="24"/>
          <w:szCs w:val="24"/>
        </w:rPr>
        <w:t xml:space="preserve">cido e </w:t>
      </w:r>
      <w:proofErr w:type="gramStart"/>
      <w:r w:rsidR="00EB4C33">
        <w:rPr>
          <w:rFonts w:ascii="Open Sans" w:hAnsi="Open Sans" w:cs="Open Sans"/>
          <w:color w:val="000000"/>
          <w:sz w:val="24"/>
          <w:szCs w:val="24"/>
        </w:rPr>
        <w:t>desprovido .</w:t>
      </w:r>
      <w:proofErr w:type="gramEnd"/>
      <w:r w:rsidR="00EB4C33">
        <w:rPr>
          <w:rFonts w:ascii="Open Sans" w:hAnsi="Open Sans" w:cs="Open Sans"/>
          <w:color w:val="000000"/>
          <w:sz w:val="24"/>
          <w:szCs w:val="24"/>
        </w:rPr>
        <w:t xml:space="preserve">  </w:t>
      </w:r>
      <w:hyperlink r:id="rId14" w:history="1">
        <w:r w:rsidR="00EB4C33" w:rsidRPr="00EB4C33">
          <w:rPr>
            <w:rStyle w:val="Hyperlink"/>
            <w:rFonts w:ascii="Open Sans" w:hAnsi="Open Sans" w:cs="Open Sans"/>
            <w:sz w:val="24"/>
            <w:szCs w:val="24"/>
          </w:rPr>
          <w:t>TST-</w:t>
        </w:r>
        <w:r w:rsidRPr="00EB4C33">
          <w:rPr>
            <w:rStyle w:val="Hyperlink"/>
            <w:rFonts w:ascii="Open Sans" w:hAnsi="Open Sans" w:cs="Open Sans"/>
            <w:sz w:val="24"/>
            <w:szCs w:val="24"/>
          </w:rPr>
          <w:t xml:space="preserve">Ag-ROT-0016555-49.2024.5.03.0000, </w:t>
        </w:r>
        <w:r w:rsidR="00EB4C33" w:rsidRPr="00EB4C33">
          <w:rPr>
            <w:rStyle w:val="Hyperlink"/>
            <w:rFonts w:ascii="Open Sans" w:hAnsi="Open Sans" w:cs="Open Sans"/>
            <w:sz w:val="24"/>
            <w:szCs w:val="24"/>
          </w:rPr>
          <w:t>SBDI-II</w:t>
        </w:r>
        <w:r w:rsidR="00EB4C33">
          <w:rPr>
            <w:rStyle w:val="Hyperlink"/>
            <w:rFonts w:ascii="Open Sans" w:hAnsi="Open Sans" w:cs="Open Sans"/>
            <w:sz w:val="24"/>
            <w:szCs w:val="24"/>
          </w:rPr>
          <w:t>, Rel. Min.</w:t>
        </w:r>
        <w:r w:rsidRPr="00EB4C33">
          <w:rPr>
            <w:rStyle w:val="Hyperlink"/>
            <w:rFonts w:ascii="Open Sans" w:hAnsi="Open Sans" w:cs="Open Sans"/>
            <w:sz w:val="24"/>
            <w:szCs w:val="24"/>
          </w:rPr>
          <w:t xml:space="preserve"> Liana </w:t>
        </w:r>
        <w:proofErr w:type="spellStart"/>
        <w:r w:rsidRPr="00EB4C33">
          <w:rPr>
            <w:rStyle w:val="Hyperlink"/>
            <w:rFonts w:ascii="Open Sans" w:hAnsi="Open Sans" w:cs="Open Sans"/>
            <w:sz w:val="24"/>
            <w:szCs w:val="24"/>
          </w:rPr>
          <w:t>Chaib</w:t>
        </w:r>
        <w:proofErr w:type="spellEnd"/>
        <w:r w:rsidRPr="00EB4C33">
          <w:rPr>
            <w:rStyle w:val="Hyperlink"/>
            <w:rFonts w:ascii="Open Sans" w:hAnsi="Open Sans" w:cs="Open Sans"/>
            <w:sz w:val="24"/>
            <w:szCs w:val="24"/>
          </w:rPr>
          <w:t>,</w:t>
        </w:r>
        <w:r w:rsidR="00EB4C33" w:rsidRPr="00EB4C33">
          <w:rPr>
            <w:rStyle w:val="Hyperlink"/>
            <w:rFonts w:ascii="Open Sans" w:hAnsi="Open Sans" w:cs="Open Sans"/>
            <w:sz w:val="24"/>
            <w:szCs w:val="24"/>
          </w:rPr>
          <w:t xml:space="preserve"> julgado em 17/4/2026</w:t>
        </w:r>
        <w:r w:rsidRPr="00EB4C33">
          <w:rPr>
            <w:rStyle w:val="Hyperlink"/>
            <w:rFonts w:ascii="Open Sans" w:hAnsi="Open Sans" w:cs="Open Sans"/>
            <w:sz w:val="24"/>
            <w:szCs w:val="24"/>
          </w:rPr>
          <w:t>.</w:t>
        </w:r>
      </w:hyperlink>
    </w:p>
    <w:p w:rsidR="00EB4C33" w:rsidRPr="00A0413E" w:rsidRDefault="00EB4C33" w:rsidP="00255D91">
      <w:pPr>
        <w:ind w:left="-227" w:right="369"/>
        <w:jc w:val="both"/>
        <w:rPr>
          <w:rFonts w:ascii="Open Sans" w:hAnsi="Open Sans" w:cs="Open Sans"/>
          <w:color w:val="000000"/>
          <w:sz w:val="24"/>
          <w:szCs w:val="24"/>
        </w:rPr>
      </w:pPr>
    </w:p>
    <w:p w:rsidR="001A7589" w:rsidRPr="003509A3" w:rsidRDefault="001A7589" w:rsidP="00067B05">
      <w:pPr>
        <w:pStyle w:val="Ttulo1"/>
        <w:spacing w:before="0"/>
        <w:ind w:left="-227" w:right="369"/>
      </w:pPr>
      <w:r w:rsidRPr="003509A3">
        <w:t>TURMAS</w:t>
      </w:r>
    </w:p>
    <w:p w:rsidR="00ED73E7" w:rsidRDefault="001A7589" w:rsidP="00067B05">
      <w:pPr>
        <w:pStyle w:val="Cabealho"/>
        <w:tabs>
          <w:tab w:val="clear" w:pos="4419"/>
          <w:tab w:val="clear" w:pos="8838"/>
        </w:tabs>
        <w:ind w:left="-227" w:right="369" w:firstLine="142"/>
        <w:jc w:val="center"/>
        <w:rPr>
          <w:rFonts w:ascii="Open Sans" w:hAnsi="Open Sans" w:cs="Open Sans"/>
          <w:i/>
        </w:rPr>
      </w:pPr>
      <w:r w:rsidRPr="003509A3">
        <w:rPr>
          <w:rFonts w:ascii="Open Sans" w:hAnsi="Open Sans" w:cs="Open Sans"/>
          <w:i/>
        </w:rPr>
        <w:t>Transcrição de ementas selecionadas nas sessões de julgamento das Turmas do TST.</w:t>
      </w:r>
    </w:p>
    <w:p w:rsidR="00B241CD" w:rsidRPr="005F75EF" w:rsidRDefault="00B241CD" w:rsidP="005F75EF">
      <w:pPr>
        <w:widowControl w:val="0"/>
        <w:suppressAutoHyphens/>
        <w:ind w:left="-227" w:right="340"/>
        <w:jc w:val="both"/>
        <w:rPr>
          <w:rFonts w:ascii="Open Sans" w:hAnsi="Open Sans" w:cs="Open Sans"/>
          <w:sz w:val="24"/>
          <w:szCs w:val="24"/>
        </w:rPr>
      </w:pPr>
    </w:p>
    <w:p w:rsidR="00674581" w:rsidRDefault="00674581" w:rsidP="003A3D6C">
      <w:pPr>
        <w:widowControl w:val="0"/>
        <w:suppressAutoHyphens/>
        <w:ind w:left="-255" w:right="340"/>
        <w:jc w:val="both"/>
        <w:rPr>
          <w:rFonts w:ascii="Open Sans" w:hAnsi="Open Sans" w:cs="Open Sans"/>
          <w:b/>
          <w:bCs/>
          <w:color w:val="FF0000"/>
          <w:sz w:val="24"/>
          <w:szCs w:val="24"/>
          <w:shd w:val="clear" w:color="auto" w:fill="FFFFFF"/>
        </w:rPr>
      </w:pPr>
      <w:r>
        <w:rPr>
          <w:rFonts w:ascii="Open Sans" w:hAnsi="Open Sans" w:cs="Open Sans"/>
          <w:sz w:val="24"/>
          <w:szCs w:val="24"/>
        </w:rPr>
        <w:t>“</w:t>
      </w:r>
      <w:r w:rsidR="003A3D6C" w:rsidRPr="003A3D6C">
        <w:rPr>
          <w:rFonts w:ascii="Open Sans" w:hAnsi="Open Sans" w:cs="Open Sans"/>
          <w:sz w:val="24"/>
          <w:szCs w:val="24"/>
        </w:rPr>
        <w:t xml:space="preserve">RECURSO DE REVISTA DO RECLAMANTE. PLANO DE INCENTIVO À </w:t>
      </w:r>
      <w:proofErr w:type="gramStart"/>
      <w:r w:rsidR="003A3D6C" w:rsidRPr="003A3D6C">
        <w:rPr>
          <w:rFonts w:ascii="Open Sans" w:hAnsi="Open Sans" w:cs="Open Sans"/>
          <w:sz w:val="24"/>
          <w:szCs w:val="24"/>
        </w:rPr>
        <w:t>APOSENTADORIA PREVISTO EM NORMA COLETIVA</w:t>
      </w:r>
      <w:proofErr w:type="gramEnd"/>
      <w:r w:rsidR="003A3D6C" w:rsidRPr="003A3D6C">
        <w:rPr>
          <w:rFonts w:ascii="Open Sans" w:hAnsi="Open Sans" w:cs="Open Sans"/>
          <w:sz w:val="24"/>
          <w:szCs w:val="24"/>
        </w:rPr>
        <w:t>. REQUISITOS PREENCHIDOS. 1 . Foram estabelecidos, na cláusula 24 do ACT 2003/2005, dois requisitos para a adesão ao plano de incentivo à aposentadoria: (i) que o empregado já esteja aposentado ou se aposente durante a vigência do ACT; (</w:t>
      </w:r>
      <w:proofErr w:type="spellStart"/>
      <w:r w:rsidR="003A3D6C" w:rsidRPr="003A3D6C">
        <w:rPr>
          <w:rFonts w:ascii="Open Sans" w:hAnsi="Open Sans" w:cs="Open Sans"/>
          <w:sz w:val="24"/>
          <w:szCs w:val="24"/>
        </w:rPr>
        <w:t>ii</w:t>
      </w:r>
      <w:proofErr w:type="spellEnd"/>
      <w:r w:rsidR="003A3D6C" w:rsidRPr="003A3D6C">
        <w:rPr>
          <w:rFonts w:ascii="Open Sans" w:hAnsi="Open Sans" w:cs="Open Sans"/>
          <w:sz w:val="24"/>
          <w:szCs w:val="24"/>
        </w:rPr>
        <w:t xml:space="preserve">) que se desligue espontaneamente da Companhia reclamada. 2 . Nesse contexto, o Tribunal de origem julgou improcedente o pedido de inclusão do reclamante no plano de incentivo à aposentadoria, por entender que um dos requisitos previstos na referida cláusula coletiva  a saber, aquele relativo ao desligamento espontâneo  não teria sido preenchido. 3 . Isso porque, após a aposentadoria em 10.09.2020, o reclamante continuou prestando serviços para a Companhia de Saneamento do Pará. Sobrevindo o ACT 2003/2005, o reclamante, em 22.06.2023, solicitou o desligamento voluntário, mediante adesão ao Plano de Incentivo à Aposentadoria. Em resposta, a reclamada comunicou ao reclamante a rescisão do seu contrato de trabalho, por iniciativa da empregadora. 4 . Considerada a literalidade da cláusula 24 do ACT 2003/2005, como fez o Tribunal de origem, os requisitos previstos para a adesão ao plano de desligamento voluntário não estariam preenchidos pelo reclamante ou por qualquer outro trabalhador aposentado. 5 . Com efeito, conforme tese fixada pelo STF no Tema 606 de repercussão geral, a concessão de aposentadoria espontânea após a vigência da EC 103/2019 rompe automaticamente o contrato de trabalho dos empregados públicos. 6 . Assim, estando aposentado o empregado, seria inviável o posterior desligamento de forma voluntária, pois o contrato de trabalho já estaria extinto desde a data da aposentadoria. 7 . Para dar sentido à manifestação da vontade coletiva, impõe-se compreender que a cláusula 24 </w:t>
      </w:r>
      <w:r w:rsidR="003A3D6C" w:rsidRPr="003A3D6C">
        <w:rPr>
          <w:rFonts w:ascii="Open Sans" w:hAnsi="Open Sans" w:cs="Open Sans"/>
          <w:sz w:val="24"/>
          <w:szCs w:val="24"/>
        </w:rPr>
        <w:lastRenderedPageBreak/>
        <w:t xml:space="preserve">do ACT 2003/2005 assegura ao empregado aposentado que permanece prestando serviços a oportunidade de desligamento voluntário da empresa, mediante adesão ao Plano </w:t>
      </w:r>
      <w:r w:rsidR="003A3D6C">
        <w:rPr>
          <w:rFonts w:ascii="Open Sans" w:hAnsi="Open Sans" w:cs="Open Sans"/>
          <w:sz w:val="24"/>
          <w:szCs w:val="24"/>
        </w:rPr>
        <w:t>de Incentivo à Aposentadoria. 8</w:t>
      </w:r>
      <w:r w:rsidR="003A3D6C" w:rsidRPr="003A3D6C">
        <w:rPr>
          <w:rFonts w:ascii="Open Sans" w:hAnsi="Open Sans" w:cs="Open Sans"/>
          <w:sz w:val="24"/>
          <w:szCs w:val="24"/>
        </w:rPr>
        <w:t xml:space="preserve">. Assim, se o reclamante continuou prestando serviços após a aposentadoria espontânea, tendo postulado a adesão ao plano de desligamento voluntário antes da comunicação patronal sobre a extinção do vínculo de emprego, estão preenchidos os requisitos previstos na </w:t>
      </w:r>
      <w:r w:rsidR="0049386A">
        <w:rPr>
          <w:rFonts w:ascii="Open Sans" w:hAnsi="Open Sans" w:cs="Open Sans"/>
          <w:sz w:val="24"/>
          <w:szCs w:val="24"/>
        </w:rPr>
        <w:t>cláusula 24 do ACT 2003/2005. 9</w:t>
      </w:r>
      <w:r w:rsidR="003A3D6C" w:rsidRPr="003A3D6C">
        <w:rPr>
          <w:rFonts w:ascii="Open Sans" w:hAnsi="Open Sans" w:cs="Open Sans"/>
          <w:sz w:val="24"/>
          <w:szCs w:val="24"/>
        </w:rPr>
        <w:t xml:space="preserve">. A rescisão contratual por iniciativa da reclamada, somente após a solicitação de adesão ao PDV, configura ato obstativo à aquisição do direito previsto em norma coletiva, em desprestígio à boa fé contratual e aos princípios que norteiam a boa conduta do empregador, não podendo ser validada. </w:t>
      </w:r>
      <w:proofErr w:type="gramStart"/>
      <w:r w:rsidR="003A3D6C" w:rsidRPr="003A3D6C">
        <w:rPr>
          <w:rFonts w:ascii="Open Sans" w:hAnsi="Open Sans" w:cs="Open Sans"/>
          <w:sz w:val="24"/>
          <w:szCs w:val="24"/>
        </w:rPr>
        <w:t>Recurso d</w:t>
      </w:r>
      <w:r w:rsidR="003A3D6C">
        <w:rPr>
          <w:rFonts w:ascii="Open Sans" w:hAnsi="Open Sans" w:cs="Open Sans"/>
          <w:sz w:val="24"/>
          <w:szCs w:val="24"/>
        </w:rPr>
        <w:t>e Revista conhecido e provido.</w:t>
      </w:r>
      <w:r w:rsidR="00EF5B62">
        <w:rPr>
          <w:rFonts w:ascii="Open Sans" w:hAnsi="Open Sans" w:cs="Open Sans"/>
          <w:sz w:val="24"/>
          <w:szCs w:val="24"/>
        </w:rPr>
        <w:t>”</w:t>
      </w:r>
      <w:proofErr w:type="gramEnd"/>
      <w:r w:rsidR="003A3D6C">
        <w:rPr>
          <w:rFonts w:ascii="Open Sans" w:hAnsi="Open Sans" w:cs="Open Sans"/>
          <w:sz w:val="24"/>
          <w:szCs w:val="24"/>
        </w:rPr>
        <w:t xml:space="preserve"> </w:t>
      </w:r>
      <w:r w:rsidR="003A3D6C" w:rsidRPr="003A3D6C">
        <w:rPr>
          <w:rFonts w:ascii="Open Sans" w:hAnsi="Open Sans" w:cs="Open Sans"/>
          <w:sz w:val="24"/>
          <w:szCs w:val="24"/>
        </w:rPr>
        <w:t>(</w:t>
      </w:r>
      <w:hyperlink r:id="rId15" w:anchor="089ceba" w:history="1">
        <w:r w:rsidR="003A3D6C" w:rsidRPr="003A3D6C">
          <w:rPr>
            <w:rStyle w:val="Hyperlink"/>
            <w:rFonts w:ascii="Open Sans" w:hAnsi="Open Sans" w:cs="Open Sans"/>
            <w:sz w:val="24"/>
            <w:szCs w:val="24"/>
          </w:rPr>
          <w:t xml:space="preserve">TST-RR-0000370-08.2023.5.08.0104, 1ª Turma, Rel. Min. Hugo Carlos </w:t>
        </w:r>
        <w:proofErr w:type="spellStart"/>
        <w:r w:rsidR="003A3D6C" w:rsidRPr="003A3D6C">
          <w:rPr>
            <w:rStyle w:val="Hyperlink"/>
            <w:rFonts w:ascii="Open Sans" w:hAnsi="Open Sans" w:cs="Open Sans"/>
            <w:sz w:val="24"/>
            <w:szCs w:val="24"/>
          </w:rPr>
          <w:t>Scheuermann</w:t>
        </w:r>
        <w:proofErr w:type="spellEnd"/>
        <w:r w:rsidR="003A3D6C" w:rsidRPr="003A3D6C">
          <w:rPr>
            <w:rStyle w:val="Hyperlink"/>
            <w:rFonts w:ascii="Open Sans" w:hAnsi="Open Sans" w:cs="Open Sans"/>
            <w:sz w:val="24"/>
            <w:szCs w:val="24"/>
          </w:rPr>
          <w:t>, julgado em  29/4/2026</w:t>
        </w:r>
      </w:hyperlink>
      <w:r w:rsidR="00F779EF">
        <w:rPr>
          <w:rFonts w:ascii="Open Sans" w:hAnsi="Open Sans" w:cs="Open Sans"/>
          <w:sz w:val="24"/>
          <w:szCs w:val="24"/>
        </w:rPr>
        <w:t>)</w:t>
      </w:r>
    </w:p>
    <w:p w:rsidR="00674581" w:rsidRPr="00674581" w:rsidRDefault="00674581" w:rsidP="00EC6C60">
      <w:pPr>
        <w:widowControl w:val="0"/>
        <w:suppressAutoHyphens/>
        <w:ind w:left="-255" w:right="340"/>
        <w:jc w:val="both"/>
        <w:rPr>
          <w:rFonts w:ascii="Open Sans" w:hAnsi="Open Sans" w:cs="Open Sans"/>
          <w:bCs/>
          <w:sz w:val="24"/>
          <w:szCs w:val="24"/>
          <w:shd w:val="clear" w:color="auto" w:fill="FFFFFF"/>
        </w:rPr>
      </w:pPr>
    </w:p>
    <w:p w:rsidR="00674581" w:rsidRPr="009030EF" w:rsidRDefault="002E1C3D" w:rsidP="00EC6C60">
      <w:pPr>
        <w:widowControl w:val="0"/>
        <w:suppressAutoHyphens/>
        <w:ind w:left="-255" w:right="340"/>
        <w:jc w:val="both"/>
        <w:rPr>
          <w:rFonts w:ascii="Open Sans" w:hAnsi="Open Sans" w:cs="Open Sans"/>
          <w:bCs/>
          <w:sz w:val="24"/>
          <w:szCs w:val="24"/>
        </w:rPr>
      </w:pPr>
      <w:r w:rsidRPr="009030EF">
        <w:rPr>
          <w:rFonts w:ascii="Open Sans" w:hAnsi="Open Sans" w:cs="Open Sans"/>
          <w:bCs/>
          <w:sz w:val="24"/>
          <w:szCs w:val="24"/>
        </w:rPr>
        <w:t>“</w:t>
      </w:r>
      <w:r w:rsidR="00853A78" w:rsidRPr="009030EF">
        <w:rPr>
          <w:rFonts w:ascii="Open Sans" w:hAnsi="Open Sans" w:cs="Open Sans"/>
          <w:bCs/>
          <w:sz w:val="24"/>
          <w:szCs w:val="24"/>
        </w:rPr>
        <w:t xml:space="preserve">[...] </w:t>
      </w:r>
      <w:r w:rsidR="00DF1C73" w:rsidRPr="009030EF">
        <w:rPr>
          <w:rFonts w:ascii="Open Sans" w:hAnsi="Open Sans" w:cs="Open Sans"/>
          <w:bCs/>
          <w:sz w:val="24"/>
          <w:szCs w:val="24"/>
        </w:rPr>
        <w:t>RESPONSABILIDADE DO EMPREGADOR. ACIDENTE DE TRABALHO. OPERADOR DE MÁQUINAS. FORTUITO INTERNO. TEMA 932 DE REPERCUSSÃO GERAL.</w:t>
      </w:r>
      <w:r w:rsidR="00DF1C73" w:rsidRPr="009030EF">
        <w:rPr>
          <w:rFonts w:ascii="Open Sans" w:hAnsi="Open Sans" w:cs="Open Sans"/>
          <w:sz w:val="24"/>
          <w:szCs w:val="24"/>
        </w:rPr>
        <w:t xml:space="preserve"> A regra geral no Direito Brasileiro é a responsabilidade subjetiva, que pressupõe a ocorrência concomitante do dano, do nexo causal e da culpa do empregador. Sem a conjugação de todos esses requisitos, não há falar-se em responsabilidade. É o que se extrai da exegese do art. 186 do Código Civil. Tratando-se, todavia, de dano decorrente de atividade de risco, há norma específica para ser aplicada à responsabilidade objetiva (independentemente de culpa), conforme se extrai do parágrafo único do art. 927 do Código Civil. A aplicação desse dispositivo não conflita com a regra inserta no art. 7.º, XXVIII, da Constituição Federal,</w:t>
      </w:r>
      <w:r w:rsidR="009A44F3">
        <w:rPr>
          <w:rFonts w:ascii="Open Sans" w:hAnsi="Open Sans" w:cs="Open Sans"/>
          <w:sz w:val="24"/>
          <w:szCs w:val="24"/>
        </w:rPr>
        <w:t xml:space="preserve"> consoante expressamente reconhe</w:t>
      </w:r>
      <w:r w:rsidR="00DF1C73" w:rsidRPr="009030EF">
        <w:rPr>
          <w:rFonts w:ascii="Open Sans" w:hAnsi="Open Sans" w:cs="Open Sans"/>
          <w:sz w:val="24"/>
          <w:szCs w:val="24"/>
        </w:rPr>
        <w:t>cido pela Suprema Corte quando do jul</w:t>
      </w:r>
      <w:r w:rsidR="009A44F3">
        <w:rPr>
          <w:rFonts w:ascii="Open Sans" w:hAnsi="Open Sans" w:cs="Open Sans"/>
          <w:sz w:val="24"/>
          <w:szCs w:val="24"/>
        </w:rPr>
        <w:t>ga</w:t>
      </w:r>
      <w:r w:rsidR="00DF1C73" w:rsidRPr="009030EF">
        <w:rPr>
          <w:rFonts w:ascii="Open Sans" w:hAnsi="Open Sans" w:cs="Open Sans"/>
          <w:sz w:val="24"/>
          <w:szCs w:val="24"/>
        </w:rPr>
        <w:t xml:space="preserve">mento do RE 828.040 (Tema 932 de repercussão geral), no qual foi firmada a seguinte tese: </w:t>
      </w:r>
      <w:r w:rsidR="00587464">
        <w:rPr>
          <w:rFonts w:ascii="Open Sans" w:hAnsi="Open Sans" w:cs="Open Sans"/>
          <w:sz w:val="24"/>
          <w:szCs w:val="24"/>
        </w:rPr>
        <w:t>‘</w:t>
      </w:r>
      <w:r w:rsidR="00DF1C73" w:rsidRPr="009A44F3">
        <w:rPr>
          <w:rFonts w:ascii="Open Sans" w:hAnsi="Open Sans" w:cs="Open Sans"/>
          <w:iCs/>
          <w:sz w:val="24"/>
          <w:szCs w:val="24"/>
        </w:rPr>
        <w:t>O artigo 927, parágrafo único, do Código Civil é compatível com o artigo 7.º, XXVIII, da Constituição Federal, sendo constitucional a responsabilização objetiva do empregador por danos decorrentes de acidentes de trabalho, nos casos especificados em lei, ou quando a atividade normalmente desenvolvida, por sua natureza, apresentar exposição habitual a risco especial, com potencialidade lesiva e implicar ao trabalhador ônus maior do que aos demais membros da coletividade</w:t>
      </w:r>
      <w:r w:rsidR="00587464">
        <w:rPr>
          <w:rFonts w:ascii="Open Sans" w:hAnsi="Open Sans" w:cs="Open Sans"/>
          <w:sz w:val="24"/>
          <w:szCs w:val="24"/>
        </w:rPr>
        <w:t>’</w:t>
      </w:r>
      <w:r w:rsidR="00DF1C73" w:rsidRPr="009030EF">
        <w:rPr>
          <w:rFonts w:ascii="Open Sans" w:hAnsi="Open Sans" w:cs="Open Sans"/>
          <w:sz w:val="24"/>
          <w:szCs w:val="24"/>
        </w:rPr>
        <w:t xml:space="preserve">. Ademais, nos casos de responsabilidade objetiva, o fortuito interno, ou seja, aquele evento danoso imprevisível, mas que está diretamente relacionado à atividade operacional da empresa, não tem o condão de excluir a responsabilidade do empregador. No caso, consoante se infere da premissa fática delineada pela Corte de origem, verifica-se que: </w:t>
      </w:r>
      <w:r w:rsidR="00DF1C73" w:rsidRPr="009030EF">
        <w:rPr>
          <w:rFonts w:ascii="Open Sans" w:hAnsi="Open Sans" w:cs="Open Sans"/>
          <w:bCs/>
          <w:sz w:val="24"/>
          <w:szCs w:val="24"/>
        </w:rPr>
        <w:t>a)</w:t>
      </w:r>
      <w:r w:rsidR="00DF1C73" w:rsidRPr="009030EF">
        <w:rPr>
          <w:rFonts w:ascii="Open Sans" w:hAnsi="Open Sans" w:cs="Open Sans"/>
          <w:sz w:val="24"/>
          <w:szCs w:val="24"/>
        </w:rPr>
        <w:t xml:space="preserve"> </w:t>
      </w:r>
      <w:r w:rsidR="00587464">
        <w:rPr>
          <w:rFonts w:ascii="Open Sans" w:hAnsi="Open Sans" w:cs="Open Sans"/>
          <w:sz w:val="24"/>
          <w:szCs w:val="24"/>
        </w:rPr>
        <w:t>‘</w:t>
      </w:r>
      <w:r w:rsidR="00DF1C73" w:rsidRPr="009A44F3">
        <w:rPr>
          <w:rFonts w:ascii="Open Sans" w:hAnsi="Open Sans" w:cs="Open Sans"/>
          <w:iCs/>
          <w:sz w:val="24"/>
          <w:szCs w:val="24"/>
        </w:rPr>
        <w:t xml:space="preserve">em 22/07/2019, o reclamante sofreu acidente de trabalho típico, enquanto laborava à reclamada, quando uma tora caiu sobre a região da mão/punho do reclamante. Referida tora estava sendo laminada, quando </w:t>
      </w:r>
      <w:proofErr w:type="gramStart"/>
      <w:r w:rsidR="00DF1C73" w:rsidRPr="009A44F3">
        <w:rPr>
          <w:rFonts w:ascii="Open Sans" w:hAnsi="Open Sans" w:cs="Open Sans"/>
          <w:iCs/>
          <w:sz w:val="24"/>
          <w:szCs w:val="24"/>
        </w:rPr>
        <w:t>soltou-se</w:t>
      </w:r>
      <w:proofErr w:type="gramEnd"/>
      <w:r w:rsidR="00DF1C73" w:rsidRPr="009A44F3">
        <w:rPr>
          <w:rFonts w:ascii="Open Sans" w:hAnsi="Open Sans" w:cs="Open Sans"/>
          <w:iCs/>
          <w:sz w:val="24"/>
          <w:szCs w:val="24"/>
        </w:rPr>
        <w:t xml:space="preserve"> da máquina e veio a atingir o membro </w:t>
      </w:r>
      <w:proofErr w:type="gramStart"/>
      <w:r w:rsidR="00DF1C73" w:rsidRPr="009A44F3">
        <w:rPr>
          <w:rFonts w:ascii="Open Sans" w:hAnsi="Open Sans" w:cs="Open Sans"/>
          <w:iCs/>
          <w:sz w:val="24"/>
          <w:szCs w:val="24"/>
        </w:rPr>
        <w:t>do</w:t>
      </w:r>
      <w:proofErr w:type="gramEnd"/>
      <w:r w:rsidR="00DF1C73" w:rsidRPr="009A44F3">
        <w:rPr>
          <w:rFonts w:ascii="Open Sans" w:hAnsi="Open Sans" w:cs="Open Sans"/>
          <w:iCs/>
          <w:sz w:val="24"/>
          <w:szCs w:val="24"/>
        </w:rPr>
        <w:t xml:space="preserve"> reclamante</w:t>
      </w:r>
      <w:r w:rsidR="00587464">
        <w:rPr>
          <w:rFonts w:ascii="Open Sans" w:hAnsi="Open Sans" w:cs="Open Sans"/>
          <w:sz w:val="24"/>
          <w:szCs w:val="24"/>
        </w:rPr>
        <w:t>’</w:t>
      </w:r>
      <w:r w:rsidR="00DF1C73" w:rsidRPr="009030EF">
        <w:rPr>
          <w:rFonts w:ascii="Open Sans" w:hAnsi="Open Sans" w:cs="Open Sans"/>
          <w:sz w:val="24"/>
          <w:szCs w:val="24"/>
        </w:rPr>
        <w:t xml:space="preserve">; </w:t>
      </w:r>
      <w:r w:rsidR="00DF1C73" w:rsidRPr="009030EF">
        <w:rPr>
          <w:rFonts w:ascii="Open Sans" w:hAnsi="Open Sans" w:cs="Open Sans"/>
          <w:bCs/>
          <w:sz w:val="24"/>
          <w:szCs w:val="24"/>
        </w:rPr>
        <w:t xml:space="preserve">b) </w:t>
      </w:r>
      <w:r w:rsidR="00DF1C73" w:rsidRPr="009030EF">
        <w:rPr>
          <w:rFonts w:ascii="Open Sans" w:hAnsi="Open Sans" w:cs="Open Sans"/>
          <w:sz w:val="24"/>
          <w:szCs w:val="24"/>
        </w:rPr>
        <w:t xml:space="preserve">o laudo pericial constatou que, em virtude do acidente de trabalho, o obreiro ficou completamente incapacitado para o desempenho das suas funções habituais; </w:t>
      </w:r>
      <w:r w:rsidR="00DF1C73" w:rsidRPr="009030EF">
        <w:rPr>
          <w:rFonts w:ascii="Open Sans" w:hAnsi="Open Sans" w:cs="Open Sans"/>
          <w:bCs/>
          <w:sz w:val="24"/>
          <w:szCs w:val="24"/>
        </w:rPr>
        <w:t>c)</w:t>
      </w:r>
      <w:r w:rsidR="00DF1C73" w:rsidRPr="009030EF">
        <w:rPr>
          <w:rFonts w:ascii="Open Sans" w:hAnsi="Open Sans" w:cs="Open Sans"/>
          <w:sz w:val="24"/>
          <w:szCs w:val="24"/>
        </w:rPr>
        <w:t xml:space="preserve"> sendo evidenciado o fortuito interno, não há como se afastar a responsabilidade do empregador pelo acidente sofrido pelo trabalhador. Diante de tal contexto, tal como consignado no acórdão regional, em sendo o evento danoso decorrente do fortuito interno, a responsabilização do empregador demanda a comprovação apenas do dano e do nexo causal sendo prescindível o exame da culpa patronal, sem que isso implique afronta aos </w:t>
      </w:r>
      <w:proofErr w:type="spellStart"/>
      <w:r w:rsidR="00DF1C73" w:rsidRPr="009030EF">
        <w:rPr>
          <w:rFonts w:ascii="Open Sans" w:hAnsi="Open Sans" w:cs="Open Sans"/>
          <w:sz w:val="24"/>
          <w:szCs w:val="24"/>
        </w:rPr>
        <w:t>arts</w:t>
      </w:r>
      <w:proofErr w:type="spellEnd"/>
      <w:r w:rsidR="00DF1C73" w:rsidRPr="009030EF">
        <w:rPr>
          <w:rFonts w:ascii="Open Sans" w:hAnsi="Open Sans" w:cs="Open Sans"/>
          <w:sz w:val="24"/>
          <w:szCs w:val="24"/>
        </w:rPr>
        <w:t xml:space="preserve">. 186 e 927 do Código Civil e 7.º, XXVIII, da Constituição Federal. </w:t>
      </w:r>
      <w:r w:rsidR="00DF1C73" w:rsidRPr="009030EF">
        <w:rPr>
          <w:rFonts w:ascii="Open Sans" w:hAnsi="Open Sans" w:cs="Open Sans"/>
          <w:bCs/>
          <w:sz w:val="24"/>
          <w:szCs w:val="24"/>
        </w:rPr>
        <w:t xml:space="preserve">Agravo </w:t>
      </w:r>
      <w:r w:rsidR="00DF1C73" w:rsidRPr="009030EF">
        <w:rPr>
          <w:rFonts w:ascii="Open Sans" w:hAnsi="Open Sans" w:cs="Open Sans"/>
          <w:bCs/>
          <w:sz w:val="24"/>
          <w:szCs w:val="24"/>
        </w:rPr>
        <w:lastRenderedPageBreak/>
        <w:t>conhecido e não provido, no tópico.</w:t>
      </w:r>
      <w:r w:rsidRPr="009030EF">
        <w:rPr>
          <w:rFonts w:ascii="Open Sans" w:hAnsi="Open Sans" w:cs="Open Sans"/>
          <w:bCs/>
          <w:sz w:val="24"/>
          <w:szCs w:val="24"/>
        </w:rPr>
        <w:t>”</w:t>
      </w:r>
      <w:r w:rsidR="00DF1C73" w:rsidRPr="009030EF">
        <w:rPr>
          <w:rFonts w:ascii="Open Sans" w:hAnsi="Open Sans" w:cs="Open Sans"/>
          <w:bCs/>
          <w:sz w:val="24"/>
          <w:szCs w:val="24"/>
        </w:rPr>
        <w:t xml:space="preserve"> (</w:t>
      </w:r>
      <w:hyperlink r:id="rId16" w:history="1">
        <w:r w:rsidR="00DF1C73" w:rsidRPr="0082253E">
          <w:rPr>
            <w:rStyle w:val="Hyperlink"/>
            <w:rFonts w:ascii="Open Sans" w:hAnsi="Open Sans" w:cs="Open Sans"/>
            <w:bCs/>
            <w:sz w:val="24"/>
            <w:szCs w:val="24"/>
          </w:rPr>
          <w:t>TST-RR - 951-41.2020.5.09.0026,</w:t>
        </w:r>
        <w:r w:rsidR="005B493C" w:rsidRPr="0082253E">
          <w:rPr>
            <w:rStyle w:val="Hyperlink"/>
            <w:rFonts w:ascii="Open Sans" w:hAnsi="Open Sans" w:cs="Open Sans"/>
            <w:bCs/>
            <w:sz w:val="24"/>
            <w:szCs w:val="24"/>
          </w:rPr>
          <w:t xml:space="preserve"> 1ª Turma, Rel. Min. </w:t>
        </w:r>
        <w:r w:rsidR="0071299B" w:rsidRPr="0082253E">
          <w:rPr>
            <w:rStyle w:val="Hyperlink"/>
            <w:rFonts w:ascii="Open Sans" w:hAnsi="Open Sans" w:cs="Open Sans"/>
            <w:bCs/>
            <w:sz w:val="24"/>
            <w:szCs w:val="24"/>
          </w:rPr>
          <w:t>Luiz José Dezena da Silva, julgado em 29/4/2026</w:t>
        </w:r>
      </w:hyperlink>
      <w:r w:rsidR="0071299B" w:rsidRPr="009030EF">
        <w:rPr>
          <w:rFonts w:ascii="Open Sans" w:hAnsi="Open Sans" w:cs="Open Sans"/>
          <w:bCs/>
          <w:sz w:val="24"/>
          <w:szCs w:val="24"/>
        </w:rPr>
        <w:t>)</w:t>
      </w:r>
    </w:p>
    <w:p w:rsidR="001156D8" w:rsidRPr="009030EF" w:rsidRDefault="001156D8" w:rsidP="00EC6C60">
      <w:pPr>
        <w:widowControl w:val="0"/>
        <w:suppressAutoHyphens/>
        <w:ind w:left="-255" w:right="340"/>
        <w:jc w:val="both"/>
        <w:rPr>
          <w:rFonts w:ascii="Open Sans" w:hAnsi="Open Sans" w:cs="Open Sans"/>
          <w:bCs/>
          <w:sz w:val="24"/>
          <w:szCs w:val="24"/>
        </w:rPr>
      </w:pPr>
    </w:p>
    <w:p w:rsidR="001156D8" w:rsidRPr="009030EF" w:rsidRDefault="00853A78" w:rsidP="001E21EC">
      <w:pPr>
        <w:widowControl w:val="0"/>
        <w:suppressAutoHyphens/>
        <w:ind w:left="-255" w:right="340"/>
        <w:jc w:val="both"/>
        <w:rPr>
          <w:rFonts w:ascii="Open Sans" w:hAnsi="Open Sans" w:cs="Open Sans"/>
          <w:bCs/>
          <w:sz w:val="24"/>
          <w:szCs w:val="24"/>
        </w:rPr>
      </w:pPr>
      <w:r w:rsidRPr="009030EF">
        <w:rPr>
          <w:rFonts w:ascii="Open Sans" w:hAnsi="Open Sans" w:cs="Open Sans"/>
          <w:bCs/>
          <w:sz w:val="24"/>
          <w:szCs w:val="24"/>
        </w:rPr>
        <w:t xml:space="preserve">“[...] </w:t>
      </w:r>
      <w:r w:rsidR="001E21EC" w:rsidRPr="009030EF">
        <w:rPr>
          <w:rFonts w:ascii="Open Sans" w:hAnsi="Open Sans" w:cs="Open Sans"/>
          <w:bCs/>
          <w:sz w:val="24"/>
          <w:szCs w:val="24"/>
        </w:rPr>
        <w:t>EMPREGADA GESTANTE. RESCISÃO POR JUSTA CAUSA. PRODUÇÃO DE PROVA. ACESSO À TROCA DE MENSAGENS EM APLICATIVO DURANTE MANUTENÇÃO DE APARELHOS COMPUTADORES DE PROPRIEDADE DA EMPREGADORA. VIOLAÇÃO À PRIVACIDADE E ILICITUDE DA PROVA. CARACTERIZAÇÃO.</w:t>
      </w:r>
      <w:r w:rsidR="00AE6942">
        <w:rPr>
          <w:rFonts w:ascii="Open Sans" w:hAnsi="Open Sans" w:cs="Open Sans"/>
          <w:bCs/>
          <w:sz w:val="24"/>
          <w:szCs w:val="24"/>
        </w:rPr>
        <w:t xml:space="preserve"> </w:t>
      </w:r>
      <w:proofErr w:type="gramStart"/>
      <w:r w:rsidR="001E21EC" w:rsidRPr="009030EF">
        <w:rPr>
          <w:rFonts w:ascii="Open Sans" w:hAnsi="Open Sans" w:cs="Open Sans"/>
          <w:sz w:val="24"/>
          <w:szCs w:val="24"/>
        </w:rPr>
        <w:t>1</w:t>
      </w:r>
      <w:proofErr w:type="gramEnd"/>
      <w:r w:rsidR="001E21EC" w:rsidRPr="009030EF">
        <w:rPr>
          <w:rFonts w:ascii="Open Sans" w:hAnsi="Open Sans" w:cs="Open Sans"/>
          <w:sz w:val="24"/>
          <w:szCs w:val="24"/>
        </w:rPr>
        <w:t xml:space="preserve">. Sobre a produção probatória, são inadmissíveis, no processo, as provas obtidas por meio ilícito, conforme dispõe o art. 5º, LVI, da CF. Por sua vez, o Código de Processo Civil prevê, no art. 369, </w:t>
      </w:r>
      <w:r w:rsidR="001E21EC" w:rsidRPr="00587464">
        <w:rPr>
          <w:rFonts w:ascii="Open Sans" w:hAnsi="Open Sans" w:cs="Open Sans"/>
          <w:sz w:val="24"/>
          <w:szCs w:val="24"/>
        </w:rPr>
        <w:t xml:space="preserve">que </w:t>
      </w:r>
      <w:r w:rsidR="00587464">
        <w:rPr>
          <w:rFonts w:ascii="Open Sans" w:hAnsi="Open Sans" w:cs="Open Sans"/>
          <w:sz w:val="24"/>
          <w:szCs w:val="24"/>
        </w:rPr>
        <w:t>‘</w:t>
      </w:r>
      <w:r w:rsidR="001E21EC" w:rsidRPr="00587464">
        <w:rPr>
          <w:rFonts w:ascii="Open Sans" w:hAnsi="Open Sans" w:cs="Open Sans"/>
          <w:iCs/>
          <w:sz w:val="24"/>
          <w:szCs w:val="24"/>
        </w:rPr>
        <w:t>as partes têm o direito de empregar todos os meios legais, bem como os moralmente legítimos, ainda que não especificados neste Código, para provar a verdade dos fatos em que se funda o pedido ou a defesa e influir eficazmente na convicção do juiz</w:t>
      </w:r>
      <w:r w:rsidR="00587464">
        <w:rPr>
          <w:rFonts w:ascii="Open Sans" w:hAnsi="Open Sans" w:cs="Open Sans"/>
          <w:sz w:val="24"/>
          <w:szCs w:val="24"/>
        </w:rPr>
        <w:t>’</w:t>
      </w:r>
      <w:r w:rsidR="001E21EC" w:rsidRPr="00587464">
        <w:rPr>
          <w:rFonts w:ascii="Open Sans" w:hAnsi="Open Sans" w:cs="Open Sans"/>
          <w:sz w:val="24"/>
          <w:szCs w:val="24"/>
        </w:rPr>
        <w:t xml:space="preserve">. 2. No presente caso, a Corte Regional entendeu que </w:t>
      </w:r>
      <w:r w:rsidR="00587464">
        <w:rPr>
          <w:rFonts w:ascii="Open Sans" w:hAnsi="Open Sans" w:cs="Open Sans"/>
          <w:sz w:val="24"/>
          <w:szCs w:val="24"/>
        </w:rPr>
        <w:t>‘</w:t>
      </w:r>
      <w:r w:rsidR="001E21EC" w:rsidRPr="00587464">
        <w:rPr>
          <w:rFonts w:ascii="Open Sans" w:hAnsi="Open Sans" w:cs="Open Sans"/>
          <w:iCs/>
          <w:sz w:val="24"/>
          <w:szCs w:val="24"/>
        </w:rPr>
        <w:t>o comportamento faltoso restou estreme de dúvidas, pois restou provado nos autos que descumpriu com suas obrigações contratuais, agindo com desonestidade em relação a seus novos sócios. De fato, a substanciosa prova material ofertada pela empresa e a segura e convincente prova oral trazida por suas testemunhas são hábeis, críveis e suficientes para encampar a versão defensiva; evidentemente, todas a militar em desfavor da autora</w:t>
      </w:r>
      <w:r w:rsidR="00587464">
        <w:rPr>
          <w:rFonts w:ascii="Open Sans" w:hAnsi="Open Sans" w:cs="Open Sans"/>
          <w:sz w:val="24"/>
          <w:szCs w:val="24"/>
        </w:rPr>
        <w:t>’</w:t>
      </w:r>
      <w:r w:rsidR="001E21EC" w:rsidRPr="00587464">
        <w:rPr>
          <w:rFonts w:ascii="Open Sans" w:hAnsi="Open Sans" w:cs="Open Sans"/>
          <w:sz w:val="24"/>
          <w:szCs w:val="24"/>
        </w:rPr>
        <w:t>.</w:t>
      </w:r>
      <w:r w:rsidR="00AE6942">
        <w:rPr>
          <w:rFonts w:ascii="Open Sans" w:hAnsi="Open Sans" w:cs="Open Sans"/>
          <w:sz w:val="24"/>
          <w:szCs w:val="24"/>
        </w:rPr>
        <w:t xml:space="preserve"> </w:t>
      </w:r>
      <w:r w:rsidR="001E21EC" w:rsidRPr="009030EF">
        <w:rPr>
          <w:rFonts w:ascii="Open Sans" w:hAnsi="Open Sans" w:cs="Open Sans"/>
          <w:sz w:val="24"/>
          <w:szCs w:val="24"/>
        </w:rPr>
        <w:t xml:space="preserve">3. Ainda que o acesso ao </w:t>
      </w:r>
      <w:proofErr w:type="spellStart"/>
      <w:r w:rsidR="001E21EC" w:rsidRPr="009030EF">
        <w:rPr>
          <w:rFonts w:ascii="Open Sans" w:hAnsi="Open Sans" w:cs="Open Sans"/>
          <w:i/>
          <w:iCs/>
          <w:sz w:val="24"/>
          <w:szCs w:val="24"/>
        </w:rPr>
        <w:t>Whatsapp</w:t>
      </w:r>
      <w:proofErr w:type="spellEnd"/>
      <w:r w:rsidR="001E21EC" w:rsidRPr="009030EF">
        <w:rPr>
          <w:rFonts w:ascii="Open Sans" w:hAnsi="Open Sans" w:cs="Open Sans"/>
          <w:sz w:val="24"/>
          <w:szCs w:val="24"/>
        </w:rPr>
        <w:t xml:space="preserve"> da autora tenha sido circunstancial, ocorrido por ocasião da manutenção dos computadores da empresa, como registra o acórdão embargado, resta caracterizada a invasão da sua privacidade, pois não é dado ao empregador ler conversas privadas de seus empregados sem autorização para tanto.</w:t>
      </w:r>
      <w:r w:rsidR="00AE6942">
        <w:rPr>
          <w:rFonts w:ascii="Open Sans" w:hAnsi="Open Sans" w:cs="Open Sans"/>
          <w:sz w:val="24"/>
          <w:szCs w:val="24"/>
        </w:rPr>
        <w:t xml:space="preserve"> </w:t>
      </w:r>
      <w:r w:rsidR="001E21EC" w:rsidRPr="009030EF">
        <w:rPr>
          <w:rFonts w:ascii="Open Sans" w:hAnsi="Open Sans" w:cs="Open Sans"/>
          <w:sz w:val="24"/>
          <w:szCs w:val="24"/>
        </w:rPr>
        <w:t>4. De outro lado, embora o acórdão regional faça referência à prova documental e testemunhal para confirmar a falta grave imputada à trabalhadora, invoca a prova oral apenas para reconhecer que a autora tinha conhecimento da proibição de manter conversas e contatos com os antigos sócios.</w:t>
      </w:r>
      <w:r w:rsidR="00AE6942">
        <w:rPr>
          <w:rFonts w:ascii="Open Sans" w:hAnsi="Open Sans" w:cs="Open Sans"/>
          <w:sz w:val="24"/>
          <w:szCs w:val="24"/>
        </w:rPr>
        <w:t xml:space="preserve"> </w:t>
      </w:r>
      <w:r w:rsidR="001E21EC" w:rsidRPr="009030EF">
        <w:rPr>
          <w:rFonts w:ascii="Open Sans" w:hAnsi="Open Sans" w:cs="Open Sans"/>
          <w:sz w:val="24"/>
          <w:szCs w:val="24"/>
        </w:rPr>
        <w:t>5. O reconhecimento de que houve a prática do ato reputado como faltoso (conversação e repasse de informações sigilosas) está fundamentada exclusivamente na prova documental obtida de forma ilícita, mediante invasão da privacidade da trabalhadora e, por isso, não pode ser admitida em juízo.</w:t>
      </w:r>
      <w:r w:rsidR="00AE6942">
        <w:rPr>
          <w:rFonts w:ascii="Open Sans" w:hAnsi="Open Sans" w:cs="Open Sans"/>
          <w:sz w:val="24"/>
          <w:szCs w:val="24"/>
        </w:rPr>
        <w:t xml:space="preserve"> </w:t>
      </w:r>
      <w:proofErr w:type="gramStart"/>
      <w:r w:rsidR="001E21EC" w:rsidRPr="009030EF">
        <w:rPr>
          <w:rFonts w:ascii="Open Sans" w:hAnsi="Open Sans" w:cs="Open Sans"/>
          <w:bCs/>
          <w:sz w:val="24"/>
          <w:szCs w:val="24"/>
        </w:rPr>
        <w:t>Recurso de revista conhecido e provido.</w:t>
      </w:r>
      <w:r w:rsidR="00EF5B62">
        <w:rPr>
          <w:rFonts w:ascii="Open Sans" w:hAnsi="Open Sans" w:cs="Open Sans"/>
          <w:bCs/>
          <w:sz w:val="24"/>
          <w:szCs w:val="24"/>
        </w:rPr>
        <w:t>”</w:t>
      </w:r>
      <w:proofErr w:type="gramEnd"/>
      <w:r w:rsidR="001E21EC" w:rsidRPr="009030EF">
        <w:rPr>
          <w:rFonts w:ascii="Open Sans" w:hAnsi="Open Sans" w:cs="Open Sans"/>
          <w:sz w:val="24"/>
          <w:szCs w:val="24"/>
        </w:rPr>
        <w:t xml:space="preserve"> (</w:t>
      </w:r>
      <w:hyperlink r:id="rId17" w:history="1">
        <w:r w:rsidR="001E21EC" w:rsidRPr="00C338C4">
          <w:rPr>
            <w:rStyle w:val="Hyperlink"/>
            <w:rFonts w:ascii="Open Sans" w:hAnsi="Open Sans" w:cs="Open Sans"/>
            <w:sz w:val="24"/>
            <w:szCs w:val="24"/>
          </w:rPr>
          <w:t>TST-</w:t>
        </w:r>
        <w:r w:rsidR="001E21EC" w:rsidRPr="00C338C4">
          <w:rPr>
            <w:rStyle w:val="Hyperlink"/>
            <w:rFonts w:ascii="Open Sans" w:hAnsi="Open Sans" w:cs="Open Sans"/>
            <w:bCs/>
            <w:sz w:val="24"/>
            <w:szCs w:val="24"/>
          </w:rPr>
          <w:t>RR - 1000119-34.2021.5.02.0322</w:t>
        </w:r>
        <w:r w:rsidR="00DA7D6D" w:rsidRPr="00C338C4">
          <w:rPr>
            <w:rStyle w:val="Hyperlink"/>
            <w:rFonts w:ascii="Open Sans" w:hAnsi="Open Sans" w:cs="Open Sans"/>
            <w:bCs/>
            <w:sz w:val="24"/>
            <w:szCs w:val="24"/>
          </w:rPr>
          <w:t xml:space="preserve">, 1ª Turma, Rel. Min. </w:t>
        </w:r>
        <w:r w:rsidR="003A4C1E" w:rsidRPr="00C338C4">
          <w:rPr>
            <w:rStyle w:val="Hyperlink"/>
            <w:rFonts w:ascii="Open Sans" w:hAnsi="Open Sans" w:cs="Open Sans"/>
            <w:bCs/>
            <w:sz w:val="24"/>
            <w:szCs w:val="24"/>
          </w:rPr>
          <w:t>Amaury Rodrigues Pinto Junior, julgado em 29/4/2026</w:t>
        </w:r>
      </w:hyperlink>
      <w:r w:rsidR="003A4C1E" w:rsidRPr="009030EF">
        <w:rPr>
          <w:rFonts w:ascii="Open Sans" w:hAnsi="Open Sans" w:cs="Open Sans"/>
          <w:bCs/>
          <w:sz w:val="24"/>
          <w:szCs w:val="24"/>
        </w:rPr>
        <w:t>)</w:t>
      </w:r>
    </w:p>
    <w:p w:rsidR="003A4C1E" w:rsidRDefault="003A4C1E" w:rsidP="001E21EC">
      <w:pPr>
        <w:widowControl w:val="0"/>
        <w:suppressAutoHyphens/>
        <w:ind w:left="-255" w:right="340"/>
        <w:jc w:val="both"/>
        <w:rPr>
          <w:rFonts w:ascii="Open Sans" w:hAnsi="Open Sans" w:cs="Open Sans"/>
          <w:b/>
          <w:bCs/>
          <w:sz w:val="24"/>
          <w:szCs w:val="24"/>
        </w:rPr>
      </w:pPr>
    </w:p>
    <w:p w:rsidR="003A4C1E" w:rsidRDefault="008373CF" w:rsidP="008373CF">
      <w:pPr>
        <w:widowControl w:val="0"/>
        <w:suppressAutoHyphens/>
        <w:ind w:left="-255" w:right="340"/>
        <w:jc w:val="both"/>
        <w:rPr>
          <w:rFonts w:ascii="Open Sans" w:hAnsi="Open Sans" w:cs="Open Sans"/>
          <w:sz w:val="24"/>
          <w:szCs w:val="24"/>
        </w:rPr>
      </w:pPr>
      <w:r>
        <w:rPr>
          <w:rFonts w:ascii="Open Sans" w:hAnsi="Open Sans" w:cs="Open Sans"/>
          <w:sz w:val="24"/>
          <w:szCs w:val="24"/>
        </w:rPr>
        <w:t>“</w:t>
      </w:r>
      <w:r w:rsidR="003A3D6C">
        <w:rPr>
          <w:rFonts w:ascii="Open Sans" w:hAnsi="Open Sans" w:cs="Open Sans"/>
          <w:sz w:val="24"/>
          <w:szCs w:val="24"/>
        </w:rPr>
        <w:t xml:space="preserve">[...] </w:t>
      </w:r>
      <w:r w:rsidRPr="008373CF">
        <w:rPr>
          <w:rFonts w:ascii="Open Sans" w:hAnsi="Open Sans" w:cs="Open Sans"/>
          <w:sz w:val="24"/>
          <w:szCs w:val="24"/>
        </w:rPr>
        <w:t xml:space="preserve">RECURSO DE REVISTA INTERPOSTO PELO MINISTÉRIO PÚBLICO DO TRABALHO NA VIGÊNCIA DA LEI 13.467/2017. COMPETÊNCIA DA JUSTIÇA DO TRABALHO. POLÍTICAS PÚBLICAS DE ENFRENTAMENTO AO TRABALHO ESCRAVO CONTEMPORÂNEO. AÇÃO CIVIL PÚBLICA QUE VISA A GARANTIA DE APORTE FINANCEIRO PARA OS ÓRGÃOS FEDERAIS DE FISCALIZAÇÃO. </w:t>
      </w:r>
      <w:proofErr w:type="gramStart"/>
      <w:r w:rsidRPr="008373CF">
        <w:rPr>
          <w:rFonts w:ascii="Open Sans" w:hAnsi="Open Sans" w:cs="Open Sans"/>
          <w:sz w:val="24"/>
          <w:szCs w:val="24"/>
        </w:rPr>
        <w:t>1</w:t>
      </w:r>
      <w:proofErr w:type="gramEnd"/>
      <w:r w:rsidRPr="008373CF">
        <w:rPr>
          <w:rFonts w:ascii="Open Sans" w:hAnsi="Open Sans" w:cs="Open Sans"/>
          <w:sz w:val="24"/>
          <w:szCs w:val="24"/>
        </w:rPr>
        <w:t xml:space="preserve">. No caso dos autos, a pretensão do Ministério Público do Trabalho é garantir que a União viabilize financeiramente as operações promovidas pelo Grupo Especial de Fiscalização Móvel, em valores suficientes para tornar possível a atuação de combate ao trabalho escravo. 2. A Emenda Constitucional nº 45/2004 representou um marco na competência da Justiça do Trabalho, desvinculando-a de uma compreensão restrita às relações estritamente de emprego e ampliando-a para abranger litígios que envolvem trabalho humano em suas diversas manifestações.  Nesse contexto, a jurisdição trabalhista está autorizada a apreciar demandas que visam o cumprimento de normativos protetivos específicos, como aqueles relativos ao </w:t>
      </w:r>
      <w:r w:rsidRPr="008373CF">
        <w:rPr>
          <w:rFonts w:ascii="Open Sans" w:hAnsi="Open Sans" w:cs="Open Sans"/>
          <w:sz w:val="24"/>
          <w:szCs w:val="24"/>
        </w:rPr>
        <w:lastRenderedPageBreak/>
        <w:t xml:space="preserve">enfrentamento ao trabalho escravo, uma vez que fundamentados na proteção do trabalhador e na garantia de direitos fundamentais no âmbito laboral, independentemente de vínculo formal estabelecido. 3. O Brasil ratificou as Convenções 29 e 105 da OIT, bem como o Protocolo de 2014 à Convenção 29, reforçando o compromisso com a erradicação do trabalho forçado. A Agenda 2030 da ONU (ODS 8) e a Resolução CSJT 367/2023 também corroboram a importância do enfrentamento ao trabalho escravo contemporâneo. 4. Considerando todo o conjunto normativo envolvendo a temática do trabalho escravo, não é possível que esta Justiça Especializada se furte a analisar demandas relativas ao enfrentamento dessa perniciosa prática que ainda persiste na sociedade, ainda que envolva obrigação de fazer destinada aos entes federativos. 5. Aplica-se ao caso a mesma exegese da jurisprudência pacífica do TST em relação às demandas que envolvem políticas públicas de erradicação do trabalho infantil. Julgados da SBDI-1. </w:t>
      </w:r>
      <w:proofErr w:type="gramStart"/>
      <w:r w:rsidRPr="008373CF">
        <w:rPr>
          <w:rFonts w:ascii="Open Sans" w:hAnsi="Open Sans" w:cs="Open Sans"/>
          <w:sz w:val="24"/>
          <w:szCs w:val="24"/>
        </w:rPr>
        <w:t>Recurso de revista conhecido e provido.</w:t>
      </w:r>
      <w:r>
        <w:rPr>
          <w:rFonts w:ascii="Open Sans" w:hAnsi="Open Sans" w:cs="Open Sans"/>
          <w:sz w:val="24"/>
          <w:szCs w:val="24"/>
        </w:rPr>
        <w:t>”</w:t>
      </w:r>
      <w:proofErr w:type="gramEnd"/>
      <w:r>
        <w:rPr>
          <w:rFonts w:ascii="Open Sans" w:hAnsi="Open Sans" w:cs="Open Sans"/>
          <w:sz w:val="24"/>
          <w:szCs w:val="24"/>
        </w:rPr>
        <w:t xml:space="preserve"> (</w:t>
      </w:r>
      <w:hyperlink r:id="rId18" w:history="1">
        <w:r w:rsidRPr="00A11644">
          <w:rPr>
            <w:rStyle w:val="Hyperlink"/>
            <w:rFonts w:ascii="Open Sans" w:hAnsi="Open Sans" w:cs="Open Sans"/>
            <w:sz w:val="24"/>
            <w:szCs w:val="24"/>
          </w:rPr>
          <w:t xml:space="preserve">TST-RR - 1120-21.2017.5.10.0021, </w:t>
        </w:r>
        <w:r w:rsidR="000E2D64" w:rsidRPr="00A11644">
          <w:rPr>
            <w:rStyle w:val="Hyperlink"/>
            <w:rFonts w:ascii="Open Sans" w:hAnsi="Open Sans" w:cs="Open Sans"/>
            <w:sz w:val="24"/>
            <w:szCs w:val="24"/>
          </w:rPr>
          <w:t xml:space="preserve">2ª Turma, Rel. Min. </w:t>
        </w:r>
        <w:proofErr w:type="spellStart"/>
        <w:r w:rsidR="00C372B5" w:rsidRPr="00A11644">
          <w:rPr>
            <w:rStyle w:val="Hyperlink"/>
            <w:rFonts w:ascii="Open Sans" w:hAnsi="Open Sans" w:cs="Open Sans"/>
            <w:sz w:val="24"/>
            <w:szCs w:val="24"/>
          </w:rPr>
          <w:t>Delaíde</w:t>
        </w:r>
        <w:proofErr w:type="spellEnd"/>
        <w:r w:rsidR="00C372B5" w:rsidRPr="00A11644">
          <w:rPr>
            <w:rStyle w:val="Hyperlink"/>
            <w:rFonts w:ascii="Open Sans" w:hAnsi="Open Sans" w:cs="Open Sans"/>
            <w:sz w:val="24"/>
            <w:szCs w:val="24"/>
          </w:rPr>
          <w:t xml:space="preserve"> Alves Miranda Arantes, julgado em 29/4/2026</w:t>
        </w:r>
      </w:hyperlink>
      <w:r w:rsidR="00C372B5">
        <w:rPr>
          <w:rFonts w:ascii="Open Sans" w:hAnsi="Open Sans" w:cs="Open Sans"/>
          <w:sz w:val="24"/>
          <w:szCs w:val="24"/>
        </w:rPr>
        <w:t>)</w:t>
      </w:r>
    </w:p>
    <w:p w:rsidR="00EB297D" w:rsidRDefault="00EB297D" w:rsidP="008373CF">
      <w:pPr>
        <w:widowControl w:val="0"/>
        <w:suppressAutoHyphens/>
        <w:ind w:left="-255" w:right="340"/>
        <w:jc w:val="both"/>
        <w:rPr>
          <w:rFonts w:ascii="Open Sans" w:hAnsi="Open Sans" w:cs="Open Sans"/>
          <w:b/>
          <w:color w:val="FF0000"/>
          <w:sz w:val="24"/>
          <w:szCs w:val="24"/>
        </w:rPr>
      </w:pPr>
    </w:p>
    <w:p w:rsidR="00EB297D" w:rsidRDefault="00EB297D" w:rsidP="008373CF">
      <w:pPr>
        <w:widowControl w:val="0"/>
        <w:suppressAutoHyphens/>
        <w:ind w:left="-255" w:right="340"/>
        <w:jc w:val="both"/>
        <w:rPr>
          <w:rFonts w:ascii="Open Sans" w:hAnsi="Open Sans" w:cs="Open Sans"/>
          <w:sz w:val="24"/>
          <w:szCs w:val="24"/>
        </w:rPr>
      </w:pPr>
      <w:r>
        <w:rPr>
          <w:rFonts w:ascii="Open Sans" w:hAnsi="Open Sans" w:cs="Open Sans"/>
          <w:sz w:val="24"/>
          <w:szCs w:val="24"/>
        </w:rPr>
        <w:t xml:space="preserve">“[...] </w:t>
      </w:r>
      <w:r w:rsidRPr="00EB297D">
        <w:rPr>
          <w:rFonts w:ascii="Open Sans" w:hAnsi="Open Sans" w:cs="Open Sans"/>
          <w:sz w:val="24"/>
          <w:szCs w:val="24"/>
        </w:rPr>
        <w:t>TRABALHO DOMÉSTICO. NEGOCIAÇÃO COLETIVA POSSÍVEL. CONVENÇÃO 189, DA OIT. DIREITO CONSTITUCIONA</w:t>
      </w:r>
      <w:r>
        <w:rPr>
          <w:rFonts w:ascii="Open Sans" w:hAnsi="Open Sans" w:cs="Open Sans"/>
          <w:sz w:val="24"/>
          <w:szCs w:val="24"/>
        </w:rPr>
        <w:t>LMENTE PREVISTO. ART. 7º, XXVI E</w:t>
      </w:r>
      <w:r w:rsidRPr="00EB297D">
        <w:rPr>
          <w:rFonts w:ascii="Open Sans" w:hAnsi="Open Sans" w:cs="Open Sans"/>
          <w:sz w:val="24"/>
          <w:szCs w:val="24"/>
        </w:rPr>
        <w:t xml:space="preserve"> PARÁGRAFO ÚNICO DA CF. Nos presentes autos discute-se a aplicabilidade de instrumentos de negociação coletiva ao contrato de trabalho de empregado doméstico, sob a alegação de que empregadores domésticos não se enquadram na categoria econômica, por ausência de finalidade lucrativa. Para a análise da questão é importante ter em vista a histórica vulnerabilidade da categoria dos empregadores domésticos, que, como dados estatísticos apontam, é majoritariamente composta por mulheres, especialmente mulheres negras. De forma que a sobreposição de opressões, de gênero, raça, pobreza e baixa escolaridade explicam o hiato normativo de proteção dessas trabalhadoras. Após a EC 72/2013, o texto constitucional (art. 7º, XXVI, parágrafo único), passou a assegurar o direito à negociação coletiva aos trabalhadores domésticos. Ademais, a Convenção nº 189 da OIT (com status supralegal por se tratar de tratado internacional de direitos humanos), prevê que os Estados signatários têm o dever de garantir a liberdade sindical e o direito à negociação coletiva para as trabalhadoras domésticas. Desse modo, a interpret</w:t>
      </w:r>
      <w:r>
        <w:rPr>
          <w:rFonts w:ascii="Open Sans" w:hAnsi="Open Sans" w:cs="Open Sans"/>
          <w:sz w:val="24"/>
          <w:szCs w:val="24"/>
        </w:rPr>
        <w:t>ação restritiva do conceito de ‘interesse econômico’</w:t>
      </w:r>
      <w:r w:rsidRPr="00EB297D">
        <w:rPr>
          <w:rFonts w:ascii="Open Sans" w:hAnsi="Open Sans" w:cs="Open Sans"/>
          <w:sz w:val="24"/>
          <w:szCs w:val="24"/>
        </w:rPr>
        <w:t xml:space="preserve"> previsto no art. 511, §1º, da CLT, que exclui empregadores domésticos, não se sustenta diante da força normativa da Constituição. Portanto, o referido termo deve ser interpretado de forma ampla, considerando o ganho de bem-estar e o funcionamento do ambiente familiar, que indiretamente beneficia o empregador. Dá-se provimento ao recurso para garantir a aplicação das normas previstas na Convenção Coletiva de Trabalho (CCT) da categoria, incluindo o pagamento das multas normativas. Recurso d</w:t>
      </w:r>
      <w:r>
        <w:rPr>
          <w:rFonts w:ascii="Open Sans" w:hAnsi="Open Sans" w:cs="Open Sans"/>
          <w:sz w:val="24"/>
          <w:szCs w:val="24"/>
        </w:rPr>
        <w:t>e Revista conhecido e provido.</w:t>
      </w:r>
      <w:r w:rsidR="00EA0D21">
        <w:rPr>
          <w:rFonts w:ascii="Open Sans" w:hAnsi="Open Sans" w:cs="Open Sans"/>
          <w:sz w:val="24"/>
          <w:szCs w:val="24"/>
        </w:rPr>
        <w:t>”</w:t>
      </w:r>
      <w:r>
        <w:rPr>
          <w:rFonts w:ascii="Open Sans" w:hAnsi="Open Sans" w:cs="Open Sans"/>
          <w:sz w:val="24"/>
          <w:szCs w:val="24"/>
        </w:rPr>
        <w:t xml:space="preserve"> </w:t>
      </w:r>
      <w:proofErr w:type="gramStart"/>
      <w:r w:rsidRPr="00EB297D">
        <w:rPr>
          <w:rFonts w:ascii="Open Sans" w:hAnsi="Open Sans" w:cs="Open Sans"/>
          <w:sz w:val="24"/>
          <w:szCs w:val="24"/>
        </w:rPr>
        <w:t>(</w:t>
      </w:r>
      <w:hyperlink r:id="rId19" w:anchor="b2a3292" w:history="1">
        <w:r w:rsidRPr="000C2178">
          <w:rPr>
            <w:rStyle w:val="Hyperlink"/>
            <w:rFonts w:ascii="Open Sans" w:hAnsi="Open Sans" w:cs="Open Sans"/>
            <w:sz w:val="24"/>
            <w:szCs w:val="24"/>
          </w:rPr>
          <w:t>TST-RR-</w:t>
        </w:r>
        <w:r w:rsidR="002877B4">
          <w:rPr>
            <w:rStyle w:val="Hyperlink"/>
            <w:rFonts w:ascii="Open Sans" w:hAnsi="Open Sans" w:cs="Open Sans"/>
            <w:sz w:val="24"/>
            <w:szCs w:val="24"/>
          </w:rPr>
          <w:t xml:space="preserve"> </w:t>
        </w:r>
        <w:r w:rsidRPr="000C2178">
          <w:rPr>
            <w:rStyle w:val="Hyperlink"/>
            <w:rFonts w:ascii="Open Sans" w:hAnsi="Open Sans" w:cs="Open Sans"/>
            <w:sz w:val="24"/>
            <w:szCs w:val="24"/>
          </w:rPr>
          <w:t>0011434-87.2022.5.15.0093, 2ª Turma, Rel. Min.</w:t>
        </w:r>
        <w:proofErr w:type="gramEnd"/>
        <w:r w:rsidR="000C2178" w:rsidRPr="000C2178">
          <w:rPr>
            <w:rStyle w:val="Hyperlink"/>
            <w:rFonts w:ascii="Open Sans" w:hAnsi="Open Sans" w:cs="Open Sans"/>
            <w:sz w:val="24"/>
            <w:szCs w:val="24"/>
          </w:rPr>
          <w:t xml:space="preserve"> Liana </w:t>
        </w:r>
        <w:proofErr w:type="spellStart"/>
        <w:r w:rsidR="000C2178" w:rsidRPr="000C2178">
          <w:rPr>
            <w:rStyle w:val="Hyperlink"/>
            <w:rFonts w:ascii="Open Sans" w:hAnsi="Open Sans" w:cs="Open Sans"/>
            <w:sz w:val="24"/>
            <w:szCs w:val="24"/>
          </w:rPr>
          <w:t>Chaib</w:t>
        </w:r>
        <w:proofErr w:type="spellEnd"/>
        <w:r w:rsidR="000C2178" w:rsidRPr="000C2178">
          <w:rPr>
            <w:rStyle w:val="Hyperlink"/>
            <w:rFonts w:ascii="Open Sans" w:hAnsi="Open Sans" w:cs="Open Sans"/>
            <w:sz w:val="24"/>
            <w:szCs w:val="24"/>
          </w:rPr>
          <w:t>, julgado em</w:t>
        </w:r>
        <w:r w:rsidRPr="000C2178">
          <w:rPr>
            <w:rStyle w:val="Hyperlink"/>
            <w:rFonts w:ascii="Open Sans" w:hAnsi="Open Sans" w:cs="Open Sans"/>
            <w:sz w:val="24"/>
            <w:szCs w:val="24"/>
          </w:rPr>
          <w:t xml:space="preserve"> 24/4/2026</w:t>
        </w:r>
      </w:hyperlink>
      <w:proofErr w:type="gramStart"/>
      <w:r w:rsidR="009C05FB">
        <w:rPr>
          <w:rFonts w:ascii="Open Sans" w:hAnsi="Open Sans" w:cs="Open Sans"/>
          <w:sz w:val="24"/>
          <w:szCs w:val="24"/>
        </w:rPr>
        <w:t>)</w:t>
      </w:r>
      <w:proofErr w:type="gramEnd"/>
    </w:p>
    <w:p w:rsidR="000C2178" w:rsidRDefault="000C2178" w:rsidP="008373CF">
      <w:pPr>
        <w:widowControl w:val="0"/>
        <w:suppressAutoHyphens/>
        <w:ind w:left="-255" w:right="340"/>
        <w:jc w:val="both"/>
        <w:rPr>
          <w:rFonts w:ascii="Open Sans" w:hAnsi="Open Sans" w:cs="Open Sans"/>
          <w:sz w:val="24"/>
          <w:szCs w:val="24"/>
        </w:rPr>
      </w:pPr>
    </w:p>
    <w:p w:rsidR="000C2178" w:rsidRPr="00EB297D" w:rsidRDefault="000C2178" w:rsidP="008373CF">
      <w:pPr>
        <w:widowControl w:val="0"/>
        <w:suppressAutoHyphens/>
        <w:ind w:left="-255" w:right="340"/>
        <w:jc w:val="both"/>
        <w:rPr>
          <w:rFonts w:ascii="Open Sans" w:hAnsi="Open Sans" w:cs="Open Sans"/>
          <w:sz w:val="24"/>
          <w:szCs w:val="24"/>
        </w:rPr>
      </w:pPr>
      <w:r>
        <w:rPr>
          <w:rFonts w:ascii="Open Sans" w:hAnsi="Open Sans" w:cs="Open Sans"/>
          <w:sz w:val="24"/>
          <w:szCs w:val="24"/>
        </w:rPr>
        <w:t xml:space="preserve">“[...] </w:t>
      </w:r>
      <w:r w:rsidRPr="000C2178">
        <w:rPr>
          <w:rFonts w:ascii="Open Sans" w:hAnsi="Open Sans" w:cs="Open Sans"/>
          <w:sz w:val="24"/>
          <w:szCs w:val="24"/>
        </w:rPr>
        <w:t xml:space="preserve">RECURSO DE REVISTA. DESISTÊNCIA DA AÇÃO. GARANTIA DO ACESSO À JUSTIÇA. LITIGÂNCIA DE MÁ FÉ. NÃO CONFIGURAÇÃO. Hipótese em que de discute a configuração ou não de litigância de má fé em virtude de a parte autora pedir a desistência da ação. A caracterização da litigância de má fé exige a presença de conduta dolosa, cujas hipóteses estão elencadas no art. 80 do CPC. No caso, o TRT </w:t>
      </w:r>
      <w:r w:rsidRPr="000C2178">
        <w:rPr>
          <w:rFonts w:ascii="Open Sans" w:hAnsi="Open Sans" w:cs="Open Sans"/>
          <w:sz w:val="24"/>
          <w:szCs w:val="24"/>
        </w:rPr>
        <w:lastRenderedPageBreak/>
        <w:t>manteve a condenação da reclamante ao pagamento da multa por litigância de má fé pelo fato de não ter comparecido à perícia médica designada e pedir desistência da ação em seguida. Consta ainda que a parte contrária já havia apresentado contestação e não concordou com o pedido de desistência. A desistência da ação constitui uma faculdade processual da parte autora, sendo um instrumento legítimo de disposição do direito de ação. Com efeito, o direito de acesso à justiça, previsto no inciso XXXV do art. 5º da Constituição Federal, não se limita ao direito de ingressar em juízo, mas envolve também a liberdade de conduzir a pretensão processual, o que inclui a possibilidade de não prosseguir com a demanda, mediante a desistência. Assim, o fato de a reclamante requerer a desistência sem o consentimento da reclamada não caracteriza conduta dolosa ou abusiva, nos termos do art. 80 do CPC. Apenas impede a extinção do processo com base nesse pedido, devendo o julgador prosseguir com o feito. Precedentes. Não evidenciada a prática de qualquer conduta tipificada no art. 80 do CPC ou que a intenção da autora ao pedir a desistência da ação tenha tumultuado o processo ou prejudicado a parte contrária, não há que se falar em litigância de má fé. Recurso d</w:t>
      </w:r>
      <w:r>
        <w:rPr>
          <w:rFonts w:ascii="Open Sans" w:hAnsi="Open Sans" w:cs="Open Sans"/>
          <w:sz w:val="24"/>
          <w:szCs w:val="24"/>
        </w:rPr>
        <w:t xml:space="preserve">e revista conhecido e provido.” </w:t>
      </w:r>
      <w:r w:rsidRPr="000C2178">
        <w:rPr>
          <w:rFonts w:ascii="Open Sans" w:hAnsi="Open Sans" w:cs="Open Sans"/>
          <w:sz w:val="24"/>
          <w:szCs w:val="24"/>
        </w:rPr>
        <w:t>(</w:t>
      </w:r>
      <w:hyperlink r:id="rId20" w:history="1">
        <w:r w:rsidRPr="000C2178">
          <w:rPr>
            <w:rStyle w:val="Hyperlink"/>
            <w:rFonts w:ascii="Open Sans" w:hAnsi="Open Sans" w:cs="Open Sans"/>
            <w:sz w:val="24"/>
            <w:szCs w:val="24"/>
          </w:rPr>
          <w:t xml:space="preserve">RR-12277-15.2016.5.15.0044, 2ª Turma, Rel. Min. Maria Helena </w:t>
        </w:r>
        <w:proofErr w:type="spellStart"/>
        <w:r w:rsidRPr="000C2178">
          <w:rPr>
            <w:rStyle w:val="Hyperlink"/>
            <w:rFonts w:ascii="Open Sans" w:hAnsi="Open Sans" w:cs="Open Sans"/>
            <w:sz w:val="24"/>
            <w:szCs w:val="24"/>
          </w:rPr>
          <w:t>Mallmann</w:t>
        </w:r>
        <w:proofErr w:type="spellEnd"/>
        <w:r w:rsidRPr="000C2178">
          <w:rPr>
            <w:rStyle w:val="Hyperlink"/>
            <w:rFonts w:ascii="Open Sans" w:hAnsi="Open Sans" w:cs="Open Sans"/>
            <w:sz w:val="24"/>
            <w:szCs w:val="24"/>
          </w:rPr>
          <w:t>, julgado em 28/4/2026</w:t>
        </w:r>
      </w:hyperlink>
      <w:proofErr w:type="gramStart"/>
      <w:r w:rsidR="008D14BE">
        <w:rPr>
          <w:rFonts w:ascii="Open Sans" w:hAnsi="Open Sans" w:cs="Open Sans"/>
          <w:sz w:val="24"/>
          <w:szCs w:val="24"/>
        </w:rPr>
        <w:t>)</w:t>
      </w:r>
      <w:proofErr w:type="gramEnd"/>
    </w:p>
    <w:p w:rsidR="00DF1C73" w:rsidRDefault="00DF1C73" w:rsidP="00EC6C60">
      <w:pPr>
        <w:widowControl w:val="0"/>
        <w:suppressAutoHyphens/>
        <w:ind w:left="-255" w:right="340"/>
        <w:jc w:val="both"/>
        <w:rPr>
          <w:rFonts w:ascii="Open Sans" w:hAnsi="Open Sans" w:cs="Open Sans"/>
          <w:sz w:val="24"/>
          <w:szCs w:val="24"/>
        </w:rPr>
      </w:pPr>
    </w:p>
    <w:p w:rsidR="00E07A0C" w:rsidRPr="00E07A0C" w:rsidRDefault="00E07A0C" w:rsidP="00E07A0C">
      <w:pPr>
        <w:widowControl w:val="0"/>
        <w:suppressAutoHyphens/>
        <w:ind w:left="-255" w:right="340"/>
        <w:jc w:val="both"/>
        <w:rPr>
          <w:rFonts w:ascii="Open Sans" w:hAnsi="Open Sans" w:cs="Open Sans"/>
          <w:sz w:val="24"/>
          <w:szCs w:val="24"/>
        </w:rPr>
      </w:pPr>
      <w:r w:rsidRPr="00E07A0C">
        <w:rPr>
          <w:rFonts w:ascii="Open Sans" w:hAnsi="Open Sans" w:cs="Open Sans"/>
          <w:sz w:val="24"/>
          <w:szCs w:val="24"/>
        </w:rPr>
        <w:t xml:space="preserve">“[...] AÇÃO CIVIL PÚBLICA. CONTRATAÇÃO DE PESSOAS COM DEFICIÊNCIA E REABILITADOS. ART. 93 DA LEI Nº 8.213/91. DESCUMPRIMENTO DA COTA LEGAL. CONVENÇÃO Nº 159 DA OIT. DANO MORAL COLETIVO CONFIGURADO. SÚMULA Nº 126 DO TST. </w:t>
      </w:r>
      <w:proofErr w:type="gramStart"/>
      <w:r w:rsidRPr="00E07A0C">
        <w:rPr>
          <w:rFonts w:ascii="Open Sans" w:hAnsi="Open Sans" w:cs="Open Sans"/>
          <w:sz w:val="24"/>
          <w:szCs w:val="24"/>
        </w:rPr>
        <w:t>1</w:t>
      </w:r>
      <w:proofErr w:type="gramEnd"/>
      <w:r w:rsidRPr="00E07A0C">
        <w:rPr>
          <w:rFonts w:ascii="Open Sans" w:hAnsi="Open Sans" w:cs="Open Sans"/>
          <w:sz w:val="24"/>
          <w:szCs w:val="24"/>
        </w:rPr>
        <w:t xml:space="preserve">. Trata-se de ação civil pública proposta pelo Ministério Público do Trabalho, em razão da inobservância da cota legal de contratação de pessoas com necessidades especiais e reabilitadas. 2. Ratificada pelo Brasil, a Convenção n. º 159 da Organização Internacional do Trabalho (Decreto Legislativo n. 129/91) traz consigo em seu artigo 1º, item 2, que ‘ todo país membro deverá considerar que a finalidade da reabilitação profissional é a de permitir que a pessoa deficiente obtenha e conserve um emprego e progrida no mesmo, e que se promova, assim, a integração ou a reintegração dessa pessoa na sociedade ‘. Tal previsão encontra-se em consonância , ainda, com artigo 7º, XXXI , da Constituição Federal, na qual estabelece a ‘ proibição de qualquer discriminação no tocante a salário e critérios de admissão do trabalhador portador de deficiência’. 3. Há a configuração de ato ilícito pela não contratação de pessoas com deficiência conforme cota legal, que atinge a todos trabalhadores que poderiam ingressar no mercado de trabalho, e o dano moral coletivo, por se cuidar de tutela de direitos </w:t>
      </w:r>
      <w:proofErr w:type="spellStart"/>
      <w:r w:rsidRPr="00E07A0C">
        <w:rPr>
          <w:rFonts w:ascii="Open Sans" w:hAnsi="Open Sans" w:cs="Open Sans"/>
          <w:sz w:val="24"/>
          <w:szCs w:val="24"/>
        </w:rPr>
        <w:t>metaindividuais</w:t>
      </w:r>
      <w:proofErr w:type="spellEnd"/>
      <w:r w:rsidRPr="00E07A0C">
        <w:rPr>
          <w:rFonts w:ascii="Open Sans" w:hAnsi="Open Sans" w:cs="Open Sans"/>
          <w:sz w:val="24"/>
          <w:szCs w:val="24"/>
        </w:rPr>
        <w:t>. Trata-se de incontroverso ato lesivo a toda uma coletividade, que se reconhece na forma de ‘</w:t>
      </w:r>
      <w:proofErr w:type="spellStart"/>
      <w:r w:rsidRPr="00E07A0C">
        <w:rPr>
          <w:rFonts w:ascii="Open Sans" w:hAnsi="Open Sans" w:cs="Open Sans"/>
          <w:i/>
          <w:sz w:val="24"/>
          <w:szCs w:val="24"/>
        </w:rPr>
        <w:t>damnum</w:t>
      </w:r>
      <w:proofErr w:type="spellEnd"/>
      <w:r w:rsidRPr="00E07A0C">
        <w:rPr>
          <w:rFonts w:ascii="Open Sans" w:hAnsi="Open Sans" w:cs="Open Sans"/>
          <w:i/>
          <w:sz w:val="24"/>
          <w:szCs w:val="24"/>
        </w:rPr>
        <w:t xml:space="preserve"> in </w:t>
      </w:r>
      <w:proofErr w:type="spellStart"/>
      <w:r w:rsidRPr="00E07A0C">
        <w:rPr>
          <w:rFonts w:ascii="Open Sans" w:hAnsi="Open Sans" w:cs="Open Sans"/>
          <w:i/>
          <w:sz w:val="24"/>
          <w:szCs w:val="24"/>
        </w:rPr>
        <w:t>re</w:t>
      </w:r>
      <w:proofErr w:type="spellEnd"/>
      <w:r w:rsidRPr="00E07A0C">
        <w:rPr>
          <w:rFonts w:ascii="Open Sans" w:hAnsi="Open Sans" w:cs="Open Sans"/>
          <w:i/>
          <w:sz w:val="24"/>
          <w:szCs w:val="24"/>
        </w:rPr>
        <w:t xml:space="preserve"> </w:t>
      </w:r>
      <w:proofErr w:type="spellStart"/>
      <w:r w:rsidRPr="00E07A0C">
        <w:rPr>
          <w:rFonts w:ascii="Open Sans" w:hAnsi="Open Sans" w:cs="Open Sans"/>
          <w:i/>
          <w:sz w:val="24"/>
          <w:szCs w:val="24"/>
        </w:rPr>
        <w:t>ipsa</w:t>
      </w:r>
      <w:proofErr w:type="spellEnd"/>
      <w:r w:rsidRPr="00E07A0C">
        <w:rPr>
          <w:rFonts w:ascii="Open Sans" w:hAnsi="Open Sans" w:cs="Open Sans"/>
          <w:sz w:val="24"/>
          <w:szCs w:val="24"/>
        </w:rPr>
        <w:t>’, que prescinde de comprovação. Basta, portanto, a demonstração do ato ilícito e do nexo causal, que restaram evidenciados na hipótese . Precedentes. 4. Diante do entendimento colecionado nos autos, resta incontroverso a deliberada omissão (</w:t>
      </w:r>
      <w:proofErr w:type="spellStart"/>
      <w:r w:rsidRPr="00E07A0C">
        <w:rPr>
          <w:rFonts w:ascii="Open Sans" w:hAnsi="Open Sans" w:cs="Open Sans"/>
          <w:i/>
          <w:sz w:val="24"/>
          <w:szCs w:val="24"/>
        </w:rPr>
        <w:t>willful</w:t>
      </w:r>
      <w:proofErr w:type="spellEnd"/>
      <w:r w:rsidRPr="00E07A0C">
        <w:rPr>
          <w:rFonts w:ascii="Open Sans" w:hAnsi="Open Sans" w:cs="Open Sans"/>
          <w:i/>
          <w:sz w:val="24"/>
          <w:szCs w:val="24"/>
        </w:rPr>
        <w:t xml:space="preserve"> </w:t>
      </w:r>
      <w:proofErr w:type="spellStart"/>
      <w:r w:rsidRPr="00E07A0C">
        <w:rPr>
          <w:rFonts w:ascii="Open Sans" w:hAnsi="Open Sans" w:cs="Open Sans"/>
          <w:i/>
          <w:sz w:val="24"/>
          <w:szCs w:val="24"/>
        </w:rPr>
        <w:t>blindness</w:t>
      </w:r>
      <w:proofErr w:type="spellEnd"/>
      <w:r w:rsidRPr="00E07A0C">
        <w:rPr>
          <w:rFonts w:ascii="Open Sans" w:hAnsi="Open Sans" w:cs="Open Sans"/>
          <w:sz w:val="24"/>
          <w:szCs w:val="24"/>
        </w:rPr>
        <w:t xml:space="preserve">) da reclamada ao descumprimento da exigência estabelecida pelo artigo 93, </w:t>
      </w:r>
      <w:r w:rsidRPr="00C42E83">
        <w:rPr>
          <w:rFonts w:ascii="Open Sans" w:hAnsi="Open Sans" w:cs="Open Sans"/>
          <w:i/>
          <w:sz w:val="24"/>
          <w:szCs w:val="24"/>
        </w:rPr>
        <w:t>caput</w:t>
      </w:r>
      <w:r w:rsidRPr="00E07A0C">
        <w:rPr>
          <w:rFonts w:ascii="Open Sans" w:hAnsi="Open Sans" w:cs="Open Sans"/>
          <w:sz w:val="24"/>
          <w:szCs w:val="24"/>
        </w:rPr>
        <w:t xml:space="preserve"> e § 1º da Lei nº 8.213/91. Pontue-se que dificuldades financeiras não são oponíveis à contratação de pessoas com deficiência, sob risco de reduzir-se o indivíduo ao custo monetário, legitimando o descumprimento do </w:t>
      </w:r>
      <w:proofErr w:type="gramStart"/>
      <w:r w:rsidRPr="00E07A0C">
        <w:rPr>
          <w:rFonts w:ascii="Open Sans" w:hAnsi="Open Sans" w:cs="Open Sans"/>
          <w:sz w:val="24"/>
          <w:szCs w:val="24"/>
        </w:rPr>
        <w:t>princípio</w:t>
      </w:r>
      <w:proofErr w:type="gramEnd"/>
      <w:r w:rsidRPr="00E07A0C">
        <w:rPr>
          <w:rFonts w:ascii="Open Sans" w:hAnsi="Open Sans" w:cs="Open Sans"/>
          <w:sz w:val="24"/>
          <w:szCs w:val="24"/>
        </w:rPr>
        <w:t xml:space="preserve"> fundamental da dignidade da pessoa humana, preconizado pelo art. 1º, III da Carta Magna. </w:t>
      </w:r>
      <w:proofErr w:type="gramStart"/>
      <w:r w:rsidRPr="00E07A0C">
        <w:rPr>
          <w:rFonts w:ascii="Open Sans" w:hAnsi="Open Sans" w:cs="Open Sans"/>
          <w:sz w:val="24"/>
          <w:szCs w:val="24"/>
        </w:rPr>
        <w:t>5 .</w:t>
      </w:r>
      <w:proofErr w:type="gramEnd"/>
      <w:r w:rsidRPr="00E07A0C">
        <w:rPr>
          <w:rFonts w:ascii="Open Sans" w:hAnsi="Open Sans" w:cs="Open Sans"/>
          <w:sz w:val="24"/>
          <w:szCs w:val="24"/>
        </w:rPr>
        <w:t xml:space="preserve"> Neste contexto, as cotas de contratação de pessoas com deficiência e reabilitados se inserem no contexto de demandas estruturais, assim compreendidas como aquelas que envolvem um grave </w:t>
      </w:r>
      <w:r w:rsidRPr="00E07A0C">
        <w:rPr>
          <w:rFonts w:ascii="Open Sans" w:hAnsi="Open Sans" w:cs="Open Sans"/>
          <w:sz w:val="24"/>
          <w:szCs w:val="24"/>
        </w:rPr>
        <w:lastRenderedPageBreak/>
        <w:t>estado de desconformidade cuja solução exige uma mudança de índole profunda (ZANETI J; DIDIER Jr., 2019). Nesse sentido, a criação de uma cultura de promoção à profissionalização de trabalhadores portadores de necessidade especiais é tanto essencial, quanto complexa e, portanto, possui tipicidade própria dos litígios estruturais. Em função disso, é dever do Judiciário e da jurisprudência brasileira apontar nas mesmas direções do constituinte de 1988, assentando mensagens estruturais de respeito aos valores sociais do trabalho e do respeito à dignidade humana. A ideia por trás das mensagens estruturais está fundada na arquitetura de escolhas, a partir da qual são oferecidos incentivos ou comandos que conduzam à mudança de comportamento empresarial (são os chamados ‘</w:t>
      </w:r>
      <w:proofErr w:type="spellStart"/>
      <w:r w:rsidRPr="00AC4BB6">
        <w:rPr>
          <w:rFonts w:ascii="Open Sans" w:hAnsi="Open Sans" w:cs="Open Sans"/>
          <w:i/>
          <w:sz w:val="24"/>
          <w:szCs w:val="24"/>
        </w:rPr>
        <w:t>nudges</w:t>
      </w:r>
      <w:proofErr w:type="spellEnd"/>
      <w:r w:rsidRPr="00E07A0C">
        <w:rPr>
          <w:rFonts w:ascii="Open Sans" w:hAnsi="Open Sans" w:cs="Open Sans"/>
          <w:sz w:val="24"/>
          <w:szCs w:val="24"/>
        </w:rPr>
        <w:t xml:space="preserve">’ (THALER; SUNSTEIN, 2019), que deve se curvar à disciplina constitucional de proteção ao meio ambiente do trabalho. A partir disso, a jurisprudência </w:t>
      </w:r>
      <w:proofErr w:type="spellStart"/>
      <w:r w:rsidRPr="00E07A0C">
        <w:rPr>
          <w:rFonts w:ascii="Open Sans" w:hAnsi="Open Sans" w:cs="Open Sans"/>
          <w:sz w:val="24"/>
          <w:szCs w:val="24"/>
        </w:rPr>
        <w:t>constitucionaltrabalhista</w:t>
      </w:r>
      <w:proofErr w:type="spellEnd"/>
      <w:r w:rsidRPr="00E07A0C">
        <w:rPr>
          <w:rFonts w:ascii="Open Sans" w:hAnsi="Open Sans" w:cs="Open Sans"/>
          <w:sz w:val="24"/>
          <w:szCs w:val="24"/>
        </w:rPr>
        <w:t xml:space="preserve"> deve estar robustecida com decisões que direcionem ‘mudanças de culturas, comportamentos, pensamentos etc., de modo que, em longo prazo, possa se ter um ganho significativo em algum objetivo específico’ (BENEVIDES; ALMEIDA; MARANHÃO, 2020), qual seja, o cumprimento da cota de contratação de pessoas com necessidades especiais. </w:t>
      </w:r>
      <w:proofErr w:type="gramStart"/>
      <w:r w:rsidRPr="00E07A0C">
        <w:rPr>
          <w:rFonts w:ascii="Open Sans" w:hAnsi="Open Sans" w:cs="Open Sans"/>
          <w:sz w:val="24"/>
          <w:szCs w:val="24"/>
        </w:rPr>
        <w:t>6</w:t>
      </w:r>
      <w:proofErr w:type="gramEnd"/>
      <w:r w:rsidRPr="00E07A0C">
        <w:rPr>
          <w:rFonts w:ascii="Open Sans" w:hAnsi="Open Sans" w:cs="Open Sans"/>
          <w:sz w:val="24"/>
          <w:szCs w:val="24"/>
        </w:rPr>
        <w:t xml:space="preserve">. Dessa forma, comandos judiciais sobre cumprimento da cota legal de contratação de pessoas com necessidades especiais e reabilitadas devem funcionar como </w:t>
      </w:r>
      <w:proofErr w:type="spellStart"/>
      <w:r w:rsidRPr="00E07A0C">
        <w:rPr>
          <w:rFonts w:ascii="Open Sans" w:hAnsi="Open Sans" w:cs="Open Sans"/>
          <w:i/>
          <w:sz w:val="24"/>
          <w:szCs w:val="24"/>
        </w:rPr>
        <w:t>nudges</w:t>
      </w:r>
      <w:proofErr w:type="spellEnd"/>
      <w:r w:rsidRPr="00E07A0C">
        <w:rPr>
          <w:rFonts w:ascii="Open Sans" w:hAnsi="Open Sans" w:cs="Open Sans"/>
          <w:sz w:val="24"/>
          <w:szCs w:val="24"/>
        </w:rPr>
        <w:t>, ao reafirmarem mensagens estruturais, quanto à inafastabilidade da promoção do trabalho decente para esse público. Ainda, essas mensagens estruturais devem ser observadas pelas demais instâncias trabalhistas e agentes sociais, tendo em vista a integridade do sistema judicial brasileiro, que é orientado pela sistemática de uniformização de jurisprudência no âmbito dos tribunais superiores (</w:t>
      </w:r>
      <w:proofErr w:type="spellStart"/>
      <w:r w:rsidRPr="00E07A0C">
        <w:rPr>
          <w:rFonts w:ascii="Open Sans" w:hAnsi="Open Sans" w:cs="Open Sans"/>
          <w:sz w:val="24"/>
          <w:szCs w:val="24"/>
        </w:rPr>
        <w:t>arts</w:t>
      </w:r>
      <w:proofErr w:type="spellEnd"/>
      <w:r w:rsidRPr="00E07A0C">
        <w:rPr>
          <w:rFonts w:ascii="Open Sans" w:hAnsi="Open Sans" w:cs="Open Sans"/>
          <w:sz w:val="24"/>
          <w:szCs w:val="24"/>
        </w:rPr>
        <w:t xml:space="preserve">. 926 a 928 do CPC). Portanto, na hipótese, a mensagem estrutural é complexa, mas objetiva: tendo em vista o escopo que alicerça o direito à profissionalização de trabalhadores portadores de necessidades especiais não há dúvidas sobre o caráter indisponível e obrigatório da observância da cota legal em referência e dos demais aspectos a ela conectados. Do contrário, deverão ser aplicadas medidas que induzam à observância das regras atinentes à matéria, como é o caso da indenização por dano moral, especialmente na acepção de sua função pedagógica. 7. No caso dos autos, restou consignado no acórdão regional que a reclamada não observava o percentual mínimo de contratação de pessoas com deficiência ou reabilitados, </w:t>
      </w:r>
      <w:proofErr w:type="gramStart"/>
      <w:r w:rsidRPr="00E07A0C">
        <w:rPr>
          <w:rFonts w:ascii="Open Sans" w:hAnsi="Open Sans" w:cs="Open Sans"/>
          <w:sz w:val="24"/>
          <w:szCs w:val="24"/>
        </w:rPr>
        <w:t>tampouco</w:t>
      </w:r>
      <w:proofErr w:type="gramEnd"/>
      <w:r w:rsidRPr="00E07A0C">
        <w:rPr>
          <w:rFonts w:ascii="Open Sans" w:hAnsi="Open Sans" w:cs="Open Sans"/>
          <w:sz w:val="24"/>
          <w:szCs w:val="24"/>
        </w:rPr>
        <w:t xml:space="preserve"> demonstrou a adoção de esforços concretos para o preenchimento das vagas legalmente reservadas, configura-se o ato ilícito apto a ensejar a condenação por dano moral coletivo. Por conseguinte, a pretensão recursal de afastar a condenação, fundada na alegada inexistência de empregados ativos, demandaria o reexame do conjunto fático-probatório, providência vedada em sede extraordinária, nos termos da Súmula nº 126 do TST. </w:t>
      </w:r>
      <w:proofErr w:type="gramStart"/>
      <w:r w:rsidRPr="00E07A0C">
        <w:rPr>
          <w:rFonts w:ascii="Open Sans" w:hAnsi="Open Sans" w:cs="Open Sans"/>
          <w:sz w:val="24"/>
          <w:szCs w:val="24"/>
        </w:rPr>
        <w:t>Agravo de instrumento de que se conhece e a que se nega provimento.”</w:t>
      </w:r>
      <w:proofErr w:type="gramEnd"/>
      <w:r w:rsidRPr="00E07A0C">
        <w:rPr>
          <w:rFonts w:ascii="Open Sans" w:hAnsi="Open Sans" w:cs="Open Sans"/>
          <w:sz w:val="24"/>
          <w:szCs w:val="24"/>
        </w:rPr>
        <w:t xml:space="preserve"> (</w:t>
      </w:r>
      <w:hyperlink r:id="rId21" w:anchor="88bb88e" w:history="1">
        <w:r w:rsidRPr="00E07A0C">
          <w:rPr>
            <w:rStyle w:val="Hyperlink"/>
            <w:rFonts w:ascii="Open Sans" w:hAnsi="Open Sans" w:cs="Open Sans"/>
            <w:sz w:val="24"/>
            <w:szCs w:val="24"/>
          </w:rPr>
          <w:t>TST-AIRR - 100070</w:t>
        </w:r>
        <w:r w:rsidR="00AC4BB6">
          <w:rPr>
            <w:rStyle w:val="Hyperlink"/>
            <w:rFonts w:ascii="Open Sans" w:hAnsi="Open Sans" w:cs="Open Sans"/>
            <w:sz w:val="24"/>
            <w:szCs w:val="24"/>
          </w:rPr>
          <w:t>9-39.2024.5.02.0020, 3ª Turma, R</w:t>
        </w:r>
        <w:r w:rsidRPr="00E07A0C">
          <w:rPr>
            <w:rStyle w:val="Hyperlink"/>
            <w:rFonts w:ascii="Open Sans" w:hAnsi="Open Sans" w:cs="Open Sans"/>
            <w:sz w:val="24"/>
            <w:szCs w:val="24"/>
          </w:rPr>
          <w:t>el. Min. Alberto Bastos Balazeiro, julgado em 18/3/2026</w:t>
        </w:r>
      </w:hyperlink>
      <w:r w:rsidRPr="00E07A0C">
        <w:rPr>
          <w:rFonts w:ascii="Open Sans" w:hAnsi="Open Sans" w:cs="Open Sans"/>
          <w:sz w:val="24"/>
          <w:szCs w:val="24"/>
        </w:rPr>
        <w:t>)</w:t>
      </w:r>
    </w:p>
    <w:p w:rsidR="00CE6BD9" w:rsidRDefault="00CE6BD9" w:rsidP="00CE6BD9">
      <w:pPr>
        <w:widowControl w:val="0"/>
        <w:suppressAutoHyphens/>
        <w:ind w:left="-255" w:right="340"/>
        <w:jc w:val="both"/>
        <w:rPr>
          <w:rFonts w:ascii="Open Sans" w:hAnsi="Open Sans" w:cs="Open Sans"/>
          <w:b/>
          <w:color w:val="FF0000"/>
          <w:sz w:val="24"/>
          <w:szCs w:val="24"/>
        </w:rPr>
      </w:pPr>
    </w:p>
    <w:p w:rsidR="00DF1C73" w:rsidRPr="00CE6BD9" w:rsidRDefault="00CE6BD9" w:rsidP="00CE6BD9">
      <w:pPr>
        <w:widowControl w:val="0"/>
        <w:suppressAutoHyphens/>
        <w:ind w:left="-255" w:right="340"/>
        <w:jc w:val="both"/>
        <w:rPr>
          <w:rFonts w:ascii="Open Sans" w:hAnsi="Open Sans" w:cs="Open Sans"/>
          <w:b/>
          <w:color w:val="FF0000"/>
          <w:sz w:val="24"/>
          <w:szCs w:val="24"/>
          <w:highlight w:val="yellow"/>
        </w:rPr>
      </w:pPr>
      <w:r>
        <w:rPr>
          <w:rFonts w:ascii="Open Sans" w:hAnsi="Open Sans" w:cs="Open Sans"/>
          <w:sz w:val="24"/>
          <w:szCs w:val="24"/>
        </w:rPr>
        <w:t xml:space="preserve">“[...] </w:t>
      </w:r>
      <w:r w:rsidRPr="00CE6BD9">
        <w:rPr>
          <w:rFonts w:ascii="Open Sans" w:hAnsi="Open Sans" w:cs="Open Sans"/>
          <w:sz w:val="24"/>
          <w:szCs w:val="24"/>
        </w:rPr>
        <w:t xml:space="preserve">RECURSO DE REVISTA. TRABALHO EM FRIGORÍFICO. ATIVIDADE DE RISCO. RESPONSABILIDADE OBJETIVA DO EMPREGADOR. TRANSCENDÊNCIA JURÍDICA </w:t>
      </w:r>
      <w:r>
        <w:rPr>
          <w:rFonts w:ascii="Open Sans" w:hAnsi="Open Sans" w:cs="Open Sans"/>
          <w:sz w:val="24"/>
          <w:szCs w:val="24"/>
        </w:rPr>
        <w:t xml:space="preserve">DA CAUSA RECONHECIDA. </w:t>
      </w:r>
      <w:proofErr w:type="gramStart"/>
      <w:r>
        <w:rPr>
          <w:rFonts w:ascii="Open Sans" w:hAnsi="Open Sans" w:cs="Open Sans"/>
          <w:sz w:val="24"/>
          <w:szCs w:val="24"/>
        </w:rPr>
        <w:t>1</w:t>
      </w:r>
      <w:proofErr w:type="gramEnd"/>
      <w:r>
        <w:rPr>
          <w:rFonts w:ascii="Open Sans" w:hAnsi="Open Sans" w:cs="Open Sans"/>
          <w:sz w:val="24"/>
          <w:szCs w:val="24"/>
        </w:rPr>
        <w:t xml:space="preserve">. </w:t>
      </w:r>
      <w:r w:rsidRPr="00CE6BD9">
        <w:rPr>
          <w:rFonts w:ascii="Open Sans" w:hAnsi="Open Sans" w:cs="Open Sans"/>
          <w:sz w:val="24"/>
          <w:szCs w:val="24"/>
        </w:rPr>
        <w:t xml:space="preserve">Cuida-se de controvérsia acerca da atribuição de responsabilidade objetiva ao empregador pelos danos morais e materiais decorrentes de acidente de trabalho de que foi vítima o autor durante o exercício da função de </w:t>
      </w:r>
      <w:r w:rsidRPr="00CE6BD9">
        <w:rPr>
          <w:rFonts w:ascii="Open Sans" w:hAnsi="Open Sans" w:cs="Open Sans"/>
          <w:sz w:val="24"/>
          <w:szCs w:val="24"/>
        </w:rPr>
        <w:lastRenderedPageBreak/>
        <w:t>operador de produção, em frigorífico . Na hipótese dos autos, o Tribunal Regional consignou expressamente que não foi adotada a teoria do r</w:t>
      </w:r>
      <w:r>
        <w:rPr>
          <w:rFonts w:ascii="Open Sans" w:hAnsi="Open Sans" w:cs="Open Sans"/>
          <w:sz w:val="24"/>
          <w:szCs w:val="24"/>
        </w:rPr>
        <w:t>isco objetivo, consignando que ‘</w:t>
      </w:r>
      <w:r w:rsidRPr="00CE6BD9">
        <w:rPr>
          <w:rFonts w:ascii="Open Sans" w:hAnsi="Open Sans" w:cs="Open Sans"/>
          <w:sz w:val="24"/>
          <w:szCs w:val="24"/>
        </w:rPr>
        <w:t>o obreiro nem sequer apontou na exordial onde residiria, a seu ver, a culpa da demandada pela sua ocorrência, limitando-se a invocar a aplicação da responsabilidade objetiva</w:t>
      </w:r>
      <w:r>
        <w:rPr>
          <w:rFonts w:ascii="Open Sans" w:hAnsi="Open Sans" w:cs="Open Sans"/>
          <w:sz w:val="24"/>
          <w:szCs w:val="24"/>
        </w:rPr>
        <w:t>, teoria com a qual não coaduno’</w:t>
      </w:r>
      <w:r w:rsidRPr="00CE6BD9">
        <w:rPr>
          <w:rFonts w:ascii="Open Sans" w:hAnsi="Open Sans" w:cs="Open Sans"/>
          <w:sz w:val="24"/>
          <w:szCs w:val="24"/>
        </w:rPr>
        <w:t xml:space="preserve"> . 2. Considerando a atualidade e a complexidade da questão ora examinada, revela-se oportuno o reconhecimento da transcendência da causa, sob o aspecto jurídico. 3. A jurisprudência cediça desta Corte superior , referendada pela decisão proferida pelo Supremo Tribunal Federal nos autos do Recurso Extraordinário n.º STF-RE-828040/DF, no qual foi reconhecida repercussão geral (Tema n.º 932), é no sentido d</w:t>
      </w:r>
      <w:r w:rsidR="00502B21">
        <w:rPr>
          <w:rFonts w:ascii="Open Sans" w:hAnsi="Open Sans" w:cs="Open Sans"/>
          <w:sz w:val="24"/>
          <w:szCs w:val="24"/>
        </w:rPr>
        <w:t>e que ‘</w:t>
      </w:r>
      <w:r w:rsidRPr="00CE6BD9">
        <w:rPr>
          <w:rFonts w:ascii="Open Sans" w:hAnsi="Open Sans" w:cs="Open Sans"/>
          <w:sz w:val="24"/>
          <w:szCs w:val="24"/>
        </w:rPr>
        <w:t>o artigo 927, parágrafo único, do Código Civil é compatível com o artigo 7º, XXVIII, da Constituição Federal, sendo constitucional a responsabilização objetiva do empregador por danos decorrentes de acidentes de trabalho, nos casos especificados em lei, ou quando a atividade normalmente desenvolvida, por sua natureza, apresentar exposição habitual a risco especial, com potencialidade lesiva e implicar ao trabalhador ônus maior do que aos</w:t>
      </w:r>
      <w:r w:rsidR="00941256">
        <w:rPr>
          <w:rFonts w:ascii="Open Sans" w:hAnsi="Open Sans" w:cs="Open Sans"/>
          <w:sz w:val="24"/>
          <w:szCs w:val="24"/>
        </w:rPr>
        <w:t xml:space="preserve"> demais membros da coletividade’</w:t>
      </w:r>
      <w:r w:rsidRPr="00CE6BD9">
        <w:rPr>
          <w:rFonts w:ascii="Open Sans" w:hAnsi="Open Sans" w:cs="Open Sans"/>
          <w:sz w:val="24"/>
          <w:szCs w:val="24"/>
        </w:rPr>
        <w:t xml:space="preserve"> (ATA DE JULGAMENTO N.º 7, publicada no </w:t>
      </w:r>
      <w:proofErr w:type="spellStart"/>
      <w:r w:rsidRPr="00CE6BD9">
        <w:rPr>
          <w:rFonts w:ascii="Open Sans" w:hAnsi="Open Sans" w:cs="Open Sans"/>
          <w:sz w:val="24"/>
          <w:szCs w:val="24"/>
        </w:rPr>
        <w:t>DJe</w:t>
      </w:r>
      <w:proofErr w:type="spellEnd"/>
      <w:r w:rsidRPr="00CE6BD9">
        <w:rPr>
          <w:rFonts w:ascii="Open Sans" w:hAnsi="Open Sans" w:cs="Open Sans"/>
          <w:sz w:val="24"/>
          <w:szCs w:val="24"/>
        </w:rPr>
        <w:t xml:space="preserve"> n.º 65, de 20/3/2020) . 4. O trabalho realizado em linhas de produção de frigoríficos expõe o empregado a condições laborais significativamente mais arriscadas em comparação com outras funções. Isso se deve à repetitividade das tarefas e ao ritmo intenso de trabalho, o que justifica a aplicação da teoria da responsabilidade objetiva. Nesse contexto, a Corte de origem, ao reformar a sentença para afastar a responsabilidade civil da reclamada no caso concreto, por não vislumbrar culpa em relação ao acidente de trabalho, afrontou o disposto no artigo 927, parágrafo único, do Código </w:t>
      </w:r>
      <w:proofErr w:type="gramStart"/>
      <w:r w:rsidRPr="00CE6BD9">
        <w:rPr>
          <w:rFonts w:ascii="Open Sans" w:hAnsi="Open Sans" w:cs="Open Sans"/>
          <w:sz w:val="24"/>
          <w:szCs w:val="24"/>
        </w:rPr>
        <w:t>Civil .</w:t>
      </w:r>
      <w:proofErr w:type="gramEnd"/>
      <w:r w:rsidRPr="00CE6BD9">
        <w:rPr>
          <w:rFonts w:ascii="Open Sans" w:hAnsi="Open Sans" w:cs="Open Sans"/>
          <w:sz w:val="24"/>
          <w:szCs w:val="24"/>
        </w:rPr>
        <w:t xml:space="preserve"> 5. </w:t>
      </w:r>
      <w:proofErr w:type="gramStart"/>
      <w:r w:rsidRPr="00CE6BD9">
        <w:rPr>
          <w:rFonts w:ascii="Open Sans" w:hAnsi="Open Sans" w:cs="Open Sans"/>
          <w:sz w:val="24"/>
          <w:szCs w:val="24"/>
        </w:rPr>
        <w:t>Recurso de Revista conhecido e provido.</w:t>
      </w:r>
      <w:r w:rsidR="00EA0D21">
        <w:rPr>
          <w:rFonts w:ascii="Open Sans" w:hAnsi="Open Sans" w:cs="Open Sans"/>
          <w:sz w:val="24"/>
          <w:szCs w:val="24"/>
        </w:rPr>
        <w:t>”</w:t>
      </w:r>
      <w:proofErr w:type="gramEnd"/>
      <w:r w:rsidRPr="00CE6BD9">
        <w:rPr>
          <w:rFonts w:ascii="Open Sans" w:hAnsi="Open Sans" w:cs="Open Sans"/>
          <w:sz w:val="24"/>
          <w:szCs w:val="24"/>
        </w:rPr>
        <w:t xml:space="preserve">  (</w:t>
      </w:r>
      <w:hyperlink r:id="rId22" w:anchor="23f41ca" w:history="1">
        <w:r w:rsidRPr="00CE6BD9">
          <w:rPr>
            <w:rStyle w:val="Hyperlink"/>
            <w:rFonts w:ascii="Open Sans" w:hAnsi="Open Sans" w:cs="Open Sans"/>
            <w:sz w:val="24"/>
            <w:szCs w:val="24"/>
          </w:rPr>
          <w:t>TST-RR-0000388-15.2023.5.12.0008, 3ª Turma, Rel. Min.</w:t>
        </w:r>
        <w:r w:rsidR="00C12B10">
          <w:rPr>
            <w:rStyle w:val="Hyperlink"/>
            <w:rFonts w:ascii="Open Sans" w:hAnsi="Open Sans" w:cs="Open Sans"/>
            <w:sz w:val="24"/>
            <w:szCs w:val="24"/>
          </w:rPr>
          <w:t xml:space="preserve"> </w:t>
        </w:r>
        <w:proofErr w:type="spellStart"/>
        <w:r w:rsidR="00C12B10">
          <w:rPr>
            <w:rStyle w:val="Hyperlink"/>
            <w:rFonts w:ascii="Open Sans" w:hAnsi="Open Sans" w:cs="Open Sans"/>
            <w:sz w:val="24"/>
            <w:szCs w:val="24"/>
          </w:rPr>
          <w:t>Lelio</w:t>
        </w:r>
        <w:proofErr w:type="spellEnd"/>
        <w:r w:rsidR="00C12B10">
          <w:rPr>
            <w:rStyle w:val="Hyperlink"/>
            <w:rFonts w:ascii="Open Sans" w:hAnsi="Open Sans" w:cs="Open Sans"/>
            <w:sz w:val="24"/>
            <w:szCs w:val="24"/>
          </w:rPr>
          <w:t xml:space="preserve"> Bentes Corrê</w:t>
        </w:r>
        <w:r w:rsidRPr="00CE6BD9">
          <w:rPr>
            <w:rStyle w:val="Hyperlink"/>
            <w:rFonts w:ascii="Open Sans" w:hAnsi="Open Sans" w:cs="Open Sans"/>
            <w:sz w:val="24"/>
            <w:szCs w:val="24"/>
          </w:rPr>
          <w:t>a, julgado em 29/4/2026</w:t>
        </w:r>
      </w:hyperlink>
      <w:r w:rsidR="00282AD1">
        <w:rPr>
          <w:rFonts w:ascii="Open Sans" w:hAnsi="Open Sans" w:cs="Open Sans"/>
          <w:sz w:val="24"/>
          <w:szCs w:val="24"/>
        </w:rPr>
        <w:t>)</w:t>
      </w:r>
    </w:p>
    <w:p w:rsidR="00CE6BD9" w:rsidRDefault="00CE6BD9" w:rsidP="00EC6C60">
      <w:pPr>
        <w:widowControl w:val="0"/>
        <w:suppressAutoHyphens/>
        <w:ind w:left="-255" w:right="340"/>
        <w:jc w:val="both"/>
        <w:rPr>
          <w:rFonts w:ascii="Open Sans" w:hAnsi="Open Sans" w:cs="Open Sans"/>
          <w:sz w:val="24"/>
          <w:szCs w:val="24"/>
        </w:rPr>
      </w:pPr>
    </w:p>
    <w:p w:rsidR="00A76E0D" w:rsidRDefault="00EA0D21" w:rsidP="00A76E0D">
      <w:pPr>
        <w:widowControl w:val="0"/>
        <w:suppressAutoHyphens/>
        <w:ind w:left="-255" w:right="340"/>
        <w:jc w:val="both"/>
        <w:rPr>
          <w:rFonts w:ascii="Open Sans" w:hAnsi="Open Sans" w:cs="Open Sans"/>
          <w:sz w:val="24"/>
          <w:szCs w:val="24"/>
        </w:rPr>
      </w:pPr>
      <w:r>
        <w:rPr>
          <w:rFonts w:ascii="Open Sans" w:hAnsi="Open Sans" w:cs="Open Sans"/>
          <w:sz w:val="24"/>
          <w:szCs w:val="24"/>
        </w:rPr>
        <w:t>“</w:t>
      </w:r>
      <w:r w:rsidR="00A76E0D">
        <w:rPr>
          <w:rFonts w:ascii="Open Sans" w:hAnsi="Open Sans" w:cs="Open Sans"/>
          <w:sz w:val="24"/>
          <w:szCs w:val="24"/>
        </w:rPr>
        <w:t>[</w:t>
      </w:r>
      <w:proofErr w:type="gramStart"/>
      <w:r w:rsidR="00A76E0D">
        <w:rPr>
          <w:rFonts w:ascii="Open Sans" w:hAnsi="Open Sans" w:cs="Open Sans"/>
          <w:sz w:val="24"/>
          <w:szCs w:val="24"/>
        </w:rPr>
        <w:t>...] B)</w:t>
      </w:r>
      <w:proofErr w:type="gramEnd"/>
      <w:r w:rsidR="00A76E0D">
        <w:rPr>
          <w:rFonts w:ascii="Open Sans" w:hAnsi="Open Sans" w:cs="Open Sans"/>
          <w:sz w:val="24"/>
          <w:szCs w:val="24"/>
        </w:rPr>
        <w:t xml:space="preserve"> </w:t>
      </w:r>
      <w:r w:rsidR="00A76E0D" w:rsidRPr="00A76E0D">
        <w:rPr>
          <w:rFonts w:ascii="Open Sans" w:hAnsi="Open Sans" w:cs="Open Sans"/>
          <w:sz w:val="24"/>
          <w:szCs w:val="24"/>
        </w:rPr>
        <w:t xml:space="preserve">AGRAVOS DE INSTRUMENTO INTERPOSTOS PELAS RECLAMADAS BHP BILLITON BRASIL LTDA. E SAMARCO MINERAÇÃO S.A. RECURSOS DE REVISTA. MATÉRIA COMUM. ANÁLISE CONJUNTA. ACIDENTE DE TRABALHO. ROMPIMENTO DA BARRAGEM DA MINA DE FUNDÃO (LOCALIZADA EM MARIANA/MG). RISCO IMINENTE DE MORTE. DANO </w:t>
      </w:r>
      <w:r w:rsidR="00A76E0D" w:rsidRPr="00A76E0D">
        <w:rPr>
          <w:rFonts w:ascii="Open Sans" w:hAnsi="Open Sans" w:cs="Open Sans"/>
          <w:i/>
          <w:sz w:val="24"/>
          <w:szCs w:val="24"/>
        </w:rPr>
        <w:t>IN RE IPSA CONFIGURADO</w:t>
      </w:r>
      <w:r w:rsidR="00A76E0D" w:rsidRPr="00A76E0D">
        <w:rPr>
          <w:rFonts w:ascii="Open Sans" w:hAnsi="Open Sans" w:cs="Open Sans"/>
          <w:sz w:val="24"/>
          <w:szCs w:val="24"/>
        </w:rPr>
        <w:t xml:space="preserve">. INDENIZAÇÃO POR DANOS MORAIS. TRANSCENDÊNCIA JURÍDICA. Constatado a relevância da matéria objeto de exame, reputa-se caracterizada a transcendência jurídica da causa, nos termos do art. 896-A, §1º, IV, da CLT. Registre-se que a indenização resultante de acidente do trabalho e/ou doença profissional ou ocupacional supõe a presença de três requisitos: a) ocorrência do fato deflagrador do dano ou do próprio dano, que se constata pelo fato da doença ou do acidente, os quais, por si sós, agridem o patrimônio moral e emocional da pessoa trabalhadora (nesse sentido, o dano moral, em tais casos, verifica-se pela própria circunstância da ocorrência do malefício físico ou psíquico); b) nexo causal ou </w:t>
      </w:r>
      <w:proofErr w:type="spellStart"/>
      <w:r w:rsidR="00A76E0D" w:rsidRPr="00A76E0D">
        <w:rPr>
          <w:rFonts w:ascii="Open Sans" w:hAnsi="Open Sans" w:cs="Open Sans"/>
          <w:sz w:val="24"/>
          <w:szCs w:val="24"/>
        </w:rPr>
        <w:t>concausal</w:t>
      </w:r>
      <w:proofErr w:type="spellEnd"/>
      <w:r w:rsidR="00A76E0D" w:rsidRPr="00A76E0D">
        <w:rPr>
          <w:rFonts w:ascii="Open Sans" w:hAnsi="Open Sans" w:cs="Open Sans"/>
          <w:sz w:val="24"/>
          <w:szCs w:val="24"/>
        </w:rPr>
        <w:t>, que se evidencia pelo fato de o malefício ter ocorrido em face das condições laborativas; c) culpa empresarial, excetuadas as hipóteses de responsabilidade objetiva. A Constituição Federal de 1988 assegura que todos têm direito ao meio ambiente do trabalho ecologicamente equilibrado, porque essencial à sadia qualidade de vida, razão pela qual incumbe ao Poder Público e à coletividade, na qual se inclui o empregador, o dever de defendê-lo e preservá-lo (</w:t>
      </w:r>
      <w:proofErr w:type="spellStart"/>
      <w:r w:rsidR="00A76E0D" w:rsidRPr="00A76E0D">
        <w:rPr>
          <w:rFonts w:ascii="Open Sans" w:hAnsi="Open Sans" w:cs="Open Sans"/>
          <w:sz w:val="24"/>
          <w:szCs w:val="24"/>
        </w:rPr>
        <w:t>arts</w:t>
      </w:r>
      <w:proofErr w:type="spellEnd"/>
      <w:r w:rsidR="00A76E0D" w:rsidRPr="00A76E0D">
        <w:rPr>
          <w:rFonts w:ascii="Open Sans" w:hAnsi="Open Sans" w:cs="Open Sans"/>
          <w:sz w:val="24"/>
          <w:szCs w:val="24"/>
        </w:rPr>
        <w:t xml:space="preserve">. 200, VII, e 225, </w:t>
      </w:r>
      <w:r w:rsidR="00A76E0D" w:rsidRPr="00A76E0D">
        <w:rPr>
          <w:rFonts w:ascii="Open Sans" w:hAnsi="Open Sans" w:cs="Open Sans"/>
          <w:i/>
          <w:sz w:val="24"/>
          <w:szCs w:val="24"/>
        </w:rPr>
        <w:t>caput</w:t>
      </w:r>
      <w:r w:rsidR="00A76E0D" w:rsidRPr="00A76E0D">
        <w:rPr>
          <w:rFonts w:ascii="Open Sans" w:hAnsi="Open Sans" w:cs="Open Sans"/>
          <w:sz w:val="24"/>
          <w:szCs w:val="24"/>
        </w:rPr>
        <w:t xml:space="preserve">). Não é por outra razão que Raimundo Simão de Melo alerta que a prevenção dos riscos ambientais e/ou </w:t>
      </w:r>
      <w:r w:rsidR="00A76E0D" w:rsidRPr="00A76E0D">
        <w:rPr>
          <w:rFonts w:ascii="Open Sans" w:hAnsi="Open Sans" w:cs="Open Sans"/>
          <w:sz w:val="24"/>
          <w:szCs w:val="24"/>
        </w:rPr>
        <w:lastRenderedPageBreak/>
        <w:t>eliminação de riscos laborais, mediante adoção de medidas coletivas e individuais, é imprescindível para que o empregador evite danos ao meio ambiente do trabalho e à saúde do trabalhador. Acidentes do trabalho e/ou doença profissional ou ocup</w:t>
      </w:r>
      <w:r w:rsidR="00A76E0D">
        <w:rPr>
          <w:rFonts w:ascii="Open Sans" w:hAnsi="Open Sans" w:cs="Open Sans"/>
          <w:sz w:val="24"/>
          <w:szCs w:val="24"/>
        </w:rPr>
        <w:t>acional, na maioria das vezes, ‘</w:t>
      </w:r>
      <w:r w:rsidR="00A76E0D" w:rsidRPr="00A76E0D">
        <w:rPr>
          <w:rFonts w:ascii="Open Sans" w:hAnsi="Open Sans" w:cs="Open Sans"/>
          <w:sz w:val="24"/>
          <w:szCs w:val="24"/>
        </w:rPr>
        <w:t xml:space="preserve">são eventos perfeitamente previsíveis e </w:t>
      </w:r>
      <w:proofErr w:type="spellStart"/>
      <w:r w:rsidR="00A76E0D" w:rsidRPr="00A76E0D">
        <w:rPr>
          <w:rFonts w:ascii="Open Sans" w:hAnsi="Open Sans" w:cs="Open Sans"/>
          <w:sz w:val="24"/>
          <w:szCs w:val="24"/>
        </w:rPr>
        <w:t>preveníveis</w:t>
      </w:r>
      <w:proofErr w:type="spellEnd"/>
      <w:r w:rsidR="00A76E0D" w:rsidRPr="00A76E0D">
        <w:rPr>
          <w:rFonts w:ascii="Open Sans" w:hAnsi="Open Sans" w:cs="Open Sans"/>
          <w:sz w:val="24"/>
          <w:szCs w:val="24"/>
        </w:rPr>
        <w:t xml:space="preserve">, porquanto suas causas são identificáveis e podem ser </w:t>
      </w:r>
      <w:proofErr w:type="gramStart"/>
      <w:r w:rsidR="00A76E0D" w:rsidRPr="00A76E0D">
        <w:rPr>
          <w:rFonts w:ascii="Open Sans" w:hAnsi="Open Sans" w:cs="Open Sans"/>
          <w:sz w:val="24"/>
          <w:szCs w:val="24"/>
        </w:rPr>
        <w:t>neutralizadas</w:t>
      </w:r>
      <w:proofErr w:type="gramEnd"/>
      <w:r w:rsidR="00A76E0D" w:rsidRPr="00A76E0D">
        <w:rPr>
          <w:rFonts w:ascii="Open Sans" w:hAnsi="Open Sans" w:cs="Open Sans"/>
          <w:sz w:val="24"/>
          <w:szCs w:val="24"/>
        </w:rPr>
        <w:t xml:space="preserve"> ou mesmo eliminadas; são, porém, imprevistos quanto ao momento</w:t>
      </w:r>
      <w:r w:rsidR="00A76E0D">
        <w:rPr>
          <w:rFonts w:ascii="Open Sans" w:hAnsi="Open Sans" w:cs="Open Sans"/>
          <w:sz w:val="24"/>
          <w:szCs w:val="24"/>
        </w:rPr>
        <w:t xml:space="preserve"> e grau de agravo para a vítima’</w:t>
      </w:r>
      <w:r w:rsidR="00A76E0D" w:rsidRPr="00A76E0D">
        <w:rPr>
          <w:rFonts w:ascii="Open Sans" w:hAnsi="Open Sans" w:cs="Open Sans"/>
          <w:sz w:val="24"/>
          <w:szCs w:val="24"/>
        </w:rPr>
        <w:t xml:space="preserve"> (MELO, Raimundo Simão de. Direito ambiental do trabalho e a saúde do trabalhador. 5.ed. São Paulo: </w:t>
      </w:r>
      <w:proofErr w:type="spellStart"/>
      <w:r w:rsidR="00A76E0D" w:rsidRPr="00A76E0D">
        <w:rPr>
          <w:rFonts w:ascii="Open Sans" w:hAnsi="Open Sans" w:cs="Open Sans"/>
          <w:sz w:val="24"/>
          <w:szCs w:val="24"/>
        </w:rPr>
        <w:t>Ltr</w:t>
      </w:r>
      <w:proofErr w:type="spellEnd"/>
      <w:r w:rsidR="00A76E0D" w:rsidRPr="00A76E0D">
        <w:rPr>
          <w:rFonts w:ascii="Open Sans" w:hAnsi="Open Sans" w:cs="Open Sans"/>
          <w:sz w:val="24"/>
          <w:szCs w:val="24"/>
        </w:rPr>
        <w:t>, 2013, p. 316). Registre-se que tanto a higidez física como a mental, inclusive emocional, do ser humano são bens fundamentais de sua vida, privada e pública, de sua intimidade, de sua autoestima e afirmação social e, nessa medida, também de sua honra. São bens, portanto, inquestionavelmente tutelados, regra geral, pela Constituição (art. 5º, V e X). Assim, agredidos em face de circunstâncias laborativas, passam a merecer tutela ainda mais forte e específica da Constituição da República, que se agrega à genérica anterior (art. 7º, XXVIII, CF/88). É do empregador, evidentemente, a responsabilidade pelas indenizações por dano moral e material, decorrentes de lesões vinculadas à infortunística do trabalho, sem prejuízo do pagamento, pelo INSS, do seguro social. Na hipótese, consoante assentado</w:t>
      </w:r>
      <w:r w:rsidR="00A76E0D">
        <w:rPr>
          <w:rFonts w:ascii="Open Sans" w:hAnsi="Open Sans" w:cs="Open Sans"/>
          <w:sz w:val="24"/>
          <w:szCs w:val="24"/>
        </w:rPr>
        <w:t xml:space="preserve"> pelo TRT de origem ‘</w:t>
      </w:r>
      <w:r w:rsidR="00A76E0D" w:rsidRPr="00A76E0D">
        <w:rPr>
          <w:rFonts w:ascii="Open Sans" w:hAnsi="Open Sans" w:cs="Open Sans"/>
          <w:sz w:val="24"/>
          <w:szCs w:val="24"/>
        </w:rPr>
        <w:t xml:space="preserve">Não restam dúvidas de que o reclamante teve sua moral abalada, porquanto provado que foi exposto </w:t>
      </w:r>
      <w:proofErr w:type="gramStart"/>
      <w:r w:rsidR="00A76E0D" w:rsidRPr="00A76E0D">
        <w:rPr>
          <w:rFonts w:ascii="Open Sans" w:hAnsi="Open Sans" w:cs="Open Sans"/>
          <w:sz w:val="24"/>
          <w:szCs w:val="24"/>
        </w:rPr>
        <w:t>a</w:t>
      </w:r>
      <w:proofErr w:type="gramEnd"/>
      <w:r w:rsidR="00A76E0D" w:rsidRPr="00A76E0D">
        <w:rPr>
          <w:rFonts w:ascii="Open Sans" w:hAnsi="Open Sans" w:cs="Open Sans"/>
          <w:sz w:val="24"/>
          <w:szCs w:val="24"/>
        </w:rPr>
        <w:t xml:space="preserve"> situação de extremo perigo</w:t>
      </w:r>
      <w:r w:rsidR="00A76E0D">
        <w:rPr>
          <w:rFonts w:ascii="Open Sans" w:hAnsi="Open Sans" w:cs="Open Sans"/>
          <w:sz w:val="24"/>
          <w:szCs w:val="24"/>
        </w:rPr>
        <w:t>’</w:t>
      </w:r>
      <w:r w:rsidR="00A76E0D" w:rsidRPr="00A76E0D">
        <w:rPr>
          <w:rFonts w:ascii="Open Sans" w:hAnsi="Open Sans" w:cs="Open Sans"/>
          <w:sz w:val="24"/>
          <w:szCs w:val="24"/>
        </w:rPr>
        <w:t xml:space="preserve"> em decorrência do rompimento da barragem da mina de fundão (localizada em Mariana/MG). Destacou, ainda, a Co</w:t>
      </w:r>
      <w:r w:rsidR="00A76E0D">
        <w:rPr>
          <w:rFonts w:ascii="Open Sans" w:hAnsi="Open Sans" w:cs="Open Sans"/>
          <w:sz w:val="24"/>
          <w:szCs w:val="24"/>
        </w:rPr>
        <w:t>rte Regional que ‘</w:t>
      </w:r>
      <w:r w:rsidR="00A76E0D" w:rsidRPr="00A76E0D">
        <w:rPr>
          <w:rFonts w:ascii="Open Sans" w:hAnsi="Open Sans" w:cs="Open Sans"/>
          <w:sz w:val="24"/>
          <w:szCs w:val="24"/>
        </w:rPr>
        <w:t>a testemunha</w:t>
      </w:r>
      <w:r w:rsidR="00A76E0D">
        <w:rPr>
          <w:rFonts w:ascii="Open Sans" w:hAnsi="Open Sans" w:cs="Open Sans"/>
          <w:sz w:val="24"/>
          <w:szCs w:val="24"/>
        </w:rPr>
        <w:t xml:space="preserve"> [</w:t>
      </w:r>
      <w:r w:rsidR="00A76E0D" w:rsidRPr="00A76E0D">
        <w:rPr>
          <w:rFonts w:ascii="Open Sans" w:hAnsi="Open Sans" w:cs="Open Sans"/>
          <w:i/>
          <w:sz w:val="24"/>
          <w:szCs w:val="24"/>
        </w:rPr>
        <w:t>suprimido</w:t>
      </w:r>
      <w:r w:rsidR="00A76E0D">
        <w:rPr>
          <w:rFonts w:ascii="Open Sans" w:hAnsi="Open Sans" w:cs="Open Sans"/>
          <w:sz w:val="24"/>
          <w:szCs w:val="24"/>
        </w:rPr>
        <w:t>]</w:t>
      </w:r>
      <w:r w:rsidR="00A76E0D" w:rsidRPr="00A76E0D">
        <w:rPr>
          <w:rFonts w:ascii="Open Sans" w:hAnsi="Open Sans" w:cs="Open Sans"/>
          <w:sz w:val="24"/>
          <w:szCs w:val="24"/>
        </w:rPr>
        <w:t xml:space="preserve">, ouvida a rogo da primeira ré (prova emprestada de ID 107f731), confirmou que os trabalhadores remanescentes serviram de mão-de-obra responsável pelos expedientes emergenciais de retirada de dejetos e, nesta função, alguns deles chegaram a presenciar a localização dos corpos </w:t>
      </w:r>
      <w:r w:rsidR="00941256">
        <w:rPr>
          <w:rFonts w:ascii="Open Sans" w:hAnsi="Open Sans" w:cs="Open Sans"/>
          <w:sz w:val="24"/>
          <w:szCs w:val="24"/>
        </w:rPr>
        <w:t>dos colegas de trabalho’</w:t>
      </w:r>
      <w:r w:rsidR="00A76E0D">
        <w:rPr>
          <w:rFonts w:ascii="Open Sans" w:hAnsi="Open Sans" w:cs="Open Sans"/>
          <w:sz w:val="24"/>
          <w:szCs w:val="24"/>
        </w:rPr>
        <w:t xml:space="preserve"> e que ‘</w:t>
      </w:r>
      <w:r w:rsidR="00A76E0D" w:rsidRPr="00A76E0D">
        <w:rPr>
          <w:rFonts w:ascii="Open Sans" w:hAnsi="Open Sans" w:cs="Open Sans"/>
          <w:sz w:val="24"/>
          <w:szCs w:val="24"/>
        </w:rPr>
        <w:t>Em meio à tragédia e, apesar do abalo sofrido, os trabalhadores, pelo dever do ofício, laboraram nas semanas seguintes em meio a incertezas sobre o risco d</w:t>
      </w:r>
      <w:r w:rsidR="00A76E0D">
        <w:rPr>
          <w:rFonts w:ascii="Open Sans" w:hAnsi="Open Sans" w:cs="Open Sans"/>
          <w:sz w:val="24"/>
          <w:szCs w:val="24"/>
        </w:rPr>
        <w:t>e sua própria segurança e saúde’</w:t>
      </w:r>
      <w:r w:rsidR="00A76E0D" w:rsidRPr="00A76E0D">
        <w:rPr>
          <w:rFonts w:ascii="Open Sans" w:hAnsi="Open Sans" w:cs="Open Sans"/>
          <w:sz w:val="24"/>
          <w:szCs w:val="24"/>
        </w:rPr>
        <w:t>. Frise-se que cabe ao empregador ofertar a seus empregados, inclusive aos terceirizados, quando houver, ambiente de trabalho hígido, regular, digno. Verifica-se, ainda, que o Tribunal Regional entendeu incidir ao caso concreto tanto a responsabilidade objetiva como a subjetiva. Com efeito, nos casos em que o risco ao qual se expõe o trabalhador (em razão de sua função prevista no contrato de trabalho) é muito maior do que o vivenciado pelo indivíduo médio</w:t>
      </w:r>
      <w:proofErr w:type="gramStart"/>
      <w:r w:rsidR="00A76E0D" w:rsidRPr="00A76E0D">
        <w:rPr>
          <w:rFonts w:ascii="Open Sans" w:hAnsi="Open Sans" w:cs="Open Sans"/>
          <w:sz w:val="24"/>
          <w:szCs w:val="24"/>
        </w:rPr>
        <w:t>, é</w:t>
      </w:r>
      <w:proofErr w:type="gramEnd"/>
      <w:r w:rsidR="00A76E0D" w:rsidRPr="00A76E0D">
        <w:rPr>
          <w:rFonts w:ascii="Open Sans" w:hAnsi="Open Sans" w:cs="Open Sans"/>
          <w:sz w:val="24"/>
          <w:szCs w:val="24"/>
        </w:rPr>
        <w:t xml:space="preserve"> possível a aplicação da responsabilidade civil objetiva do empregador (parágrafo único do art. 927 do CCB). No caso concreto, tratando-se de empresa de mineração, é patente o risco laboral, independentemente de se tratar de atividade em subsolo ou em superfície. Sendo objetiva a responsabilidade - como ocorre com os empregados que exercem suas atividades em áreas de mineração -, ela deve ser observada pelo Poder Judiciário. Releva agregar a decisão proferida pelo Supremo Tribunal Federal, em 12/03/2020, em regime de repercussão geral, sob a Relatoria do Ministro Alexandre de Moraes, no julgamento do Recurso Extraordinário nº RE 828.040, no sentido de reconhecer a constitucionalidade (à luz do art. 7º, XXVIII, da Lei Maior) da responsabilização civil objetiva do empregador, no caso de acidente de trabalho, nos moldes previstos no art. 927, parágrafo único, do Código Civil – pontuando-se que o respectivo acórdão foi publicado em 26/06/2020. De todo modo, certo é que o contexto fático delineado na decisão recorrida revela a conduta culposa da Reclamada em relação ao dever de cuidado à saúde, higiene, segurança e integridade física do </w:t>
      </w:r>
      <w:r w:rsidR="00A76E0D" w:rsidRPr="00A76E0D">
        <w:rPr>
          <w:rFonts w:ascii="Open Sans" w:hAnsi="Open Sans" w:cs="Open Sans"/>
          <w:sz w:val="24"/>
          <w:szCs w:val="24"/>
        </w:rPr>
        <w:lastRenderedPageBreak/>
        <w:t>trabalhador (art. 6º e 7º, XXII, da CF, 186 do CCB/02), deveres anexos ao contrato de trabalho. Diante do contexto fático delineado no acórdão regional, a par da inconteste natureza de atividade de risco executada pelo Obreiro, o fato é que também ficou comprovada a conduta culposa da Reclamada, ao se omitir na efetividade de ações que fossem capazes de proteger os seus empregados, inclusive os terceirizados, no desempenho das suas atividades. Logo, sob qualquer ângulo que se analise a controvérsia, permanece o dever de indenizar. Anote-se, também, que, em relação ao dano moral, a existência de sequela de acidente de trabalho, por si só, viola a dignidade do ser humano (limitação de sua condição física, ainda que temporária), geradora de indiscutível dor íntima, desconforto e tristeza. Não há necessidade de prova de prejuízo concreto (nesse sentido, o dano moral, em tais casos, verifica-se pela própria circunstância da ocorrência do malefício físico ou psíquico), até porque a tutela jurídica, neste caso, incide sobre um interesse imaterial (art. 1º, III, da CF). Assim, afirmando o Juiz de Primeiro Grau, após minuciosa análise da prova, corroborada pelo julgado do TRT, o preenchimento dos requisitos configuradores do dano moral, torna-se inviável, em recurso de revista, reexaminar o conjunto probatório dos autos, por não se tratar o TST de suposta terceira instância, mas de Juízo rigorosamente extraordinário - limites da Súmula 126/TST. Agravos de i</w:t>
      </w:r>
      <w:r w:rsidR="00A76E0D">
        <w:rPr>
          <w:rFonts w:ascii="Open Sans" w:hAnsi="Open Sans" w:cs="Open Sans"/>
          <w:sz w:val="24"/>
          <w:szCs w:val="24"/>
        </w:rPr>
        <w:t xml:space="preserve">nstrumento desprovidos no tema. </w:t>
      </w:r>
      <w:r w:rsidR="00A76E0D" w:rsidRPr="00A76E0D">
        <w:rPr>
          <w:rFonts w:ascii="Open Sans" w:hAnsi="Open Sans" w:cs="Open Sans"/>
          <w:sz w:val="24"/>
          <w:szCs w:val="24"/>
        </w:rPr>
        <w:t>C) AGRAVOS DE INSTRUMENTO INTERPOSTOS PELAS RECLAMADAS VALE S.A. E SAMARCO MINERAÇÃO S.A. RECURSO DE REVISTA. MATÉRIA COMUM – ANÁLISE CONJUNTA. ACIDENTE DE TRABALHO. RESPONSABILIDADE CIVIL DERIVADA DA CULPA NO EVENTO DANOSO. CONTRATO DE EMPREITADA. DONO DA OBRA. NÃO CONFIGURAÇÃO. INAPLICABILIDADE DA OJ 191/TST. AUSÊNCIA DE TRANSCENDÊNCIA. O Tribunal Regional manteve os fundamentos da sentença proferida pelo Juízo</w:t>
      </w:r>
      <w:r w:rsidR="00A76E0D">
        <w:rPr>
          <w:rFonts w:ascii="Open Sans" w:hAnsi="Open Sans" w:cs="Open Sans"/>
          <w:sz w:val="24"/>
          <w:szCs w:val="24"/>
        </w:rPr>
        <w:t xml:space="preserve"> de Primeiro Grau, que afirmou ‘</w:t>
      </w:r>
      <w:r w:rsidR="00A76E0D" w:rsidRPr="00A76E0D">
        <w:rPr>
          <w:rFonts w:ascii="Open Sans" w:hAnsi="Open Sans" w:cs="Open Sans"/>
          <w:sz w:val="24"/>
          <w:szCs w:val="24"/>
        </w:rPr>
        <w:t xml:space="preserve">que o contrato havido entre a primeira e segunda reclamadas era, de fato, de obra civil e terraplenagem (...), porém era realizado em área </w:t>
      </w:r>
      <w:proofErr w:type="gramStart"/>
      <w:r w:rsidR="00A76E0D" w:rsidRPr="00A76E0D">
        <w:rPr>
          <w:rFonts w:ascii="Open Sans" w:hAnsi="Open Sans" w:cs="Open Sans"/>
          <w:sz w:val="24"/>
          <w:szCs w:val="24"/>
        </w:rPr>
        <w:t>sob responsabilidade</w:t>
      </w:r>
      <w:proofErr w:type="gramEnd"/>
      <w:r w:rsidR="00A76E0D" w:rsidRPr="00A76E0D">
        <w:rPr>
          <w:rFonts w:ascii="Open Sans" w:hAnsi="Open Sans" w:cs="Open Sans"/>
          <w:sz w:val="24"/>
          <w:szCs w:val="24"/>
        </w:rPr>
        <w:t xml:space="preserve"> da segunda reclamada e cujo controle era realizado por esta, inclusive quanto à segurança do local, tratando-se de obra ligada diretamente à atividade-fim do em</w:t>
      </w:r>
      <w:r w:rsidR="00A76E0D">
        <w:rPr>
          <w:rFonts w:ascii="Open Sans" w:hAnsi="Open Sans" w:cs="Open Sans"/>
          <w:sz w:val="24"/>
          <w:szCs w:val="24"/>
        </w:rPr>
        <w:t>preendimento’</w:t>
      </w:r>
      <w:r w:rsidR="00A76E0D" w:rsidRPr="00A76E0D">
        <w:rPr>
          <w:rFonts w:ascii="Open Sans" w:hAnsi="Open Sans" w:cs="Open Sans"/>
          <w:sz w:val="24"/>
          <w:szCs w:val="24"/>
        </w:rPr>
        <w:t>, afastando, portanto, a aplicação da OJ 191 da SDI-1 do TST. Por outro lado, a Corte Regional manteve a responsabilidade atribuída às recorrentes, em razão do acidente de trabalho, bem como em razão da manutenção do reconhecimento da existência de grupo econômico entre elas. Observa-se que o TRT entendeu pela inaplicabilidade da OJ 191/TST ao caso dos presentes autos, tendo em vista que a manutenção do reconhecimento da existência de grupo econômico entre as Reclamadas levou à manutenção, também, da responsabilidade solidária. Ainda que assim não fosse, a jurisprudência desta Corte também é pacífica na compreensão de que a regra excludente de responsabilidade referida na 191/SBDI-1/TST não se aplica à pretensão de indenização por dano moral/material decorrente de acidente do trabalho, que tem natureza eminentemente civil, sendo a responsabilização da dona da obra resultante diretamente do Código Civil (art. 932, III; art. 933; art. 942, parágrafo único, todos do CCB/2002). Julgados. Assim, ainda que se considerasse que o contrato celebrado tivesse sido de empreitada (na estrita acepção do termo), a OJ 191/SBDI-1/TST não afastaria, por si só, a responsabilização das Reclamadas, pois a indenização por danos morais e materiais resultantes de acidente do trabalho tem natureza jurídica civil, decorrentes de culpa por ato ilícito - conforme previsto nos artigos 186 e 927,</w:t>
      </w:r>
      <w:r w:rsidR="00A76E0D" w:rsidRPr="00502B21">
        <w:rPr>
          <w:rFonts w:ascii="Open Sans" w:hAnsi="Open Sans" w:cs="Open Sans"/>
          <w:i/>
          <w:sz w:val="24"/>
          <w:szCs w:val="24"/>
        </w:rPr>
        <w:t xml:space="preserve"> caput</w:t>
      </w:r>
      <w:r w:rsidR="00A76E0D" w:rsidRPr="00A76E0D">
        <w:rPr>
          <w:rFonts w:ascii="Open Sans" w:hAnsi="Open Sans" w:cs="Open Sans"/>
          <w:sz w:val="24"/>
          <w:szCs w:val="24"/>
        </w:rPr>
        <w:t xml:space="preserve">, do Código Civil - e não se enquadra como verba </w:t>
      </w:r>
      <w:r w:rsidR="00A76E0D" w:rsidRPr="00A76E0D">
        <w:rPr>
          <w:rFonts w:ascii="Open Sans" w:hAnsi="Open Sans" w:cs="Open Sans"/>
          <w:sz w:val="24"/>
          <w:szCs w:val="24"/>
        </w:rPr>
        <w:lastRenderedPageBreak/>
        <w:t xml:space="preserve">trabalhista em sentido estrito. A condenação solidária das Reclamadas decorre da presença dos elementos caracterizadores da responsabilidade civil - dano, nexo de causalidade e a conduta culposa -, segundo a natureza jurídica civil que envolve o pedido de indenização por danos morais decorrente de acidente de trabalho/doença ocupacional, nos termos dos </w:t>
      </w:r>
      <w:proofErr w:type="spellStart"/>
      <w:r w:rsidR="00A76E0D" w:rsidRPr="00A76E0D">
        <w:rPr>
          <w:rFonts w:ascii="Open Sans" w:hAnsi="Open Sans" w:cs="Open Sans"/>
          <w:sz w:val="24"/>
          <w:szCs w:val="24"/>
        </w:rPr>
        <w:t>arts</w:t>
      </w:r>
      <w:proofErr w:type="spellEnd"/>
      <w:r w:rsidR="00A76E0D" w:rsidRPr="00A76E0D">
        <w:rPr>
          <w:rFonts w:ascii="Open Sans" w:hAnsi="Open Sans" w:cs="Open Sans"/>
          <w:sz w:val="24"/>
          <w:szCs w:val="24"/>
        </w:rPr>
        <w:t xml:space="preserve">. 186 e 927, </w:t>
      </w:r>
      <w:r w:rsidR="00A76E0D" w:rsidRPr="00502B21">
        <w:rPr>
          <w:rFonts w:ascii="Open Sans" w:hAnsi="Open Sans" w:cs="Open Sans"/>
          <w:i/>
          <w:sz w:val="24"/>
          <w:szCs w:val="24"/>
        </w:rPr>
        <w:t>caput</w:t>
      </w:r>
      <w:r w:rsidR="00A76E0D" w:rsidRPr="00A76E0D">
        <w:rPr>
          <w:rFonts w:ascii="Open Sans" w:hAnsi="Open Sans" w:cs="Open Sans"/>
          <w:sz w:val="24"/>
          <w:szCs w:val="24"/>
        </w:rPr>
        <w:t>, e 942 do Código Civil. Nesse contexto, registre-se que seria inaplicável, no presente caso – no que diz respeito às verbas acidentárias –, o disposto na OJ 191/SBDI 1/TST, uma vez que referido dispositivo não incide nas hipóteses em que se discute a responsabilidade civil decorrente de acidente do trabalho, em razão de ato ilícito, cuja indenização, de natureza extracontratual, não decorre do contrato de trabalho. Sendo assim, não haveria que se cogitar da contrariedade à OJ 191/SBDI 1/TST, porquanto não trata a hipótese em exame de responsabilidade pelas obrigações trabalhistas inadimplidas, mas, sim, de responsabilidade civil decorrente de acidente de trabalho/doença ocupacional. Assim, reputa-se que a causa não oferece transcendência com relação aos reflexos de natureza econômica, política, social ou jurídica, nos termos do art. 896-A, § 1º, da CLT. Agravos de in</w:t>
      </w:r>
      <w:r w:rsidR="00A76E0D">
        <w:rPr>
          <w:rFonts w:ascii="Open Sans" w:hAnsi="Open Sans" w:cs="Open Sans"/>
          <w:sz w:val="24"/>
          <w:szCs w:val="24"/>
        </w:rPr>
        <w:t>strumento desprovidos no tema. [</w:t>
      </w:r>
      <w:proofErr w:type="gramStart"/>
      <w:r w:rsidR="00A76E0D">
        <w:rPr>
          <w:rFonts w:ascii="Open Sans" w:hAnsi="Open Sans" w:cs="Open Sans"/>
          <w:sz w:val="24"/>
          <w:szCs w:val="24"/>
        </w:rPr>
        <w:t xml:space="preserve">...] </w:t>
      </w:r>
      <w:r w:rsidR="00A76E0D" w:rsidRPr="00A76E0D">
        <w:rPr>
          <w:rFonts w:ascii="Open Sans" w:hAnsi="Open Sans" w:cs="Open Sans"/>
          <w:sz w:val="24"/>
          <w:szCs w:val="24"/>
        </w:rPr>
        <w:t>E)</w:t>
      </w:r>
      <w:proofErr w:type="gramEnd"/>
      <w:r w:rsidR="00A76E0D" w:rsidRPr="00A76E0D">
        <w:rPr>
          <w:rFonts w:ascii="Open Sans" w:hAnsi="Open Sans" w:cs="Open Sans"/>
          <w:sz w:val="24"/>
          <w:szCs w:val="24"/>
        </w:rPr>
        <w:t xml:space="preserve"> AGRAVO DE INSTRUMENTO INTERPOSTO PELA RECLAMADA SAMARCO MINERAÇÃO S.A. RECURSO DE REVISTA. TEMA REMANESCENTE. ACIDENTE DE TRABALHO. DANOS MORAIS. VALOR DA INDENIZAÇÃO. MODICIDADE.  PRINCÍPIO DA </w:t>
      </w:r>
      <w:r w:rsidR="00A76E0D" w:rsidRPr="00A76E0D">
        <w:rPr>
          <w:rFonts w:ascii="Open Sans" w:hAnsi="Open Sans" w:cs="Open Sans"/>
          <w:i/>
          <w:sz w:val="24"/>
          <w:szCs w:val="24"/>
        </w:rPr>
        <w:t>NON REFORMATIO IN PEJUS</w:t>
      </w:r>
      <w:r w:rsidR="00A76E0D" w:rsidRPr="00A76E0D">
        <w:rPr>
          <w:rFonts w:ascii="Open Sans" w:hAnsi="Open Sans" w:cs="Open Sans"/>
          <w:sz w:val="24"/>
          <w:szCs w:val="24"/>
        </w:rPr>
        <w:t xml:space="preserve">. AUSÊNCIA DE TRANSCENDÊNCIA. Em relação ao valor arbitrado a título de indenização por danos morais, cabe ao Juiz fixá-lo, equitativamente, sem se afastar da máxima cautela e sopesando todo o conjunto probatório constante dos autos. Deve o Julgador lançar mão do princípio da razoabilidade, cujo corolário é o princípio da proporcionalidade, pelo qual se estabelece a relação de equivalência entre a gravidade da lesão e o valor monetário da indenização imposta, de modo que possa propiciar a certeza de que o ato ofensor não fique impune e servir de desestímulo a práticas inadequadas aos parâmetros da lei. De todo modo, é oportuno dizer que a jurisprudência desta Corte vem se direcionando no sentido de rever o valor fixado nas instâncias ordinárias a título de indenização apenas para reprimir valores estratosféricos ou excessivamente módicos. Pontue-se que a Lei n. 13.467/2017, vigente a partir de 11.11.17, buscou </w:t>
      </w:r>
      <w:proofErr w:type="gramStart"/>
      <w:r w:rsidR="00A76E0D" w:rsidRPr="00A76E0D">
        <w:rPr>
          <w:rFonts w:ascii="Open Sans" w:hAnsi="Open Sans" w:cs="Open Sans"/>
          <w:sz w:val="24"/>
          <w:szCs w:val="24"/>
        </w:rPr>
        <w:t>regular os danos extrapatrimoniais e sua reparação nas relações de trabalho, por meio da inserç</w:t>
      </w:r>
      <w:r w:rsidR="00941256">
        <w:rPr>
          <w:rFonts w:ascii="Open Sans" w:hAnsi="Open Sans" w:cs="Open Sans"/>
          <w:sz w:val="24"/>
          <w:szCs w:val="24"/>
        </w:rPr>
        <w:t>ão do novo Título II-</w:t>
      </w:r>
      <w:proofErr w:type="gramEnd"/>
      <w:r w:rsidR="00941256">
        <w:rPr>
          <w:rFonts w:ascii="Open Sans" w:hAnsi="Open Sans" w:cs="Open Sans"/>
          <w:sz w:val="24"/>
          <w:szCs w:val="24"/>
        </w:rPr>
        <w:t>A na CLT (‘Do Dano Extrapatrimonial’</w:t>
      </w:r>
      <w:r w:rsidR="00A76E0D" w:rsidRPr="00A76E0D">
        <w:rPr>
          <w:rFonts w:ascii="Open Sans" w:hAnsi="Open Sans" w:cs="Open Sans"/>
          <w:sz w:val="24"/>
          <w:szCs w:val="24"/>
        </w:rPr>
        <w:t xml:space="preserve">), composto pelos </w:t>
      </w:r>
      <w:proofErr w:type="spellStart"/>
      <w:r w:rsidR="00A76E0D" w:rsidRPr="00A76E0D">
        <w:rPr>
          <w:rFonts w:ascii="Open Sans" w:hAnsi="Open Sans" w:cs="Open Sans"/>
          <w:sz w:val="24"/>
          <w:szCs w:val="24"/>
        </w:rPr>
        <w:t>arts</w:t>
      </w:r>
      <w:proofErr w:type="spellEnd"/>
      <w:r w:rsidR="00A76E0D" w:rsidRPr="00A76E0D">
        <w:rPr>
          <w:rFonts w:ascii="Open Sans" w:hAnsi="Open Sans" w:cs="Open Sans"/>
          <w:sz w:val="24"/>
          <w:szCs w:val="24"/>
        </w:rPr>
        <w:t xml:space="preserve">. 223-A até 223-G. A interpretação das regras fixadas no novo Título II-A da CLT, integrado pelos </w:t>
      </w:r>
      <w:proofErr w:type="spellStart"/>
      <w:r w:rsidR="00A76E0D" w:rsidRPr="00A76E0D">
        <w:rPr>
          <w:rFonts w:ascii="Open Sans" w:hAnsi="Open Sans" w:cs="Open Sans"/>
          <w:sz w:val="24"/>
          <w:szCs w:val="24"/>
        </w:rPr>
        <w:t>arts</w:t>
      </w:r>
      <w:proofErr w:type="spellEnd"/>
      <w:r w:rsidR="00A76E0D" w:rsidRPr="00A76E0D">
        <w:rPr>
          <w:rFonts w:ascii="Open Sans" w:hAnsi="Open Sans" w:cs="Open Sans"/>
          <w:sz w:val="24"/>
          <w:szCs w:val="24"/>
        </w:rPr>
        <w:t xml:space="preserve">. 223-A até 223-G, não pode ser, naturalmente, meramente literalista, devendo observar, sem dúvida, os métodos científicos de interpretação jurídica, tais como o lógico-racional, o sistemático e o método teleológico. Dessa maneira, será possível se harmonizarem os preceitos inseridos, em dezembro de 2017, na CLT com o conjunto jurídico mais amplo, inclusive estampado na Constituição da República, nos diplomas internacionais sobre Direitos Humanos subscritos pelo Brasil (e que aqui ingressam com status de norma supralegal) e nos demais diplomas normativos que regulam a matéria, sejam situados dentro do Direito do Trabalho (como, por exemplo, as Leis nos. 9.029/1995 e 9.799/1999), sejam situados fora do Direito do Trabalho (Código Civil de 2002, por exemplo), porém aplicáveis à regência dos danos morais, inclusive estéticos, e, nessa medida, às relações trabalhistas. A ideia de juízo de equidade para a aferição do dano e fixação da correspondente reparação consta, em parte, do novo texto legal. Dessa maneira, os 12 elementos a serem </w:t>
      </w:r>
      <w:r w:rsidR="00A76E0D" w:rsidRPr="00A76E0D">
        <w:rPr>
          <w:rFonts w:ascii="Open Sans" w:hAnsi="Open Sans" w:cs="Open Sans"/>
          <w:sz w:val="24"/>
          <w:szCs w:val="24"/>
        </w:rPr>
        <w:lastRenderedPageBreak/>
        <w:t xml:space="preserve">considerados pelo Magistrado ao apreciar o pedido (especificados no art. 223-G, </w:t>
      </w:r>
      <w:r w:rsidR="00A76E0D" w:rsidRPr="00502B21">
        <w:rPr>
          <w:rFonts w:ascii="Open Sans" w:hAnsi="Open Sans" w:cs="Open Sans"/>
          <w:i/>
          <w:sz w:val="24"/>
          <w:szCs w:val="24"/>
        </w:rPr>
        <w:t>caput</w:t>
      </w:r>
      <w:r w:rsidR="00A76E0D" w:rsidRPr="00A76E0D">
        <w:rPr>
          <w:rFonts w:ascii="Open Sans" w:hAnsi="Open Sans" w:cs="Open Sans"/>
          <w:sz w:val="24"/>
          <w:szCs w:val="24"/>
        </w:rPr>
        <w:t xml:space="preserve"> e incisos I até XII, da CLT) direcionam-se à formação do juízo de equidade próprio ao julgamento desse tipo de litígio e pleito judiciais. Nesse aspecto, saliente-se que, em relação aos parâmetros para a fixação do quantum indenizatório dos danos extrapatrimoniais, o Supremo Tribunal Federal, no julgamento da ADI 6050, da relatoria do Min. Gilmar Mendes</w:t>
      </w:r>
      <w:r w:rsidR="00A76E0D">
        <w:rPr>
          <w:rFonts w:ascii="Open Sans" w:hAnsi="Open Sans" w:cs="Open Sans"/>
          <w:sz w:val="24"/>
          <w:szCs w:val="24"/>
        </w:rPr>
        <w:t>, firmou o entendimento de que ‘</w:t>
      </w:r>
      <w:r w:rsidR="00A76E0D" w:rsidRPr="00A76E0D">
        <w:rPr>
          <w:rFonts w:ascii="Open Sans" w:hAnsi="Open Sans" w:cs="Open Sans"/>
          <w:sz w:val="24"/>
          <w:szCs w:val="24"/>
        </w:rPr>
        <w:t xml:space="preserve">os critérios de quantificação de reparação por dano extrapatrimonial previstos no art. 223-G, </w:t>
      </w:r>
      <w:r w:rsidR="00A76E0D" w:rsidRPr="00502B21">
        <w:rPr>
          <w:rFonts w:ascii="Open Sans" w:hAnsi="Open Sans" w:cs="Open Sans"/>
          <w:i/>
          <w:sz w:val="24"/>
          <w:szCs w:val="24"/>
        </w:rPr>
        <w:t>caput</w:t>
      </w:r>
      <w:r w:rsidR="00A76E0D" w:rsidRPr="00A76E0D">
        <w:rPr>
          <w:rFonts w:ascii="Open Sans" w:hAnsi="Open Sans" w:cs="Open Sans"/>
          <w:sz w:val="24"/>
          <w:szCs w:val="24"/>
        </w:rPr>
        <w:t xml:space="preserve"> e §1º, da CLT deverão ser observados pelo julgador como critérios </w:t>
      </w:r>
      <w:proofErr w:type="spellStart"/>
      <w:r w:rsidR="00A76E0D" w:rsidRPr="00A76E0D">
        <w:rPr>
          <w:rFonts w:ascii="Open Sans" w:hAnsi="Open Sans" w:cs="Open Sans"/>
          <w:sz w:val="24"/>
          <w:szCs w:val="24"/>
        </w:rPr>
        <w:t>orientativos</w:t>
      </w:r>
      <w:proofErr w:type="spellEnd"/>
      <w:r w:rsidR="00A76E0D" w:rsidRPr="00A76E0D">
        <w:rPr>
          <w:rFonts w:ascii="Open Sans" w:hAnsi="Open Sans" w:cs="Open Sans"/>
          <w:sz w:val="24"/>
          <w:szCs w:val="24"/>
        </w:rPr>
        <w:t xml:space="preserve"> de fundamentação da decisão judicial</w:t>
      </w:r>
      <w:r w:rsidR="00A76E0D">
        <w:rPr>
          <w:rFonts w:ascii="Open Sans" w:hAnsi="Open Sans" w:cs="Open Sans"/>
          <w:sz w:val="24"/>
          <w:szCs w:val="24"/>
        </w:rPr>
        <w:t>’</w:t>
      </w:r>
      <w:r w:rsidR="00A76E0D" w:rsidRPr="00A76E0D">
        <w:rPr>
          <w:rFonts w:ascii="Open Sans" w:hAnsi="Open Sans" w:cs="Open Sans"/>
          <w:sz w:val="24"/>
          <w:szCs w:val="24"/>
        </w:rPr>
        <w:t>. Assentando ainda a Supr</w:t>
      </w:r>
      <w:r w:rsidR="00941256">
        <w:rPr>
          <w:rFonts w:ascii="Open Sans" w:hAnsi="Open Sans" w:cs="Open Sans"/>
          <w:sz w:val="24"/>
          <w:szCs w:val="24"/>
        </w:rPr>
        <w:t>ema Corte que é constitucional ‘</w:t>
      </w:r>
      <w:r w:rsidR="00A76E0D" w:rsidRPr="00A76E0D">
        <w:rPr>
          <w:rFonts w:ascii="Open Sans" w:hAnsi="Open Sans" w:cs="Open Sans"/>
          <w:sz w:val="24"/>
          <w:szCs w:val="24"/>
        </w:rPr>
        <w:t>o arbitramento judicial do dano em valores superior aos limites máximos dispostos nos incisos I a IV do § 1º do art. 223-G, quando consideradas as circunstâncias do caso concreto e os princípios da razoabilidade, da p</w:t>
      </w:r>
      <w:r w:rsidR="00941256">
        <w:rPr>
          <w:rFonts w:ascii="Open Sans" w:hAnsi="Open Sans" w:cs="Open Sans"/>
          <w:sz w:val="24"/>
          <w:szCs w:val="24"/>
        </w:rPr>
        <w:t>roporcionalidade e da igualdade’</w:t>
      </w:r>
      <w:r w:rsidR="00A76E0D" w:rsidRPr="00A76E0D">
        <w:rPr>
          <w:rFonts w:ascii="Open Sans" w:hAnsi="Open Sans" w:cs="Open Sans"/>
          <w:sz w:val="24"/>
          <w:szCs w:val="24"/>
        </w:rPr>
        <w:t xml:space="preserve">. Contudo, na hipótese, tem-se que o valor arbitrado pelo TRT a título de indenização por danos morais aparenta ser excessivamente módico, levando em consideração os elementos expostos no acórdão regional, tais como o fato de o Obreiro se encontrar no local do acidente, no momento em que ocorreu o sinistro; a angústia sofrida ante o iminente risco de morte; o abalo moral sofrido, em razão da angústia e desespero que a situação vivenciada lhe causou – ante a iminência de perder da própria vida e o compartilhamento da tristeza e do luto coletivo pela perda da vida dos colegas de trabalho; o nexo causal entre o acidente e o dano sofrido pelo Empregado; a culpa das Reclamadas (praticaram conduta que provocou o abalo emocional do Obreiro); o descaso das Reclamadas com relação aos riscos de acidente, uma vez que não adotaram medidas preventivas adequadas para contenção da barragem; a gravidade dos efeitos do acidente, considerado um dos maiores desastres ambientais do Brasil, inclusive, com a perda de centenas de vidas humanas; o porte das Reclamadas, o não enriquecimento indevido do ofendido, o caráter pedagógico da medida e os parâmetros fixados nesta turma para situações congêneres. Entretanto, tratando-se de recurso da empresa e sendo ela favorecida pelo princípio da </w:t>
      </w:r>
      <w:r w:rsidR="00A76E0D" w:rsidRPr="00A76E0D">
        <w:rPr>
          <w:rFonts w:ascii="Open Sans" w:hAnsi="Open Sans" w:cs="Open Sans"/>
          <w:i/>
          <w:sz w:val="24"/>
          <w:szCs w:val="24"/>
        </w:rPr>
        <w:t>non reformatio in pejus</w:t>
      </w:r>
      <w:r w:rsidR="00A76E0D" w:rsidRPr="00A76E0D">
        <w:rPr>
          <w:rFonts w:ascii="Open Sans" w:hAnsi="Open Sans" w:cs="Open Sans"/>
          <w:sz w:val="24"/>
          <w:szCs w:val="24"/>
        </w:rPr>
        <w:t>, mantém-se, por razões processuais, o montante fixado na decisão recorrida. Observe-se, por relevante, que não houve interposição, por parte do Reclamante, de recurso de revista quanto ao valor arbitrado para a indenização por danos morais. Assim, reputa-se que a causa não oferece transcendência com relação aos reflexos de natureza econômica, política, social ou jurídica, nos termos do art. 896-A, § 1º, da CLT. Agravo de instrumento desprovido no tema.</w:t>
      </w:r>
      <w:r>
        <w:rPr>
          <w:rFonts w:ascii="Open Sans" w:hAnsi="Open Sans" w:cs="Open Sans"/>
          <w:sz w:val="24"/>
          <w:szCs w:val="24"/>
        </w:rPr>
        <w:t xml:space="preserve"> </w:t>
      </w:r>
      <w:r w:rsidR="00A76E0D">
        <w:rPr>
          <w:rFonts w:ascii="Open Sans" w:hAnsi="Open Sans" w:cs="Open Sans"/>
          <w:sz w:val="24"/>
          <w:szCs w:val="24"/>
        </w:rPr>
        <w:t>[...]</w:t>
      </w:r>
      <w:r w:rsidR="004905F5">
        <w:rPr>
          <w:rFonts w:ascii="Open Sans" w:hAnsi="Open Sans" w:cs="Open Sans"/>
          <w:sz w:val="24"/>
          <w:szCs w:val="24"/>
        </w:rPr>
        <w:t xml:space="preserve">” </w:t>
      </w:r>
      <w:r w:rsidR="004905F5" w:rsidRPr="004905F5">
        <w:rPr>
          <w:rFonts w:ascii="Open Sans" w:hAnsi="Open Sans" w:cs="Open Sans"/>
          <w:sz w:val="24"/>
          <w:szCs w:val="24"/>
        </w:rPr>
        <w:t>(</w:t>
      </w:r>
      <w:hyperlink r:id="rId23" w:history="1">
        <w:r w:rsidR="004905F5" w:rsidRPr="00311CF2">
          <w:rPr>
            <w:rStyle w:val="Hyperlink"/>
            <w:rFonts w:ascii="Open Sans" w:hAnsi="Open Sans" w:cs="Open Sans"/>
            <w:sz w:val="24"/>
            <w:szCs w:val="24"/>
          </w:rPr>
          <w:t>TST-RRAg-10857-54.2021.5.03.0069, 3ª Turma, Rel. Min.</w:t>
        </w:r>
        <w:r w:rsidR="0016077F">
          <w:rPr>
            <w:rStyle w:val="Hyperlink"/>
            <w:rFonts w:ascii="Open Sans" w:hAnsi="Open Sans" w:cs="Open Sans"/>
            <w:sz w:val="24"/>
            <w:szCs w:val="24"/>
          </w:rPr>
          <w:t xml:space="preserve"> Maurí</w:t>
        </w:r>
        <w:r w:rsidR="004905F5" w:rsidRPr="00311CF2">
          <w:rPr>
            <w:rStyle w:val="Hyperlink"/>
            <w:rFonts w:ascii="Open Sans" w:hAnsi="Open Sans" w:cs="Open Sans"/>
            <w:sz w:val="24"/>
            <w:szCs w:val="24"/>
          </w:rPr>
          <w:t>cio Godinho Delgado, julgado em 29/4/2026</w:t>
        </w:r>
      </w:hyperlink>
      <w:r w:rsidR="004905F5" w:rsidRPr="004905F5">
        <w:rPr>
          <w:rFonts w:ascii="Open Sans" w:hAnsi="Open Sans" w:cs="Open Sans"/>
          <w:sz w:val="24"/>
          <w:szCs w:val="24"/>
        </w:rPr>
        <w:t>)</w:t>
      </w:r>
    </w:p>
    <w:p w:rsidR="00311CF2" w:rsidRDefault="00311CF2" w:rsidP="004905F5">
      <w:pPr>
        <w:widowControl w:val="0"/>
        <w:suppressAutoHyphens/>
        <w:ind w:left="-255" w:right="340"/>
        <w:jc w:val="both"/>
        <w:rPr>
          <w:rFonts w:ascii="Open Sans" w:hAnsi="Open Sans" w:cs="Open Sans"/>
          <w:b/>
          <w:color w:val="FF0000"/>
          <w:sz w:val="24"/>
          <w:szCs w:val="24"/>
        </w:rPr>
      </w:pPr>
    </w:p>
    <w:p w:rsidR="004905F5" w:rsidRDefault="00D143F7" w:rsidP="001F1A7C">
      <w:pPr>
        <w:widowControl w:val="0"/>
        <w:suppressAutoHyphens/>
        <w:ind w:left="-255" w:right="340"/>
        <w:jc w:val="both"/>
        <w:rPr>
          <w:rFonts w:ascii="Open Sans" w:hAnsi="Open Sans" w:cs="Open Sans"/>
          <w:sz w:val="24"/>
          <w:szCs w:val="24"/>
        </w:rPr>
      </w:pPr>
      <w:r>
        <w:rPr>
          <w:rFonts w:ascii="Open Sans" w:hAnsi="Open Sans" w:cs="Open Sans"/>
          <w:sz w:val="24"/>
          <w:szCs w:val="24"/>
        </w:rPr>
        <w:t>“</w:t>
      </w:r>
      <w:r w:rsidR="00311CF2" w:rsidRPr="00311CF2">
        <w:rPr>
          <w:rFonts w:ascii="Open Sans" w:hAnsi="Open Sans" w:cs="Open Sans"/>
          <w:sz w:val="24"/>
          <w:szCs w:val="24"/>
        </w:rPr>
        <w:t>I. AGRAVO DE INSTRUMENTO EM RECURSO DE REVISTA. A) ADICIONAL DE INSALUBRIDADE</w:t>
      </w:r>
      <w:r>
        <w:rPr>
          <w:rFonts w:ascii="Open Sans" w:hAnsi="Open Sans" w:cs="Open Sans"/>
          <w:sz w:val="24"/>
          <w:szCs w:val="24"/>
        </w:rPr>
        <w:t xml:space="preserve">. PAUTA TEMÁTICA - 29/04/2026 </w:t>
      </w:r>
      <w:r w:rsidRPr="00311CF2">
        <w:rPr>
          <w:rFonts w:ascii="Open Sans" w:hAnsi="Open Sans" w:cs="Open Sans"/>
          <w:sz w:val="24"/>
          <w:szCs w:val="24"/>
        </w:rPr>
        <w:t>-</w:t>
      </w:r>
      <w:r>
        <w:rPr>
          <w:rFonts w:ascii="Open Sans" w:hAnsi="Open Sans" w:cs="Open Sans"/>
          <w:sz w:val="24"/>
          <w:szCs w:val="24"/>
        </w:rPr>
        <w:t xml:space="preserve"> </w:t>
      </w:r>
      <w:r w:rsidR="00311CF2" w:rsidRPr="00311CF2">
        <w:rPr>
          <w:rFonts w:ascii="Open Sans" w:hAnsi="Open Sans" w:cs="Open Sans"/>
          <w:sz w:val="24"/>
          <w:szCs w:val="24"/>
        </w:rPr>
        <w:t>ABRIL VERDE - CAMPANHA NACIONAL DE CONSCIENTIZAÇÃO SOBRE SAÚDE E SEGURANÇA DO TRABALHO.</w:t>
      </w:r>
      <w:r>
        <w:rPr>
          <w:rFonts w:ascii="Open Sans" w:hAnsi="Open Sans" w:cs="Open Sans"/>
          <w:sz w:val="24"/>
          <w:szCs w:val="24"/>
        </w:rPr>
        <w:t xml:space="preserve"> </w:t>
      </w:r>
      <w:r w:rsidR="00311CF2" w:rsidRPr="00311CF2">
        <w:rPr>
          <w:rFonts w:ascii="Open Sans" w:hAnsi="Open Sans" w:cs="Open Sans"/>
          <w:sz w:val="24"/>
          <w:szCs w:val="24"/>
        </w:rPr>
        <w:t xml:space="preserve">IMPACTO DAS MUDANÇAS CLIMÁTICAS NAS RELAÇÕES DE TRABALHO. ESTRESSE TÉRMICO. EXPOSIÇÃO A CALOR EXCESSIVO. GRAVES RISCOS DE ACIDENTES DE TRABALHO E DOENÇA OCUPACIONAL. OBJETIVOS DA AGENDA 2030 E COP30/2025. PROTEÇÃO INAFASTÁVEL DA SAÚDE E SEGURANÇA NO TRABALHO. ARTIGO 7º, XXII E XXVI DA CONSTITUIÇÃO FEDERAL, CONVENÇÕES Nº 155 E 187 DA OIT. NR-15. LAUDO PERICIAL. IBUTG ACIMA DO LIMITE DE TOLERÂNCIA. SÚMULA Nº 126 DO TST. </w:t>
      </w:r>
      <w:proofErr w:type="gramStart"/>
      <w:r w:rsidR="00311CF2" w:rsidRPr="00311CF2">
        <w:rPr>
          <w:rFonts w:ascii="Open Sans" w:hAnsi="Open Sans" w:cs="Open Sans"/>
          <w:sz w:val="24"/>
          <w:szCs w:val="24"/>
        </w:rPr>
        <w:t>1</w:t>
      </w:r>
      <w:proofErr w:type="gramEnd"/>
      <w:r w:rsidR="00311CF2" w:rsidRPr="00311CF2">
        <w:rPr>
          <w:rFonts w:ascii="Open Sans" w:hAnsi="Open Sans" w:cs="Open Sans"/>
          <w:sz w:val="24"/>
          <w:szCs w:val="24"/>
        </w:rPr>
        <w:t xml:space="preserve">. O </w:t>
      </w:r>
      <w:r w:rsidR="00311CF2" w:rsidRPr="00311CF2">
        <w:rPr>
          <w:rFonts w:ascii="Open Sans" w:hAnsi="Open Sans" w:cs="Open Sans"/>
          <w:sz w:val="24"/>
          <w:szCs w:val="24"/>
        </w:rPr>
        <w:lastRenderedPageBreak/>
        <w:t>Tribunal Regional, com base no laudo pericial, concluiu que o reclamante laborava de forma habitual e permanente em condições insalubres, em grau médio, em razão da exposição aos agentes físicos ruído e calor, nos termos dos Anexos 1, 2 e 3 da NR-15. 2. Neste contexto, a discussão coloca em relevo os impactos que o estresse térmico gera à saúde dos trabalhadores em razão de sua exposição a temperaturas excessivamente baixas ou elevadas. Trata-se, ainda, de temática que se associa aos efeitos das mudanças climáticas nos</w:t>
      </w:r>
      <w:r>
        <w:rPr>
          <w:rFonts w:ascii="Open Sans" w:hAnsi="Open Sans" w:cs="Open Sans"/>
          <w:sz w:val="24"/>
          <w:szCs w:val="24"/>
        </w:rPr>
        <w:t xml:space="preserve"> diversos setores da sociedade -</w:t>
      </w:r>
      <w:r w:rsidR="00311CF2" w:rsidRPr="00311CF2">
        <w:rPr>
          <w:rFonts w:ascii="Open Sans" w:hAnsi="Open Sans" w:cs="Open Sans"/>
          <w:sz w:val="24"/>
          <w:szCs w:val="24"/>
        </w:rPr>
        <w:t xml:space="preserve"> aspecto considerado como uma das dez principais ameaças para a saúde global, conforme apurado pela Organização Mundial de Saúde e os relatórios antecedentes à COP30-Belém (PA)/Brasil (30ª Conferência das Nações Unidas sobre Mudança</w:t>
      </w:r>
      <w:r>
        <w:rPr>
          <w:rFonts w:ascii="Open Sans" w:hAnsi="Open Sans" w:cs="Open Sans"/>
          <w:sz w:val="24"/>
          <w:szCs w:val="24"/>
        </w:rPr>
        <w:t xml:space="preserve"> do Clima). 3. Nesse sentido, ‘</w:t>
      </w:r>
      <w:r w:rsidR="00311CF2" w:rsidRPr="00311CF2">
        <w:rPr>
          <w:rFonts w:ascii="Open Sans" w:hAnsi="Open Sans" w:cs="Open Sans"/>
          <w:sz w:val="24"/>
          <w:szCs w:val="24"/>
        </w:rPr>
        <w:t>as mudanças climáticas são um problema global com graves implicações ambientais, sociais, econômicas, distributivas e políticas, constituindo atualmente um dos principa</w:t>
      </w:r>
      <w:r>
        <w:rPr>
          <w:rFonts w:ascii="Open Sans" w:hAnsi="Open Sans" w:cs="Open Sans"/>
          <w:sz w:val="24"/>
          <w:szCs w:val="24"/>
        </w:rPr>
        <w:t>is desafios para a humanidade .’</w:t>
      </w:r>
      <w:r w:rsidR="00311CF2" w:rsidRPr="00311CF2">
        <w:rPr>
          <w:rFonts w:ascii="Open Sans" w:hAnsi="Open Sans" w:cs="Open Sans"/>
          <w:sz w:val="24"/>
          <w:szCs w:val="24"/>
        </w:rPr>
        <w:t xml:space="preserve"> (FRANCISCO, Papa) 4. A superação desse desafio depende do engajamento na busca de soluções concretas para a superação da crise ambiental, que também se projeta sobre o mundo do trabalho. </w:t>
      </w:r>
      <w:r w:rsidR="00941256">
        <w:rPr>
          <w:rFonts w:ascii="Open Sans" w:hAnsi="Open Sans" w:cs="Open Sans"/>
          <w:sz w:val="24"/>
          <w:szCs w:val="24"/>
        </w:rPr>
        <w:t>Para tanto, é necessária, uma ‘nova solidariedade universal’</w:t>
      </w:r>
      <w:r w:rsidR="00311CF2" w:rsidRPr="00311CF2">
        <w:rPr>
          <w:rFonts w:ascii="Open Sans" w:hAnsi="Open Sans" w:cs="Open Sans"/>
          <w:sz w:val="24"/>
          <w:szCs w:val="24"/>
        </w:rPr>
        <w:t>, conforme propunha o saudoso P</w:t>
      </w:r>
      <w:r>
        <w:rPr>
          <w:rFonts w:ascii="Open Sans" w:hAnsi="Open Sans" w:cs="Open Sans"/>
          <w:sz w:val="24"/>
          <w:szCs w:val="24"/>
        </w:rPr>
        <w:t xml:space="preserve">apa </w:t>
      </w:r>
      <w:proofErr w:type="spellStart"/>
      <w:r>
        <w:rPr>
          <w:rFonts w:ascii="Open Sans" w:hAnsi="Open Sans" w:cs="Open Sans"/>
          <w:sz w:val="24"/>
          <w:szCs w:val="24"/>
        </w:rPr>
        <w:t>Fransciso</w:t>
      </w:r>
      <w:proofErr w:type="spellEnd"/>
      <w:r>
        <w:rPr>
          <w:rFonts w:ascii="Open Sans" w:hAnsi="Open Sans" w:cs="Open Sans"/>
          <w:sz w:val="24"/>
          <w:szCs w:val="24"/>
        </w:rPr>
        <w:t xml:space="preserve"> em sua </w:t>
      </w:r>
      <w:proofErr w:type="spellStart"/>
      <w:r w:rsidRPr="007A54E0">
        <w:rPr>
          <w:rFonts w:ascii="Open Sans" w:hAnsi="Open Sans" w:cs="Open Sans"/>
          <w:i/>
          <w:sz w:val="24"/>
          <w:szCs w:val="24"/>
        </w:rPr>
        <w:t>Laudato</w:t>
      </w:r>
      <w:proofErr w:type="spellEnd"/>
      <w:r w:rsidRPr="007A54E0">
        <w:rPr>
          <w:rFonts w:ascii="Open Sans" w:hAnsi="Open Sans" w:cs="Open Sans"/>
          <w:i/>
          <w:sz w:val="24"/>
          <w:szCs w:val="24"/>
        </w:rPr>
        <w:t xml:space="preserve"> Si</w:t>
      </w:r>
      <w:r>
        <w:rPr>
          <w:rFonts w:ascii="Open Sans" w:hAnsi="Open Sans" w:cs="Open Sans"/>
          <w:sz w:val="24"/>
          <w:szCs w:val="24"/>
        </w:rPr>
        <w:t>´</w:t>
      </w:r>
      <w:r w:rsidR="00311CF2" w:rsidRPr="00311CF2">
        <w:rPr>
          <w:rFonts w:ascii="Open Sans" w:hAnsi="Open Sans" w:cs="Open Sans"/>
          <w:sz w:val="24"/>
          <w:szCs w:val="24"/>
        </w:rPr>
        <w:t xml:space="preserve">, em que o mundo do trabalho e o Poder </w:t>
      </w:r>
      <w:proofErr w:type="gramStart"/>
      <w:r w:rsidR="00311CF2" w:rsidRPr="00311CF2">
        <w:rPr>
          <w:rFonts w:ascii="Open Sans" w:hAnsi="Open Sans" w:cs="Open Sans"/>
          <w:sz w:val="24"/>
          <w:szCs w:val="24"/>
        </w:rPr>
        <w:t>Judiciário também estejam</w:t>
      </w:r>
      <w:proofErr w:type="gramEnd"/>
      <w:r w:rsidR="00311CF2" w:rsidRPr="00311CF2">
        <w:rPr>
          <w:rFonts w:ascii="Open Sans" w:hAnsi="Open Sans" w:cs="Open Sans"/>
          <w:sz w:val="24"/>
          <w:szCs w:val="24"/>
        </w:rPr>
        <w:t xml:space="preserve"> inseridos. 5. A esse respeito, a meta nº 8.8 da Agenda 2030 da Organização das Nações Unidas para o Desen</w:t>
      </w:r>
      <w:r>
        <w:rPr>
          <w:rFonts w:ascii="Open Sans" w:hAnsi="Open Sans" w:cs="Open Sans"/>
          <w:sz w:val="24"/>
          <w:szCs w:val="24"/>
        </w:rPr>
        <w:t>volvimento Sustentável é a de ‘</w:t>
      </w:r>
      <w:r w:rsidR="00311CF2" w:rsidRPr="00311CF2">
        <w:rPr>
          <w:rFonts w:ascii="Open Sans" w:hAnsi="Open Sans" w:cs="Open Sans"/>
          <w:sz w:val="24"/>
          <w:szCs w:val="24"/>
        </w:rPr>
        <w:t>Proteger os direitos trabalhistas e promover ambientes de trabalho seguros e protegidos para todos os trabalhadores, incluindo os trabalhadores migrantes, em particular as mulheres migrantes, e</w:t>
      </w:r>
      <w:r>
        <w:rPr>
          <w:rFonts w:ascii="Open Sans" w:hAnsi="Open Sans" w:cs="Open Sans"/>
          <w:sz w:val="24"/>
          <w:szCs w:val="24"/>
        </w:rPr>
        <w:t xml:space="preserve"> pessoas em empregos precários’</w:t>
      </w:r>
      <w:r w:rsidR="00311CF2" w:rsidRPr="00311CF2">
        <w:rPr>
          <w:rFonts w:ascii="Open Sans" w:hAnsi="Open Sans" w:cs="Open Sans"/>
          <w:sz w:val="24"/>
          <w:szCs w:val="24"/>
        </w:rPr>
        <w:t>. 6. Ainda, a proteção à saúde e à segurança no trabalho e, por conseguinte, o direito dos trabalhadores (as) um ambiente laboral livre de riscos passou a integrar o importante rol de princípios e direitos fundamentais da OIT, em 2022 (OIT, 2022). Assim, trata-se de disposição de observância obrigatória para todos os países que integram a OIT, ainda que não tenham ratificado as respectivas convenções sobre o tema. 7. A inclusão desse quinto princípio no rol daqueles considerados fundamentais pela organização especializada mais antiga das Nações Unidas coloca em destaque a importância da adoção de medidas preventivas contra acidentes no meio ambiente de trabalho. Na linha dos demais pr</w:t>
      </w:r>
      <w:r>
        <w:rPr>
          <w:rFonts w:ascii="Open Sans" w:hAnsi="Open Sans" w:cs="Open Sans"/>
          <w:sz w:val="24"/>
          <w:szCs w:val="24"/>
        </w:rPr>
        <w:t>incípios fundamentais da OIT, ‘Saúde e Segurança no Trabalho’</w:t>
      </w:r>
      <w:r w:rsidR="00311CF2" w:rsidRPr="00311CF2">
        <w:rPr>
          <w:rFonts w:ascii="Open Sans" w:hAnsi="Open Sans" w:cs="Open Sans"/>
          <w:sz w:val="24"/>
          <w:szCs w:val="24"/>
        </w:rPr>
        <w:t xml:space="preserve"> tem por escopo as previsões normativas das Convenções nº 155 (Segurança e Saúde dos Trabalhadores) e nº 187 (o Quadro Promocional para a Segurança e a Saúde no Trabalho), da OIT. 8. Na Convenção nº 155 da OIT, ratificada pelo Brasil em 1992, os países membros são incentivados a formular políticas estatais com o objetivo de, entre outros, prevenir os acidentes e os danos à saúde que forem consequência do trabalho tenham relação com a atividade de trabalho, ou se apresentarem durante o trabalho, reduzindo ao mínimo, na medida em que for razoável e possível, as causas dos riscos inerentes ao meio-ambiente de trabalho. (OIT, 1992). Ainda, a Convenção nº 155 da OIT prevê ações a nível empresarial com o objetivo tanto de prevenir acidentes e doenças ocupacionais, quanto de proporcionar os meios necessários para reduzir os efeitos prejudiciais à saúde. 9. No mesmo sentido, a Convenção nº 187 da OIT, ainda não ratificada pelo Brasil, mas de conteúdo cogente por integrar o </w:t>
      </w:r>
      <w:r w:rsidR="00311CF2" w:rsidRPr="00D143F7">
        <w:rPr>
          <w:rFonts w:ascii="Open Sans" w:hAnsi="Open Sans" w:cs="Open Sans"/>
          <w:i/>
          <w:sz w:val="24"/>
          <w:szCs w:val="24"/>
        </w:rPr>
        <w:t xml:space="preserve">core </w:t>
      </w:r>
      <w:proofErr w:type="spellStart"/>
      <w:r w:rsidR="00311CF2" w:rsidRPr="00D143F7">
        <w:rPr>
          <w:rFonts w:ascii="Open Sans" w:hAnsi="Open Sans" w:cs="Open Sans"/>
          <w:i/>
          <w:sz w:val="24"/>
          <w:szCs w:val="24"/>
        </w:rPr>
        <w:t>obligation</w:t>
      </w:r>
      <w:proofErr w:type="spellEnd"/>
      <w:r w:rsidR="00311CF2" w:rsidRPr="00311CF2">
        <w:rPr>
          <w:rFonts w:ascii="Open Sans" w:hAnsi="Open Sans" w:cs="Open Sans"/>
          <w:sz w:val="24"/>
          <w:szCs w:val="24"/>
        </w:rPr>
        <w:t xml:space="preserve"> da organização, delimita, entre outros, ser responsabilidade de cada membro promover a melhoria contínua da segurança e saúde no trabalho para prevenir as lesões e doenças profissionais. 10. No âmbito interno, o meio ambiente de trabalho foi alçado a direito </w:t>
      </w:r>
      <w:r w:rsidR="00311CF2" w:rsidRPr="00311CF2">
        <w:rPr>
          <w:rFonts w:ascii="Open Sans" w:hAnsi="Open Sans" w:cs="Open Sans"/>
          <w:sz w:val="24"/>
          <w:szCs w:val="24"/>
        </w:rPr>
        <w:lastRenderedPageBreak/>
        <w:t>fundamental do trabalhador pelos artigos 1º, III, 7º, XXII, 196, 200, incisos II e VIII, e 225, da Constituição Federal de 1988. A esse respeito, inclusive, já se pronunciou o Tri</w:t>
      </w:r>
      <w:r>
        <w:rPr>
          <w:rFonts w:ascii="Open Sans" w:hAnsi="Open Sans" w:cs="Open Sans"/>
          <w:sz w:val="24"/>
          <w:szCs w:val="24"/>
        </w:rPr>
        <w:t>bunal Pleno da Suprema Corte: ‘</w:t>
      </w:r>
      <w:r w:rsidR="00311CF2" w:rsidRPr="00311CF2">
        <w:rPr>
          <w:rFonts w:ascii="Open Sans" w:hAnsi="Open Sans" w:cs="Open Sans"/>
          <w:sz w:val="24"/>
          <w:szCs w:val="24"/>
        </w:rPr>
        <w:t xml:space="preserve">A eliminação das atividades laborais nocivas deve ser a meta maior da Sociedade - Estado, empresariado, trabalhadores e representantes sindicais -, que devem voltar-se incessantemente para com a defesa da saúde dos trabalhadores, como enuncia a Constituição da República, ao erigir como pilares do Estado Democrático de Direito a dignidade humana (art. 1º, III, CRFB/88), a valorização social do trabalho, a preservação da vida e da saúde (art. 3º, 5º, e 196, CRFB/88), e o meio ambiente de trabalho equilibrado (art. 193, e 225, CRFB/88). (ARE </w:t>
      </w:r>
      <w:proofErr w:type="gramStart"/>
      <w:r w:rsidR="00311CF2" w:rsidRPr="00311CF2">
        <w:rPr>
          <w:rFonts w:ascii="Open Sans" w:hAnsi="Open Sans" w:cs="Open Sans"/>
          <w:sz w:val="24"/>
          <w:szCs w:val="24"/>
        </w:rPr>
        <w:t>664335 - Repercussão</w:t>
      </w:r>
      <w:proofErr w:type="gramEnd"/>
      <w:r w:rsidR="00311CF2" w:rsidRPr="00311CF2">
        <w:rPr>
          <w:rFonts w:ascii="Open Sans" w:hAnsi="Open Sans" w:cs="Open Sans"/>
          <w:sz w:val="24"/>
          <w:szCs w:val="24"/>
        </w:rPr>
        <w:t xml:space="preserve"> Geral nº Tema 555 - </w:t>
      </w:r>
      <w:proofErr w:type="spellStart"/>
      <w:r w:rsidR="00311CF2" w:rsidRPr="00311CF2">
        <w:rPr>
          <w:rFonts w:ascii="Open Sans" w:hAnsi="Open Sans" w:cs="Open Sans"/>
          <w:sz w:val="24"/>
          <w:szCs w:val="24"/>
        </w:rPr>
        <w:t>Orgão</w:t>
      </w:r>
      <w:proofErr w:type="spellEnd"/>
      <w:r w:rsidR="00311CF2" w:rsidRPr="00311CF2">
        <w:rPr>
          <w:rFonts w:ascii="Open Sans" w:hAnsi="Open Sans" w:cs="Open Sans"/>
          <w:sz w:val="24"/>
          <w:szCs w:val="24"/>
        </w:rPr>
        <w:t xml:space="preserve"> julgador: Tribunal Ple</w:t>
      </w:r>
      <w:r>
        <w:rPr>
          <w:rFonts w:ascii="Open Sans" w:hAnsi="Open Sans" w:cs="Open Sans"/>
          <w:sz w:val="24"/>
          <w:szCs w:val="24"/>
        </w:rPr>
        <w:t>no - Relator(a): Min. LUIZ FUX -</w:t>
      </w:r>
      <w:r w:rsidR="00311CF2" w:rsidRPr="00311CF2">
        <w:rPr>
          <w:rFonts w:ascii="Open Sans" w:hAnsi="Open Sans" w:cs="Open Sans"/>
          <w:sz w:val="24"/>
          <w:szCs w:val="24"/>
        </w:rPr>
        <w:t xml:space="preserve"> Julgamento: 04/12/</w:t>
      </w:r>
      <w:r>
        <w:rPr>
          <w:rFonts w:ascii="Open Sans" w:hAnsi="Open Sans" w:cs="Open Sans"/>
          <w:sz w:val="24"/>
          <w:szCs w:val="24"/>
        </w:rPr>
        <w:t>2014 Publicação: 12/02/2015)’</w:t>
      </w:r>
      <w:r w:rsidR="00311CF2" w:rsidRPr="00311CF2">
        <w:rPr>
          <w:rFonts w:ascii="Open Sans" w:hAnsi="Open Sans" w:cs="Open Sans"/>
          <w:sz w:val="24"/>
          <w:szCs w:val="24"/>
        </w:rPr>
        <w:t xml:space="preserve">. 11. Ainda, o dever de adoção das medidas que visam à prevenção de acidentes e doenças decorrentes do trabalho encontra escopo nos artigos 7º, XXII, da CF; </w:t>
      </w:r>
      <w:proofErr w:type="spellStart"/>
      <w:r w:rsidR="00311CF2" w:rsidRPr="00311CF2">
        <w:rPr>
          <w:rFonts w:ascii="Open Sans" w:hAnsi="Open Sans" w:cs="Open Sans"/>
          <w:sz w:val="24"/>
          <w:szCs w:val="24"/>
        </w:rPr>
        <w:t>arts</w:t>
      </w:r>
      <w:proofErr w:type="spellEnd"/>
      <w:r w:rsidR="00311CF2" w:rsidRPr="00311CF2">
        <w:rPr>
          <w:rFonts w:ascii="Open Sans" w:hAnsi="Open Sans" w:cs="Open Sans"/>
          <w:sz w:val="24"/>
          <w:szCs w:val="24"/>
        </w:rPr>
        <w:t xml:space="preserve">. 154 e 157 da CLT. Além disso, a NR </w:t>
      </w:r>
      <w:proofErr w:type="gramStart"/>
      <w:r w:rsidR="00311CF2" w:rsidRPr="00311CF2">
        <w:rPr>
          <w:rFonts w:ascii="Open Sans" w:hAnsi="Open Sans" w:cs="Open Sans"/>
          <w:sz w:val="24"/>
          <w:szCs w:val="24"/>
        </w:rPr>
        <w:t>6</w:t>
      </w:r>
      <w:proofErr w:type="gramEnd"/>
      <w:r w:rsidR="00311CF2" w:rsidRPr="00311CF2">
        <w:rPr>
          <w:rFonts w:ascii="Open Sans" w:hAnsi="Open Sans" w:cs="Open Sans"/>
          <w:sz w:val="24"/>
          <w:szCs w:val="24"/>
        </w:rPr>
        <w:t xml:space="preserve"> determina que os empregadores forneçam equipamentos de proteção individual para prevenir acidentes de trabalho e doenças ocupacionais. 12. Por sua vez, a Norma Regulamentadora nº 1, item 1.7 dispõe ser obrigação do empregador não só adotar ferramentas para oferecer um ambiente de trabalho seguro e equilibrado, como também cientificar os trabalhadores desses riscos. 13. Na mesma esteira, referida NR (NR-1) foi alterada em agosto de 2024, com vigência a partir de 26/5/2025, para incluir no rol do gerenciamento de riscos ocupacionais também aos fatores psicossociais. 14. Com efeito, a OIT considera como fatores psicossociais a interação entre ambiente, conteúdo e condições de trabalho, capacidade dos trabalhadores de atender as demandas de trabalho, necessidades e expectativas dos trabalhadores, cultura e fatores pessoais e </w:t>
      </w:r>
      <w:proofErr w:type="spellStart"/>
      <w:r w:rsidR="00311CF2" w:rsidRPr="00311CF2">
        <w:rPr>
          <w:rFonts w:ascii="Open Sans" w:hAnsi="Open Sans" w:cs="Open Sans"/>
          <w:sz w:val="24"/>
          <w:szCs w:val="24"/>
        </w:rPr>
        <w:t>extralaborais</w:t>
      </w:r>
      <w:proofErr w:type="spellEnd"/>
      <w:r w:rsidR="00311CF2" w:rsidRPr="00311CF2">
        <w:rPr>
          <w:rFonts w:ascii="Open Sans" w:hAnsi="Open Sans" w:cs="Open Sans"/>
          <w:sz w:val="24"/>
          <w:szCs w:val="24"/>
        </w:rPr>
        <w:t>. Dependendo da forma como estes aspectos são percebidos ou vivenciados, eles podem afetar a saúde, o desempenho e a satisfação no trabalho. 15. Dessa forma, referidos riscos são condições de trabalho derivadas da organização do trabalho, para os quais se tem evidência científica de que prejudicam a saúde dos trabalhad</w:t>
      </w:r>
      <w:r>
        <w:rPr>
          <w:rFonts w:ascii="Open Sans" w:hAnsi="Open Sans" w:cs="Open Sans"/>
          <w:sz w:val="24"/>
          <w:szCs w:val="24"/>
        </w:rPr>
        <w:t>ores e trabalhadoras. Isto é, ‘</w:t>
      </w:r>
      <w:proofErr w:type="spellStart"/>
      <w:r>
        <w:rPr>
          <w:rFonts w:ascii="Open Sans" w:hAnsi="Open Sans" w:cs="Open Sans"/>
          <w:sz w:val="24"/>
          <w:szCs w:val="24"/>
        </w:rPr>
        <w:t>psico</w:t>
      </w:r>
      <w:proofErr w:type="spellEnd"/>
      <w:r>
        <w:rPr>
          <w:rFonts w:ascii="Open Sans" w:hAnsi="Open Sans" w:cs="Open Sans"/>
          <w:sz w:val="24"/>
          <w:szCs w:val="24"/>
        </w:rPr>
        <w:t>’</w:t>
      </w:r>
      <w:r w:rsidR="00311CF2" w:rsidRPr="00311CF2">
        <w:rPr>
          <w:rFonts w:ascii="Open Sans" w:hAnsi="Open Sans" w:cs="Open Sans"/>
          <w:sz w:val="24"/>
          <w:szCs w:val="24"/>
        </w:rPr>
        <w:t xml:space="preserve"> porque nos afetam através da psique (conjunto </w:t>
      </w:r>
      <w:r>
        <w:rPr>
          <w:rFonts w:ascii="Open Sans" w:hAnsi="Open Sans" w:cs="Open Sans"/>
          <w:sz w:val="24"/>
          <w:szCs w:val="24"/>
        </w:rPr>
        <w:t xml:space="preserve">de atos e funções da mente) e ‘social’ </w:t>
      </w:r>
      <w:r w:rsidR="00311CF2" w:rsidRPr="00311CF2">
        <w:rPr>
          <w:rFonts w:ascii="Open Sans" w:hAnsi="Open Sans" w:cs="Open Sans"/>
          <w:sz w:val="24"/>
          <w:szCs w:val="24"/>
        </w:rPr>
        <w:t>porque sua origem é social: determinadas características da organização do trabalho. 16. Assim, os riscos psicossociais e o estresse relacionados ao trabalho podem conduzir a comportamentos que afetam a saúde, além de possuírem potencial de induzir ao uso de substâncias psicoativas e consumo abusivo de álcool, distúrbios do sono e excesso de peso . 17. No que se refere à proteção dos trabalhadores quanto aos im</w:t>
      </w:r>
      <w:r>
        <w:rPr>
          <w:rFonts w:ascii="Open Sans" w:hAnsi="Open Sans" w:cs="Open Sans"/>
          <w:sz w:val="24"/>
          <w:szCs w:val="24"/>
        </w:rPr>
        <w:t xml:space="preserve">pactos dos eventos climáticos - </w:t>
      </w:r>
      <w:r w:rsidR="00311CF2" w:rsidRPr="00311CF2">
        <w:rPr>
          <w:rFonts w:ascii="Open Sans" w:hAnsi="Open Sans" w:cs="Open Sans"/>
          <w:sz w:val="24"/>
          <w:szCs w:val="24"/>
        </w:rPr>
        <w:t xml:space="preserve">potenciais geradores, inclusive, de estresse térmico-, a Convenção nº 174 da OIT (Prevenção de acidentes industriais maiores) proporciona, entre outros, ensejos importantes para a proteção de toda a sociedade quanto aos impactos da exposição a agentes ambientais nocivos à saúde ou potencialmente geradores de acidentes industriais graves. 18. Com efeito, de acordo com a OIT, mais de 2,4 bilhões de trabalhadores(as) (de uma força de trabalho global de 3,4 bilhões) estão provavelmente expostos ao calor excessivo em algum momento do seu trabalho (estresse térmico), conforme números mais recentes disponíveis (2020) (OIT, 2024) . Portanto, a exposição ocupacional ao calor atinge diretamente tanto a saúde quanto a produtividade do trabalhador, o que torna necessário a mitigação dos impactos das mudanças climáticas (SILVA, Daniel; LIMA, Flávia; SILVA, Maria de Fátima; MARTINS, Ana Maria; LIMA, Francisco), em prol do bem viver social . 19. Além disso, ainda de acordo </w:t>
      </w:r>
      <w:r w:rsidR="00311CF2" w:rsidRPr="00311CF2">
        <w:rPr>
          <w:rFonts w:ascii="Open Sans" w:hAnsi="Open Sans" w:cs="Open Sans"/>
          <w:sz w:val="24"/>
          <w:szCs w:val="24"/>
        </w:rPr>
        <w:lastRenderedPageBreak/>
        <w:t>com a Organização, o estresse térmico no ambiente de trabalho (artificial ou a céu aberto) é capaz de gerar doenças renais crônicas, câncer, doenças respiratórias e problemas de saúde mental. Ademais, os efeitos do ca</w:t>
      </w:r>
      <w:r>
        <w:rPr>
          <w:rFonts w:ascii="Open Sans" w:hAnsi="Open Sans" w:cs="Open Sans"/>
          <w:sz w:val="24"/>
          <w:szCs w:val="24"/>
        </w:rPr>
        <w:t>lor são capazes de conduzir à ‘</w:t>
      </w:r>
      <w:r w:rsidR="00311CF2" w:rsidRPr="00311CF2">
        <w:rPr>
          <w:rFonts w:ascii="Open Sans" w:hAnsi="Open Sans" w:cs="Open Sans"/>
          <w:sz w:val="24"/>
          <w:szCs w:val="24"/>
        </w:rPr>
        <w:t>hospitalização por distúrbios hidroeletrolíticos, insuficiência renal, infecção do trato urinário, sept</w:t>
      </w:r>
      <w:r>
        <w:rPr>
          <w:rFonts w:ascii="Open Sans" w:hAnsi="Open Sans" w:cs="Open Sans"/>
          <w:sz w:val="24"/>
          <w:szCs w:val="24"/>
        </w:rPr>
        <w:t>icemia e, até mesmo, insolação’ e os efeitos ‘</w:t>
      </w:r>
      <w:r w:rsidR="00311CF2" w:rsidRPr="00311CF2">
        <w:rPr>
          <w:rFonts w:ascii="Open Sans" w:hAnsi="Open Sans" w:cs="Open Sans"/>
          <w:sz w:val="24"/>
          <w:szCs w:val="24"/>
        </w:rPr>
        <w:t>adversos mais comuns do calor sobre a saúde são a exaustão térmica, as câ</w:t>
      </w:r>
      <w:r>
        <w:rPr>
          <w:rFonts w:ascii="Open Sans" w:hAnsi="Open Sans" w:cs="Open Sans"/>
          <w:sz w:val="24"/>
          <w:szCs w:val="24"/>
        </w:rPr>
        <w:t xml:space="preserve">imbras e os problemas de pele’ </w:t>
      </w:r>
      <w:r w:rsidR="00311CF2" w:rsidRPr="00311CF2">
        <w:rPr>
          <w:rFonts w:ascii="Open Sans" w:hAnsi="Open Sans" w:cs="Open Sans"/>
          <w:sz w:val="24"/>
          <w:szCs w:val="24"/>
        </w:rPr>
        <w:t>(SILVA, Daniel; LIMA, Flávia; SILVA, Maria de Fátima; MARTINS, Ana Maria; LIMA, Francisco, 2023</w:t>
      </w:r>
      <w:proofErr w:type="gramStart"/>
      <w:r w:rsidR="00311CF2" w:rsidRPr="00311CF2">
        <w:rPr>
          <w:rFonts w:ascii="Open Sans" w:hAnsi="Open Sans" w:cs="Open Sans"/>
          <w:sz w:val="24"/>
          <w:szCs w:val="24"/>
        </w:rPr>
        <w:t>) .</w:t>
      </w:r>
      <w:proofErr w:type="gramEnd"/>
      <w:r w:rsidR="00311CF2" w:rsidRPr="00311CF2">
        <w:rPr>
          <w:rFonts w:ascii="Open Sans" w:hAnsi="Open Sans" w:cs="Open Sans"/>
          <w:sz w:val="24"/>
          <w:szCs w:val="24"/>
        </w:rPr>
        <w:t xml:space="preserve"> 20. De acordo Elisa </w:t>
      </w:r>
      <w:proofErr w:type="spellStart"/>
      <w:r w:rsidR="00311CF2" w:rsidRPr="00311CF2">
        <w:rPr>
          <w:rFonts w:ascii="Open Sans" w:hAnsi="Open Sans" w:cs="Open Sans"/>
          <w:sz w:val="24"/>
          <w:szCs w:val="24"/>
        </w:rPr>
        <w:t>Shibuya</w:t>
      </w:r>
      <w:proofErr w:type="spellEnd"/>
      <w:r>
        <w:rPr>
          <w:rFonts w:ascii="Open Sans" w:hAnsi="Open Sans" w:cs="Open Sans"/>
          <w:sz w:val="24"/>
          <w:szCs w:val="24"/>
        </w:rPr>
        <w:t xml:space="preserve"> </w:t>
      </w:r>
      <w:proofErr w:type="gramStart"/>
      <w:r w:rsidR="00311CF2" w:rsidRPr="00D143F7">
        <w:rPr>
          <w:rFonts w:ascii="Open Sans" w:hAnsi="Open Sans" w:cs="Open Sans"/>
          <w:i/>
          <w:sz w:val="24"/>
          <w:szCs w:val="24"/>
        </w:rPr>
        <w:t>et</w:t>
      </w:r>
      <w:proofErr w:type="gramEnd"/>
      <w:r w:rsidR="00311CF2" w:rsidRPr="00D143F7">
        <w:rPr>
          <w:rFonts w:ascii="Open Sans" w:hAnsi="Open Sans" w:cs="Open Sans"/>
          <w:i/>
          <w:sz w:val="24"/>
          <w:szCs w:val="24"/>
        </w:rPr>
        <w:t xml:space="preserve"> al</w:t>
      </w:r>
      <w:r w:rsidR="00311CF2" w:rsidRPr="00311CF2">
        <w:rPr>
          <w:rFonts w:ascii="Open Sans" w:hAnsi="Open Sans" w:cs="Open Sans"/>
          <w:sz w:val="24"/>
          <w:szCs w:val="24"/>
        </w:rPr>
        <w:t>, em pesquisa publicada pela FUNDACENTRO, as manifestações clínicas relacionadas à exposição excessiva ao calor são inespecíficas, mas possuem caráter progressivo. Podem incluir desde um edema nos membros até perda excessiva de minerais, que pode conduzir a síncope e exaustão por calor. Nessa linha, destacam os autores que o estresse por calor pode afetar a produtividade e a vigilância do trabalhador, sendo capaz de gerar um aumento no número de acidentes de trabalho. A esse respeito, os autores apontam como fatores de prevenção a eventos danos à saúde, os protocolos relativos à aclimatização, hidratação e pausas ao longo da jornada de trabalho, além do monitoramento periódico da exposição; treinamento e informação aos trabalhadores e supervisores; controle médico, envolvendo exames médicos admissionais e periódicos, com foco na exposição ao calor; programação dos trabalhos pesados, preferencialmente para períodos com condições térmicas mais amenas. 21. Nesse cenário, o anexo III da NR 9 possui orientação específica a respeito das responsabilidade, medidas de prevenção, aclimatização e procedimentos de emergência relacionados à exposição ao calor. No item 3.2 da referida norma, são expostos alguns aspectos a serem observados na avaliação preliminar da exposição ocupacional ao calor. Entre elas, estão aquelas relativas às características dos fatores ambientais e demais condições de trabalho que possam influenciar na exposição ao calor e no mecanismo de trocas térmicas entre o trabalhador e o ambiente e as estimativas do tempo de permanência em cada atividade e situação térmica às quais o trabalhador permanece exposto ao longo da sua</w:t>
      </w:r>
      <w:r>
        <w:rPr>
          <w:rFonts w:ascii="Open Sans" w:hAnsi="Open Sans" w:cs="Open Sans"/>
          <w:sz w:val="24"/>
          <w:szCs w:val="24"/>
        </w:rPr>
        <w:t xml:space="preserve"> jornada de trabalho. Veja-se: ‘</w:t>
      </w:r>
      <w:r w:rsidR="00311CF2" w:rsidRPr="00311CF2">
        <w:rPr>
          <w:rFonts w:ascii="Open Sans" w:hAnsi="Open Sans" w:cs="Open Sans"/>
          <w:sz w:val="24"/>
          <w:szCs w:val="24"/>
        </w:rPr>
        <w:t>3.2 A avaliação preliminar da exposição ocupacional ao calor deve considerar os seguintes aspectos, quando aplicáveis: a) a identificação do perigo; b) a caracterização das fontes geradoras; c) a identificação das possíveis trajetórias e dos meios de propagação dos agentes no ambiente de trabalho; d) identificação das funções e determinação do número de trabalhadores expostos; e) a caracterização das atividades e do tipo da exposição, considerando a organização do trabalho; f) a obtenção de dados existentes na empresa, indicativos de possível comprometimento da saúde decorrente do trabalho; g) os possíveis lesões ou agravos à saúde relacionados aos perigos identificados, disponíveis na literatura técnica; h) a descrição das medidas de prevenção já existentes; i) características dos fatores ambientais e demais condições de trabalho que possam influenciar na exposição ao calor e no mecanismo de trocas térmicas entre o trabalhador e o ambiente; j) estimativas do tempo de permanência em cada atividade e situação térmica às quais o trabalhador permanece exposto ao longo da sua jornada de trabalho; k) taxa metabólica para execução das atividades com exposição ao calor; e l) registros disponíveis sobre a e</w:t>
      </w:r>
      <w:r>
        <w:rPr>
          <w:rFonts w:ascii="Open Sans" w:hAnsi="Open Sans" w:cs="Open Sans"/>
          <w:sz w:val="24"/>
          <w:szCs w:val="24"/>
        </w:rPr>
        <w:t xml:space="preserve">xposição ocupacional ao </w:t>
      </w:r>
      <w:proofErr w:type="gramStart"/>
      <w:r w:rsidR="008E7827">
        <w:rPr>
          <w:rFonts w:ascii="Open Sans" w:hAnsi="Open Sans" w:cs="Open Sans"/>
          <w:sz w:val="24"/>
          <w:szCs w:val="24"/>
        </w:rPr>
        <w:t>calor.</w:t>
      </w:r>
      <w:proofErr w:type="gramEnd"/>
      <w:r>
        <w:rPr>
          <w:rFonts w:ascii="Open Sans" w:hAnsi="Open Sans" w:cs="Open Sans"/>
          <w:sz w:val="24"/>
          <w:szCs w:val="24"/>
        </w:rPr>
        <w:t>’</w:t>
      </w:r>
      <w:r w:rsidR="00311CF2" w:rsidRPr="00311CF2">
        <w:rPr>
          <w:rFonts w:ascii="Open Sans" w:hAnsi="Open Sans" w:cs="Open Sans"/>
          <w:sz w:val="24"/>
          <w:szCs w:val="24"/>
        </w:rPr>
        <w:t xml:space="preserve"> 22. Além disso, a exploração da atividade econômica deve ser consentânea a medidas corretivas para reduzir a exposição ocupacional ao calor e, por consequência, os danos à saúde dos </w:t>
      </w:r>
      <w:r w:rsidR="00311CF2" w:rsidRPr="00311CF2">
        <w:rPr>
          <w:rFonts w:ascii="Open Sans" w:hAnsi="Open Sans" w:cs="Open Sans"/>
          <w:sz w:val="24"/>
          <w:szCs w:val="24"/>
        </w:rPr>
        <w:lastRenderedPageBreak/>
        <w:t xml:space="preserve">trabalhadores. O acesso a locais termicamente mais amenos com pausas para recuperação térmica é outra dessas medidas (item 4.2.2, </w:t>
      </w:r>
      <w:r w:rsidR="00311CF2" w:rsidRPr="00D143F7">
        <w:rPr>
          <w:rFonts w:ascii="Open Sans" w:hAnsi="Open Sans" w:cs="Open Sans"/>
          <w:i/>
          <w:sz w:val="24"/>
          <w:szCs w:val="24"/>
        </w:rPr>
        <w:t>c</w:t>
      </w:r>
      <w:r w:rsidR="00311CF2" w:rsidRPr="00311CF2">
        <w:rPr>
          <w:rFonts w:ascii="Open Sans" w:hAnsi="Open Sans" w:cs="Open Sans"/>
          <w:sz w:val="24"/>
          <w:szCs w:val="24"/>
        </w:rPr>
        <w:t xml:space="preserve">, do Anexo </w:t>
      </w:r>
      <w:proofErr w:type="gramStart"/>
      <w:r w:rsidR="00311CF2" w:rsidRPr="00311CF2">
        <w:rPr>
          <w:rFonts w:ascii="Open Sans" w:hAnsi="Open Sans" w:cs="Open Sans"/>
          <w:sz w:val="24"/>
          <w:szCs w:val="24"/>
        </w:rPr>
        <w:t>3</w:t>
      </w:r>
      <w:proofErr w:type="gramEnd"/>
      <w:r w:rsidR="00311CF2" w:rsidRPr="00311CF2">
        <w:rPr>
          <w:rFonts w:ascii="Open Sans" w:hAnsi="Open Sans" w:cs="Open Sans"/>
          <w:sz w:val="24"/>
          <w:szCs w:val="24"/>
        </w:rPr>
        <w:t xml:space="preserve"> da NR 9). As demais medidas de prevenção a respeito da exposição ao calor devem ser orientadas a partir do constante na NR-15. 23. Como medida de regulamentação dos artigos 189 a 196 da CLT, a redação original da NR 15, em seu anexo 3, previa os intervalos necessários para recuperação térmica dos trabalhadores submetidos a estresse térmico decorrente do calor. 24. No quadro </w:t>
      </w:r>
      <w:proofErr w:type="gramStart"/>
      <w:r w:rsidR="00311CF2" w:rsidRPr="00311CF2">
        <w:rPr>
          <w:rFonts w:ascii="Open Sans" w:hAnsi="Open Sans" w:cs="Open Sans"/>
          <w:sz w:val="24"/>
          <w:szCs w:val="24"/>
        </w:rPr>
        <w:t>1</w:t>
      </w:r>
      <w:proofErr w:type="gramEnd"/>
      <w:r w:rsidR="00311CF2" w:rsidRPr="00311CF2">
        <w:rPr>
          <w:rFonts w:ascii="Open Sans" w:hAnsi="Open Sans" w:cs="Open Sans"/>
          <w:sz w:val="24"/>
          <w:szCs w:val="24"/>
        </w:rPr>
        <w:t xml:space="preserve"> do referido anexo, na</w:t>
      </w:r>
      <w:r>
        <w:rPr>
          <w:rFonts w:ascii="Open Sans" w:hAnsi="Open Sans" w:cs="Open Sans"/>
          <w:sz w:val="24"/>
          <w:szCs w:val="24"/>
        </w:rPr>
        <w:t xml:space="preserve"> primeira coluna, previa-se o ‘</w:t>
      </w:r>
      <w:r w:rsidR="00311CF2" w:rsidRPr="00311CF2">
        <w:rPr>
          <w:rFonts w:ascii="Open Sans" w:hAnsi="Open Sans" w:cs="Open Sans"/>
          <w:sz w:val="24"/>
          <w:szCs w:val="24"/>
        </w:rPr>
        <w:t>Regime de trabalho intermitente com descanso no própri</w:t>
      </w:r>
      <w:r>
        <w:rPr>
          <w:rFonts w:ascii="Open Sans" w:hAnsi="Open Sans" w:cs="Open Sans"/>
          <w:sz w:val="24"/>
          <w:szCs w:val="24"/>
        </w:rPr>
        <w:t>o local de trabalho (por hora)’</w:t>
      </w:r>
      <w:r w:rsidR="00311CF2" w:rsidRPr="00311CF2">
        <w:rPr>
          <w:rFonts w:ascii="Open Sans" w:hAnsi="Open Sans" w:cs="Open Sans"/>
          <w:sz w:val="24"/>
          <w:szCs w:val="24"/>
        </w:rPr>
        <w:t>. Na segunda coluna, as classificações compreendiam o tipo de ativida</w:t>
      </w:r>
      <w:r>
        <w:rPr>
          <w:rFonts w:ascii="Open Sans" w:hAnsi="Open Sans" w:cs="Open Sans"/>
          <w:sz w:val="24"/>
          <w:szCs w:val="24"/>
        </w:rPr>
        <w:t>de, incluindo, variando entre ‘leve’, ‘moderada’ e ‘</w:t>
      </w:r>
      <w:r w:rsidR="00311CF2" w:rsidRPr="00311CF2">
        <w:rPr>
          <w:rFonts w:ascii="Open Sans" w:hAnsi="Open Sans" w:cs="Open Sans"/>
          <w:sz w:val="24"/>
          <w:szCs w:val="24"/>
        </w:rPr>
        <w:t>pes</w:t>
      </w:r>
      <w:r>
        <w:rPr>
          <w:rFonts w:ascii="Open Sans" w:hAnsi="Open Sans" w:cs="Open Sans"/>
          <w:sz w:val="24"/>
          <w:szCs w:val="24"/>
        </w:rPr>
        <w:t>ada’</w:t>
      </w:r>
      <w:r w:rsidR="00311CF2" w:rsidRPr="00311CF2">
        <w:rPr>
          <w:rFonts w:ascii="Open Sans" w:hAnsi="Open Sans" w:cs="Open Sans"/>
          <w:sz w:val="24"/>
          <w:szCs w:val="24"/>
        </w:rPr>
        <w:t>. Esta classificação dependia do nível de exposição a</w:t>
      </w:r>
      <w:r w:rsidR="00941256">
        <w:rPr>
          <w:rFonts w:ascii="Open Sans" w:hAnsi="Open Sans" w:cs="Open Sans"/>
          <w:sz w:val="24"/>
          <w:szCs w:val="24"/>
        </w:rPr>
        <w:t>o calor, avaliada por meio do ‘</w:t>
      </w:r>
      <w:r w:rsidR="00311CF2" w:rsidRPr="00311CF2">
        <w:rPr>
          <w:rFonts w:ascii="Open Sans" w:hAnsi="Open Sans" w:cs="Open Sans"/>
          <w:sz w:val="24"/>
          <w:szCs w:val="24"/>
        </w:rPr>
        <w:t>Índice de Bulbo Úmi</w:t>
      </w:r>
      <w:r w:rsidR="00941256">
        <w:rPr>
          <w:rFonts w:ascii="Open Sans" w:hAnsi="Open Sans" w:cs="Open Sans"/>
          <w:sz w:val="24"/>
          <w:szCs w:val="24"/>
        </w:rPr>
        <w:t>do Termômetro de Globo (IBUTG)’</w:t>
      </w:r>
      <w:r w:rsidR="00311CF2" w:rsidRPr="00311CF2">
        <w:rPr>
          <w:rFonts w:ascii="Open Sans" w:hAnsi="Open Sans" w:cs="Open Sans"/>
          <w:sz w:val="24"/>
          <w:szCs w:val="24"/>
        </w:rPr>
        <w:t xml:space="preserve"> definido por uma equação que considerava as variáveis relativas aos ambientes internos ou externos com ou sem carga solar, a temperatura de bulbo úmido natural ou seco (em termos gerais, é a temperatura do bulbo úmido indica a sensação de calor real porque considera a umidade do ar). Ilustrativamente, o quadro em questão dispunha que, para o trabalho contínuo em uma atividade considerada moderada (IBUTG entre 29,5 a 31,1), o trabalhador deveria ter 45 minutos de descanso para 15 minutos de trabalho. </w:t>
      </w:r>
      <w:r>
        <w:rPr>
          <w:rFonts w:ascii="Open Sans" w:hAnsi="Open Sans" w:cs="Open Sans"/>
          <w:sz w:val="24"/>
          <w:szCs w:val="24"/>
        </w:rPr>
        <w:t>O descanso deveria ocorrer em ‘</w:t>
      </w:r>
      <w:r w:rsidR="00311CF2" w:rsidRPr="00311CF2">
        <w:rPr>
          <w:rFonts w:ascii="Open Sans" w:hAnsi="Open Sans" w:cs="Open Sans"/>
          <w:sz w:val="24"/>
          <w:szCs w:val="24"/>
        </w:rPr>
        <w:t>ambiente termicamente mais ameno, com o trabalhador em repouso ou exercendo atividade lev</w:t>
      </w:r>
      <w:r>
        <w:rPr>
          <w:rFonts w:ascii="Open Sans" w:hAnsi="Open Sans" w:cs="Open Sans"/>
          <w:sz w:val="24"/>
          <w:szCs w:val="24"/>
        </w:rPr>
        <w:t>e’</w:t>
      </w:r>
      <w:r w:rsidR="00311CF2" w:rsidRPr="00311CF2">
        <w:rPr>
          <w:rFonts w:ascii="Open Sans" w:hAnsi="Open Sans" w:cs="Open Sans"/>
          <w:sz w:val="24"/>
          <w:szCs w:val="24"/>
        </w:rPr>
        <w:t>. De acordo com a equação presente no Anexo III da NR 15, em um cálculo em abstrato, para que o IBUTG alcance valores entre 29,5 a 31,1, é necessário que a temperatura do ar esteja em média em 35º; a umidade relativa em 60% com radiação solar direta e baixa ventilação. A partir disso, observa-se que o objetivo dos tempos de descanso (pausas térmicas) previstas na norma técnico-regulamentar era o de prevenção de superaquecimento do corpo e, por conseguinte, da provável submissão dos trabalhadores a doenças ocupacionais e/ou eventos fatais. 25. Com efeito, é dever do Judiciário e da jurisprudência brasileira apontar nas mesmas direções do constituinte de 1988, assentando mensagens estruturais de respeito aos valores sociais do trabalho e do respeito à dignidade humana. 26. A ideia por trás das mensagens estruturais está fundada na arquitetura de escolhas, a partir da qual são oferecidos incentivos ou comandos que conduzam à mudança de comportamento</w:t>
      </w:r>
      <w:r>
        <w:rPr>
          <w:rFonts w:ascii="Open Sans" w:hAnsi="Open Sans" w:cs="Open Sans"/>
          <w:sz w:val="24"/>
          <w:szCs w:val="24"/>
        </w:rPr>
        <w:t xml:space="preserve"> empresarial (são os chamados ‘</w:t>
      </w:r>
      <w:proofErr w:type="spellStart"/>
      <w:r w:rsidRPr="00D143F7">
        <w:rPr>
          <w:rFonts w:ascii="Open Sans" w:hAnsi="Open Sans" w:cs="Open Sans"/>
          <w:i/>
          <w:sz w:val="24"/>
          <w:szCs w:val="24"/>
        </w:rPr>
        <w:t>nudges</w:t>
      </w:r>
      <w:proofErr w:type="spellEnd"/>
      <w:r>
        <w:rPr>
          <w:rFonts w:ascii="Open Sans" w:hAnsi="Open Sans" w:cs="Open Sans"/>
          <w:sz w:val="24"/>
          <w:szCs w:val="24"/>
        </w:rPr>
        <w:t>’</w:t>
      </w:r>
      <w:r w:rsidR="00311CF2" w:rsidRPr="00311CF2">
        <w:rPr>
          <w:rFonts w:ascii="Open Sans" w:hAnsi="Open Sans" w:cs="Open Sans"/>
          <w:sz w:val="24"/>
          <w:szCs w:val="24"/>
        </w:rPr>
        <w:t xml:space="preserve"> (THALER; SUNSTEIN, 2019</w:t>
      </w:r>
      <w:proofErr w:type="gramStart"/>
      <w:r w:rsidR="00311CF2" w:rsidRPr="00311CF2">
        <w:rPr>
          <w:rFonts w:ascii="Open Sans" w:hAnsi="Open Sans" w:cs="Open Sans"/>
          <w:sz w:val="24"/>
          <w:szCs w:val="24"/>
        </w:rPr>
        <w:t xml:space="preserve"> )</w:t>
      </w:r>
      <w:proofErr w:type="gramEnd"/>
      <w:r w:rsidR="00311CF2" w:rsidRPr="00311CF2">
        <w:rPr>
          <w:rFonts w:ascii="Open Sans" w:hAnsi="Open Sans" w:cs="Open Sans"/>
          <w:sz w:val="24"/>
          <w:szCs w:val="24"/>
        </w:rPr>
        <w:t>, que deve se curvar à disciplina constitucional de proteção ao meio ambiente do trabalho.</w:t>
      </w:r>
      <w:r>
        <w:rPr>
          <w:rFonts w:ascii="Open Sans" w:hAnsi="Open Sans" w:cs="Open Sans"/>
          <w:sz w:val="24"/>
          <w:szCs w:val="24"/>
        </w:rPr>
        <w:t xml:space="preserve"> </w:t>
      </w:r>
      <w:r w:rsidR="00311CF2" w:rsidRPr="00311CF2">
        <w:rPr>
          <w:rFonts w:ascii="Open Sans" w:hAnsi="Open Sans" w:cs="Open Sans"/>
          <w:sz w:val="24"/>
          <w:szCs w:val="24"/>
        </w:rPr>
        <w:t>A partir disso, a jurisprudência constitucional-trabalhista deve estar robustecid</w:t>
      </w:r>
      <w:r w:rsidR="00941256">
        <w:rPr>
          <w:rFonts w:ascii="Open Sans" w:hAnsi="Open Sans" w:cs="Open Sans"/>
          <w:sz w:val="24"/>
          <w:szCs w:val="24"/>
        </w:rPr>
        <w:t>a com decisões que direcionem ‘</w:t>
      </w:r>
      <w:r w:rsidR="00311CF2" w:rsidRPr="00311CF2">
        <w:rPr>
          <w:rFonts w:ascii="Open Sans" w:hAnsi="Open Sans" w:cs="Open Sans"/>
          <w:sz w:val="24"/>
          <w:szCs w:val="24"/>
        </w:rPr>
        <w:t>mudanças de culturas, comportamentos, pensamentos etc., de modo que, em longo prazo, possa se ter um ganho significativo</w:t>
      </w:r>
      <w:r>
        <w:rPr>
          <w:rFonts w:ascii="Open Sans" w:hAnsi="Open Sans" w:cs="Open Sans"/>
          <w:sz w:val="24"/>
          <w:szCs w:val="24"/>
        </w:rPr>
        <w:t xml:space="preserve"> em algum objetivo específico’ </w:t>
      </w:r>
      <w:r w:rsidR="00311CF2" w:rsidRPr="00311CF2">
        <w:rPr>
          <w:rFonts w:ascii="Open Sans" w:hAnsi="Open Sans" w:cs="Open Sans"/>
          <w:sz w:val="24"/>
          <w:szCs w:val="24"/>
        </w:rPr>
        <w:t>(BENEVIDES; ALMEIDA; MARANHÃO, 2020), qual seja, a máxima higidez do meio ambiente de trabalho. Nesse</w:t>
      </w:r>
      <w:r>
        <w:rPr>
          <w:rFonts w:ascii="Open Sans" w:hAnsi="Open Sans" w:cs="Open Sans"/>
          <w:sz w:val="24"/>
          <w:szCs w:val="24"/>
        </w:rPr>
        <w:t xml:space="preserve"> sentido refletem os autores: ‘</w:t>
      </w:r>
      <w:r w:rsidR="00311CF2" w:rsidRPr="00311CF2">
        <w:rPr>
          <w:rFonts w:ascii="Open Sans" w:hAnsi="Open Sans" w:cs="Open Sans"/>
          <w:sz w:val="24"/>
          <w:szCs w:val="24"/>
        </w:rPr>
        <w:t>eventual uso de</w:t>
      </w:r>
      <w:r w:rsidR="00311CF2" w:rsidRPr="00D143F7">
        <w:rPr>
          <w:rFonts w:ascii="Open Sans" w:hAnsi="Open Sans" w:cs="Open Sans"/>
          <w:i/>
          <w:sz w:val="24"/>
          <w:szCs w:val="24"/>
        </w:rPr>
        <w:t xml:space="preserve"> </w:t>
      </w:r>
      <w:proofErr w:type="spellStart"/>
      <w:r w:rsidR="00311CF2" w:rsidRPr="00D143F7">
        <w:rPr>
          <w:rFonts w:ascii="Open Sans" w:hAnsi="Open Sans" w:cs="Open Sans"/>
          <w:i/>
          <w:sz w:val="24"/>
          <w:szCs w:val="24"/>
        </w:rPr>
        <w:t>nudges</w:t>
      </w:r>
      <w:proofErr w:type="spellEnd"/>
      <w:r w:rsidR="00311CF2" w:rsidRPr="00311CF2">
        <w:rPr>
          <w:rFonts w:ascii="Open Sans" w:hAnsi="Open Sans" w:cs="Open Sans"/>
          <w:sz w:val="24"/>
          <w:szCs w:val="24"/>
        </w:rPr>
        <w:t xml:space="preserve"> no meio ambiente laboral também decorra de verdadeira mudança de cultura na prática empresarial brasileira, de modo a se substituir técnicas de improviso por técnicas de cuidadosa planificação (planejamento responsável). Recomenda-se, inclusive, que tais medidas de sutis induções comportamentais (</w:t>
      </w:r>
      <w:proofErr w:type="spellStart"/>
      <w:r w:rsidR="00311CF2" w:rsidRPr="00D143F7">
        <w:rPr>
          <w:rFonts w:ascii="Open Sans" w:hAnsi="Open Sans" w:cs="Open Sans"/>
          <w:i/>
          <w:sz w:val="24"/>
          <w:szCs w:val="24"/>
        </w:rPr>
        <w:t>nudges</w:t>
      </w:r>
      <w:proofErr w:type="spellEnd"/>
      <w:r w:rsidR="00311CF2" w:rsidRPr="00311CF2">
        <w:rPr>
          <w:rFonts w:ascii="Open Sans" w:hAnsi="Open Sans" w:cs="Open Sans"/>
          <w:sz w:val="24"/>
          <w:szCs w:val="24"/>
        </w:rPr>
        <w:t>), condutoras de boas escolhas no âmbito corporativo, estejam preferencialmente afinadas e alinhadas com um bom programa de</w:t>
      </w:r>
      <w:r w:rsidR="00311CF2" w:rsidRPr="00D143F7">
        <w:rPr>
          <w:rFonts w:ascii="Open Sans" w:hAnsi="Open Sans" w:cs="Open Sans"/>
          <w:i/>
          <w:sz w:val="24"/>
          <w:szCs w:val="24"/>
        </w:rPr>
        <w:t xml:space="preserve"> </w:t>
      </w:r>
      <w:proofErr w:type="spellStart"/>
      <w:r w:rsidR="00311CF2" w:rsidRPr="00D143F7">
        <w:rPr>
          <w:rFonts w:ascii="Open Sans" w:hAnsi="Open Sans" w:cs="Open Sans"/>
          <w:i/>
          <w:sz w:val="24"/>
          <w:szCs w:val="24"/>
        </w:rPr>
        <w:t>compliance</w:t>
      </w:r>
      <w:proofErr w:type="spellEnd"/>
      <w:r>
        <w:rPr>
          <w:rFonts w:ascii="Open Sans" w:hAnsi="Open Sans" w:cs="Open Sans"/>
          <w:sz w:val="24"/>
          <w:szCs w:val="24"/>
        </w:rPr>
        <w:t>’</w:t>
      </w:r>
      <w:r w:rsidR="00311CF2" w:rsidRPr="00311CF2">
        <w:rPr>
          <w:rFonts w:ascii="Open Sans" w:hAnsi="Open Sans" w:cs="Open Sans"/>
          <w:sz w:val="24"/>
          <w:szCs w:val="24"/>
        </w:rPr>
        <w:t>.</w:t>
      </w:r>
      <w:r>
        <w:rPr>
          <w:rFonts w:ascii="Open Sans" w:hAnsi="Open Sans" w:cs="Open Sans"/>
          <w:sz w:val="24"/>
          <w:szCs w:val="24"/>
        </w:rPr>
        <w:t xml:space="preserve"> </w:t>
      </w:r>
      <w:r w:rsidR="00311CF2" w:rsidRPr="00311CF2">
        <w:rPr>
          <w:rFonts w:ascii="Open Sans" w:hAnsi="Open Sans" w:cs="Open Sans"/>
          <w:sz w:val="24"/>
          <w:szCs w:val="24"/>
        </w:rPr>
        <w:t xml:space="preserve">Dessa forma, comandos judiciais sobre saúde e segurança no trabalho devem funcionar como </w:t>
      </w:r>
      <w:proofErr w:type="spellStart"/>
      <w:r w:rsidR="00311CF2" w:rsidRPr="00D143F7">
        <w:rPr>
          <w:rFonts w:ascii="Open Sans" w:hAnsi="Open Sans" w:cs="Open Sans"/>
          <w:i/>
          <w:sz w:val="24"/>
          <w:szCs w:val="24"/>
        </w:rPr>
        <w:t>nudges</w:t>
      </w:r>
      <w:proofErr w:type="spellEnd"/>
      <w:r w:rsidR="00311CF2" w:rsidRPr="00311CF2">
        <w:rPr>
          <w:rFonts w:ascii="Open Sans" w:hAnsi="Open Sans" w:cs="Open Sans"/>
          <w:sz w:val="24"/>
          <w:szCs w:val="24"/>
        </w:rPr>
        <w:t xml:space="preserve">, ao reafirmarem mensagens estruturais, quanto à inafastabilidade da proteção ao meio ambiente do trabalho. Ainda, essas </w:t>
      </w:r>
      <w:r w:rsidR="00311CF2" w:rsidRPr="00311CF2">
        <w:rPr>
          <w:rFonts w:ascii="Open Sans" w:hAnsi="Open Sans" w:cs="Open Sans"/>
          <w:sz w:val="24"/>
          <w:szCs w:val="24"/>
        </w:rPr>
        <w:lastRenderedPageBreak/>
        <w:t>mensagens estruturais devem ser observadas pelas demais instâncias trabalhistas e agentes sociais, tendo em vista a integridade do sistema judicial brasileiro, que é orientado pela sistemática de uniformização de jurisprudência no âmbito dos tribunais superiores (</w:t>
      </w:r>
      <w:proofErr w:type="spellStart"/>
      <w:r w:rsidR="00311CF2" w:rsidRPr="00311CF2">
        <w:rPr>
          <w:rFonts w:ascii="Open Sans" w:hAnsi="Open Sans" w:cs="Open Sans"/>
          <w:sz w:val="24"/>
          <w:szCs w:val="24"/>
        </w:rPr>
        <w:t>arts</w:t>
      </w:r>
      <w:proofErr w:type="spellEnd"/>
      <w:r w:rsidR="00311CF2" w:rsidRPr="00311CF2">
        <w:rPr>
          <w:rFonts w:ascii="Open Sans" w:hAnsi="Open Sans" w:cs="Open Sans"/>
          <w:sz w:val="24"/>
          <w:szCs w:val="24"/>
        </w:rPr>
        <w:t xml:space="preserve">. 926 a 928 do CPC). 27. Portanto, na hipótese, a mensagem estrutural é complexa, mas objetiva: as normas de saúde e segurança no trabalho não podem ser ignoradas. O mais valioso bem jurídico tutelado pela hermenêutica contida nessas normas é a dignidade física e psíquica da parte trabalhadora, o que não comporta </w:t>
      </w:r>
      <w:proofErr w:type="gramStart"/>
      <w:r w:rsidR="00311CF2" w:rsidRPr="00311CF2">
        <w:rPr>
          <w:rFonts w:ascii="Open Sans" w:hAnsi="Open Sans" w:cs="Open Sans"/>
          <w:sz w:val="24"/>
          <w:szCs w:val="24"/>
        </w:rPr>
        <w:t>tergiversação</w:t>
      </w:r>
      <w:proofErr w:type="gramEnd"/>
      <w:r w:rsidR="00311CF2" w:rsidRPr="00311CF2">
        <w:rPr>
          <w:rFonts w:ascii="Open Sans" w:hAnsi="Open Sans" w:cs="Open Sans"/>
          <w:sz w:val="24"/>
          <w:szCs w:val="24"/>
        </w:rPr>
        <w:t xml:space="preserve">. Do contrário, deverão ser aplicadas medidas que induzam à observância das regras atinentes à matéria. 28. No caso dos autos, em relação ao agente calor, a Corte de origem consignou que o índice de IBUTG aferido no ambiente de trabalho (27,6ºC) ultrapassava o limite de tolerância de 25,0ºC previsto para atividades pesadas, circunstância suficiente para o enquadramento da insalubridade. Embora não tenha havido detalhamento acerca da origem da carga térmica (natural, artificial ou multifatorial), o Regional amparou-se nos dados técnicos constantes do laudo pericial, reputados idôneos para a formação do convencimento judicial. Destacou, ainda, que a neutralização do agente calor demandaria a adoção de medidas de ordem ambiental, não </w:t>
      </w:r>
      <w:proofErr w:type="gramStart"/>
      <w:r w:rsidR="00311CF2" w:rsidRPr="00311CF2">
        <w:rPr>
          <w:rFonts w:ascii="Open Sans" w:hAnsi="Open Sans" w:cs="Open Sans"/>
          <w:sz w:val="24"/>
          <w:szCs w:val="24"/>
        </w:rPr>
        <w:t>implementadas</w:t>
      </w:r>
      <w:proofErr w:type="gramEnd"/>
      <w:r w:rsidR="00311CF2" w:rsidRPr="00311CF2">
        <w:rPr>
          <w:rFonts w:ascii="Open Sans" w:hAnsi="Open Sans" w:cs="Open Sans"/>
          <w:sz w:val="24"/>
          <w:szCs w:val="24"/>
        </w:rPr>
        <w:t xml:space="preserve"> pela reclamada, o que reforça a manutenção da condição insalubre ao longo de todo o período contratual. Neste contexto, a pretensão de afastar a insalubridade reconhecida, com relação ao agente calor, demandaria o reexame do conjunto fático-probatório, providência vedada nesta instância extraordinária, nos termos da Súmula 126 do TST. Agravo de instrumento a que se nega provimento. B) FORNECIMENTO IRREGULAR DE EPI. DEVER PATRONAL DE OBSERVÂNCIA DAS NORMAS DE HIGIENE, SAÚDE E SEGURANÇA NO TRABALHO. PRINCÍPIO DA </w:t>
      </w:r>
      <w:proofErr w:type="gramStart"/>
      <w:r w:rsidR="00311CF2" w:rsidRPr="00311CF2">
        <w:rPr>
          <w:rFonts w:ascii="Open Sans" w:hAnsi="Open Sans" w:cs="Open Sans"/>
          <w:sz w:val="24"/>
          <w:szCs w:val="24"/>
        </w:rPr>
        <w:t>PREVENÇÃO.</w:t>
      </w:r>
      <w:proofErr w:type="gramEnd"/>
      <w:r w:rsidR="00311CF2" w:rsidRPr="00311CF2">
        <w:rPr>
          <w:rFonts w:ascii="Open Sans" w:hAnsi="Open Sans" w:cs="Open Sans"/>
          <w:sz w:val="24"/>
          <w:szCs w:val="24"/>
        </w:rPr>
        <w:t xml:space="preserve">PAUTA TEMÁTICA - 29/04/2026  ABRIL VERDE - CAMPANHA NACIONAL DE CONSCIENTIZAÇÃO SOBRE SAÚDE E SEGURANÇA DO TRABALHO. CONVENÇÕES 155 E 187 DA OIT. META 8.8 DA AGENDA 2030 DA ONU. </w:t>
      </w:r>
      <w:r w:rsidR="00311CF2" w:rsidRPr="00D143F7">
        <w:rPr>
          <w:rFonts w:ascii="Open Sans" w:hAnsi="Open Sans" w:cs="Open Sans"/>
          <w:i/>
          <w:sz w:val="24"/>
          <w:szCs w:val="24"/>
        </w:rPr>
        <w:t>NUDGES</w:t>
      </w:r>
      <w:r w:rsidR="00311CF2" w:rsidRPr="00311CF2">
        <w:rPr>
          <w:rFonts w:ascii="Open Sans" w:hAnsi="Open Sans" w:cs="Open Sans"/>
          <w:sz w:val="24"/>
          <w:szCs w:val="24"/>
        </w:rPr>
        <w:t>. ADICIONAL DE INSALUBRIDADE. PRESSÃO SONORA ACIMA DOS LIMITES DE TOLERÂNCIA. USO DE PROTEÇÃO AUDITIVA. IMPOSSIBILIDADE DE NEUTRALIZAÇÃO. MANUTENÇÃO DAS CONDIÇÕES PREJUDICIAIS À SAÚDE FÍSICA E MENTAL. INTERPRETAÇÃO JURÍDICO-TRABALHISTA DO TEMA 555 DA TABELA DE REPERCUSSÃO GERAL DO SUPREMO TRIBUNAL FEDERAL. NÃO NEUTRALIZAÇÃO DOS AGENTES NOCIVOS. ÔNUS DA PROVA. SÚMULA 80 E SÚMULA 126 DO TST. 1. 1. Cinge-se a controvérsia em saber se o trabalhador faz jus ao adicional de insalubridade pela exposição a ruídos, mesmo diante do fornecimento de protetores auriculares (EPI) pelo empregador, a partir da tese de que referido agente nocivo gera prejuízos à saúde física e mental, os quais não são atenuados ou eliminados com a utilização dos protetores auriculares. 2. A meta 8.8 da Agenda 2030 da Organização das Nações Unidas para o Desenvolvimento Sustentável é</w:t>
      </w:r>
      <w:r>
        <w:rPr>
          <w:rFonts w:ascii="Open Sans" w:hAnsi="Open Sans" w:cs="Open Sans"/>
          <w:sz w:val="24"/>
          <w:szCs w:val="24"/>
        </w:rPr>
        <w:t xml:space="preserve"> a de ‘</w:t>
      </w:r>
      <w:r w:rsidR="00311CF2" w:rsidRPr="00311CF2">
        <w:rPr>
          <w:rFonts w:ascii="Open Sans" w:hAnsi="Open Sans" w:cs="Open Sans"/>
          <w:sz w:val="24"/>
          <w:szCs w:val="24"/>
        </w:rPr>
        <w:t xml:space="preserve">Proteger os direitos trabalhistas e promover ambientes de trabalho seguros e protegidos para todos os trabalhadores, incluindo os trabalhadores migrantes, em particular as mulheres migrantes, e pessoas </w:t>
      </w:r>
      <w:r>
        <w:rPr>
          <w:rFonts w:ascii="Open Sans" w:hAnsi="Open Sans" w:cs="Open Sans"/>
          <w:sz w:val="24"/>
          <w:szCs w:val="24"/>
        </w:rPr>
        <w:t>em empregos precários'</w:t>
      </w:r>
      <w:r w:rsidR="00311CF2" w:rsidRPr="00311CF2">
        <w:rPr>
          <w:rFonts w:ascii="Open Sans" w:hAnsi="Open Sans" w:cs="Open Sans"/>
          <w:sz w:val="24"/>
          <w:szCs w:val="24"/>
        </w:rPr>
        <w:t xml:space="preserve">. 3. Além disso, a proteção à saúde e à segurança no trabalho e, por conseguinte, o direito dos trabalhadores (as) um ambiente laboral livre de riscos passou a integrar o importante rol de princípios e direitos fundamentais da OIT, em 2022 (OIT, 2022). Assim, trata-se de disposição de observância obrigatória para todos os países que integram a OIT, ainda que não tenham ratificado as respectivas convenções sobre o tema. A inclusão desse quinto princípio no rol daqueles </w:t>
      </w:r>
      <w:r w:rsidR="00311CF2" w:rsidRPr="00311CF2">
        <w:rPr>
          <w:rFonts w:ascii="Open Sans" w:hAnsi="Open Sans" w:cs="Open Sans"/>
          <w:sz w:val="24"/>
          <w:szCs w:val="24"/>
        </w:rPr>
        <w:lastRenderedPageBreak/>
        <w:t>considerados fundamentais pela organização especializada mais antiga das Nações Unidas coloca em destaque a importância da adoção de medidas preventivas contra acidentes no meio ambiente de trabalho. Na linha dos demais pr</w:t>
      </w:r>
      <w:r>
        <w:rPr>
          <w:rFonts w:ascii="Open Sans" w:hAnsi="Open Sans" w:cs="Open Sans"/>
          <w:sz w:val="24"/>
          <w:szCs w:val="24"/>
        </w:rPr>
        <w:t>incípios fundamentais da OIT, ‘Saúde e Segurança no Trabalho ‘</w:t>
      </w:r>
      <w:r w:rsidR="00311CF2" w:rsidRPr="00311CF2">
        <w:rPr>
          <w:rFonts w:ascii="Open Sans" w:hAnsi="Open Sans" w:cs="Open Sans"/>
          <w:sz w:val="24"/>
          <w:szCs w:val="24"/>
        </w:rPr>
        <w:t xml:space="preserve"> tem por escopo as previsões normativas das Convenções 155 (Segurança e Saúde dos Trabalhadores) e nº 187 (o Quadro Promocional para a Segurança e a Saúde no Trabalho), da OIT. 4. A Convenção 155 da OIT prevê, entre outras, a importância da implementação de ações a nível empresarial com o objetivo tanto de prevenir acidentes, quanto de proporcionar os meios necessários para lidar com situações de urgência, de modo a preservar a integridade física dos trabalhadores. No mesmo sentido, a Convenção 187 da OIT delimita ser responsabilidade de cada membro promover a melhoria contínua da segurança e saúde no trabalho para prevenir as lesões e doenças profissionais. Portanto, dúvidas não há de que laborar em um ambiente de trabalho protegido e seguro é um direito fundamental, inviolável e que deve ser almejado por toda a sociedade. 5. No âmbito interno, o meio ambiente de trabalho foi alçado a direito fundamental do trabalhador pelos artigos 1º, 7º, XXII, 196, 200, incisos II e VIII, e 225, da Constituição da República. Ainda, o dever de adoção das medidas que visam à prevenção de acidentes e doenças decorrentes do trabalho encontra escopo nos artigos 7º, XXII, da CF; </w:t>
      </w:r>
      <w:proofErr w:type="spellStart"/>
      <w:r w:rsidR="00311CF2" w:rsidRPr="00311CF2">
        <w:rPr>
          <w:rFonts w:ascii="Open Sans" w:hAnsi="Open Sans" w:cs="Open Sans"/>
          <w:sz w:val="24"/>
          <w:szCs w:val="24"/>
        </w:rPr>
        <w:t>arts</w:t>
      </w:r>
      <w:proofErr w:type="spellEnd"/>
      <w:r w:rsidR="00311CF2" w:rsidRPr="00311CF2">
        <w:rPr>
          <w:rFonts w:ascii="Open Sans" w:hAnsi="Open Sans" w:cs="Open Sans"/>
          <w:sz w:val="24"/>
          <w:szCs w:val="24"/>
        </w:rPr>
        <w:t>. 154 e 157 da CLT. Além disso, a NR 6 determina que os empregadores forneçam equipamentos de proteção individual para prevenir acidentes de trabalho e doenças ocupacionais. Por sua vez, a Norma Regulamentadora 1, item 1.7 dispõe ser obrigação do empregador não só adotar ferramentas para oferecer um ambiente de trabalho seguro e equilibrado, como também cientificar os trabalhadores desses riscos. A partir disso, observa-se que o ordenamento jurídico brasileiro passou a adotar a interpretação conferida pela própria OMS ao conceito de saúde, qual seja, a de que se trata de um estado de bem-</w:t>
      </w:r>
      <w:r w:rsidR="007931B0">
        <w:rPr>
          <w:rFonts w:ascii="Open Sans" w:hAnsi="Open Sans" w:cs="Open Sans"/>
          <w:sz w:val="24"/>
          <w:szCs w:val="24"/>
        </w:rPr>
        <w:t xml:space="preserve">estar físico, mental e social - </w:t>
      </w:r>
      <w:r w:rsidR="00311CF2" w:rsidRPr="00311CF2">
        <w:rPr>
          <w:rFonts w:ascii="Open Sans" w:hAnsi="Open Sans" w:cs="Open Sans"/>
          <w:sz w:val="24"/>
          <w:szCs w:val="24"/>
        </w:rPr>
        <w:t>e não apenas um</w:t>
      </w:r>
      <w:r w:rsidR="007931B0">
        <w:rPr>
          <w:rFonts w:ascii="Open Sans" w:hAnsi="Open Sans" w:cs="Open Sans"/>
          <w:sz w:val="24"/>
          <w:szCs w:val="24"/>
        </w:rPr>
        <w:t xml:space="preserve"> estado definido pela ‘ausência de doença’</w:t>
      </w:r>
      <w:r w:rsidR="00311CF2" w:rsidRPr="00311CF2">
        <w:rPr>
          <w:rFonts w:ascii="Open Sans" w:hAnsi="Open Sans" w:cs="Open Sans"/>
          <w:sz w:val="24"/>
          <w:szCs w:val="24"/>
        </w:rPr>
        <w:t>. Em virtude disso, não é forçoso reconhecer que o enfoque individual e patrimonialista de proteção à saúde do trabalhador, cedeu lugar a um sistema prioritariamente preventivo (art. 7º, XXXII, da CF). 6. A respeito do enfoque protetivo e preventivo à saúde, segurança e o direito a um meio ambiente de trabalho livre de quaisquer agentes nocivos à saúde, inclusive, já se pronunciou o Tribunal Pleno da Suprema Corte no ARE 664335 - Repercussão Geral Tema 555 (</w:t>
      </w:r>
      <w:r w:rsidR="00B01F5D" w:rsidRPr="00311CF2">
        <w:rPr>
          <w:rFonts w:ascii="Open Sans" w:hAnsi="Open Sans" w:cs="Open Sans"/>
          <w:sz w:val="24"/>
          <w:szCs w:val="24"/>
        </w:rPr>
        <w:t>Órgão</w:t>
      </w:r>
      <w:r w:rsidR="00311CF2" w:rsidRPr="00311CF2">
        <w:rPr>
          <w:rFonts w:ascii="Open Sans" w:hAnsi="Open Sans" w:cs="Open Sans"/>
          <w:sz w:val="24"/>
          <w:szCs w:val="24"/>
        </w:rPr>
        <w:t xml:space="preserve"> julgador: Tribunal Plen</w:t>
      </w:r>
      <w:r w:rsidR="007931B0">
        <w:rPr>
          <w:rFonts w:ascii="Open Sans" w:hAnsi="Open Sans" w:cs="Open Sans"/>
          <w:sz w:val="24"/>
          <w:szCs w:val="24"/>
        </w:rPr>
        <w:t xml:space="preserve">o - Relator (a): Min. LUIZ FUX - </w:t>
      </w:r>
      <w:r w:rsidR="00311CF2" w:rsidRPr="00311CF2">
        <w:rPr>
          <w:rFonts w:ascii="Open Sans" w:hAnsi="Open Sans" w:cs="Open Sans"/>
          <w:sz w:val="24"/>
          <w:szCs w:val="24"/>
        </w:rPr>
        <w:t>Publicação: 12/02/2015). Neste tema vinculante, em análise sobre os efeitos previdenciários decorrentes dos danos saúde dos trabalhadores pela exposição a ruídos acima dos limites legais de tolerância, o Supremo Tribunal Federa</w:t>
      </w:r>
      <w:r w:rsidR="007931B0">
        <w:rPr>
          <w:rFonts w:ascii="Open Sans" w:hAnsi="Open Sans" w:cs="Open Sans"/>
          <w:sz w:val="24"/>
          <w:szCs w:val="24"/>
        </w:rPr>
        <w:t>l concluiu, entre outros, que ‘</w:t>
      </w:r>
      <w:r w:rsidR="00311CF2" w:rsidRPr="00311CF2">
        <w:rPr>
          <w:rFonts w:ascii="Open Sans" w:hAnsi="Open Sans" w:cs="Open Sans"/>
          <w:sz w:val="24"/>
          <w:szCs w:val="24"/>
        </w:rPr>
        <w:t>a eficácia do Equip</w:t>
      </w:r>
      <w:r w:rsidR="007931B0">
        <w:rPr>
          <w:rFonts w:ascii="Open Sans" w:hAnsi="Open Sans" w:cs="Open Sans"/>
          <w:sz w:val="24"/>
          <w:szCs w:val="24"/>
        </w:rPr>
        <w:t xml:space="preserve">amento de Proteção Individual - </w:t>
      </w:r>
      <w:r w:rsidR="00311CF2" w:rsidRPr="00311CF2">
        <w:rPr>
          <w:rFonts w:ascii="Open Sans" w:hAnsi="Open Sans" w:cs="Open Sans"/>
          <w:sz w:val="24"/>
          <w:szCs w:val="24"/>
        </w:rPr>
        <w:t>EPI, não descaracteriza o tempo de servi</w:t>
      </w:r>
      <w:r w:rsidR="007931B0">
        <w:rPr>
          <w:rFonts w:ascii="Open Sans" w:hAnsi="Open Sans" w:cs="Open Sans"/>
          <w:sz w:val="24"/>
          <w:szCs w:val="24"/>
        </w:rPr>
        <w:t>ço especial para aposentadoria’</w:t>
      </w:r>
      <w:r w:rsidR="00311CF2" w:rsidRPr="00311CF2">
        <w:rPr>
          <w:rFonts w:ascii="Open Sans" w:hAnsi="Open Sans" w:cs="Open Sans"/>
          <w:sz w:val="24"/>
          <w:szCs w:val="24"/>
        </w:rPr>
        <w:t xml:space="preserve">. Na </w:t>
      </w:r>
      <w:proofErr w:type="spellStart"/>
      <w:r w:rsidR="00311CF2" w:rsidRPr="007931B0">
        <w:rPr>
          <w:rFonts w:ascii="Open Sans" w:hAnsi="Open Sans" w:cs="Open Sans"/>
          <w:i/>
          <w:sz w:val="24"/>
          <w:szCs w:val="24"/>
        </w:rPr>
        <w:t>ratio</w:t>
      </w:r>
      <w:proofErr w:type="spellEnd"/>
      <w:r w:rsidR="00311CF2" w:rsidRPr="007931B0">
        <w:rPr>
          <w:rFonts w:ascii="Open Sans" w:hAnsi="Open Sans" w:cs="Open Sans"/>
          <w:i/>
          <w:sz w:val="24"/>
          <w:szCs w:val="24"/>
        </w:rPr>
        <w:t xml:space="preserve"> </w:t>
      </w:r>
      <w:proofErr w:type="spellStart"/>
      <w:r w:rsidR="00311CF2" w:rsidRPr="007931B0">
        <w:rPr>
          <w:rFonts w:ascii="Open Sans" w:hAnsi="Open Sans" w:cs="Open Sans"/>
          <w:i/>
          <w:sz w:val="24"/>
          <w:szCs w:val="24"/>
        </w:rPr>
        <w:t>decidendi</w:t>
      </w:r>
      <w:proofErr w:type="spellEnd"/>
      <w:r w:rsidR="00311CF2" w:rsidRPr="00311CF2">
        <w:rPr>
          <w:rFonts w:ascii="Open Sans" w:hAnsi="Open Sans" w:cs="Open Sans"/>
          <w:sz w:val="24"/>
          <w:szCs w:val="24"/>
        </w:rPr>
        <w:t xml:space="preserve"> do Tema nº 555/STF, a Suprema Corte foi taxativa ao assentar que (i) a exposição ao ruído gera problemas que superam a perda das funções auditivas; (</w:t>
      </w:r>
      <w:proofErr w:type="spellStart"/>
      <w:proofErr w:type="gramStart"/>
      <w:r w:rsidR="00311CF2" w:rsidRPr="00311CF2">
        <w:rPr>
          <w:rFonts w:ascii="Open Sans" w:hAnsi="Open Sans" w:cs="Open Sans"/>
          <w:sz w:val="24"/>
          <w:szCs w:val="24"/>
        </w:rPr>
        <w:t>ii</w:t>
      </w:r>
      <w:proofErr w:type="spellEnd"/>
      <w:proofErr w:type="gramEnd"/>
      <w:r w:rsidR="00311CF2" w:rsidRPr="00311CF2">
        <w:rPr>
          <w:rFonts w:ascii="Open Sans" w:hAnsi="Open Sans" w:cs="Open Sans"/>
          <w:sz w:val="24"/>
          <w:szCs w:val="24"/>
        </w:rPr>
        <w:t>) com a simples utilização de EPI não se pode garantir uma eficácia real na eliminação do agente nocivo ruído. Nesse sentido,</w:t>
      </w:r>
      <w:r w:rsidR="007931B0">
        <w:rPr>
          <w:rFonts w:ascii="Open Sans" w:hAnsi="Open Sans" w:cs="Open Sans"/>
          <w:sz w:val="24"/>
          <w:szCs w:val="24"/>
        </w:rPr>
        <w:t xml:space="preserve"> a Suprema Corte assentou que ‘</w:t>
      </w:r>
      <w:r w:rsidR="00311CF2" w:rsidRPr="00311CF2">
        <w:rPr>
          <w:rFonts w:ascii="Open Sans" w:hAnsi="Open Sans" w:cs="Open Sans"/>
          <w:sz w:val="24"/>
          <w:szCs w:val="24"/>
        </w:rPr>
        <w:t>o uso de protetor auricular, ainda que reduza a hostilidade dos ruídos a níveis toleráveis, não confere total proteção ao trabalhador</w:t>
      </w:r>
      <w:r w:rsidR="007931B0">
        <w:rPr>
          <w:rFonts w:ascii="Open Sans" w:hAnsi="Open Sans" w:cs="Open Sans"/>
          <w:sz w:val="24"/>
          <w:szCs w:val="24"/>
        </w:rPr>
        <w:t xml:space="preserve"> submetido a ruídos excessivos’ de modo que ‘</w:t>
      </w:r>
      <w:r w:rsidR="00311CF2" w:rsidRPr="00311CF2">
        <w:rPr>
          <w:rFonts w:ascii="Open Sans" w:hAnsi="Open Sans" w:cs="Open Sans"/>
          <w:sz w:val="24"/>
          <w:szCs w:val="24"/>
        </w:rPr>
        <w:t xml:space="preserve">apesar do uso de Equipamento de Proteção Individual (protetor auricular) reduzir a agressividade do ruído a um nível tolerável, até no mesmo patamar da normalidade, a potência do som em tais ambientes causa danos ao organismo que </w:t>
      </w:r>
      <w:r w:rsidR="00311CF2" w:rsidRPr="00311CF2">
        <w:rPr>
          <w:rFonts w:ascii="Open Sans" w:hAnsi="Open Sans" w:cs="Open Sans"/>
          <w:sz w:val="24"/>
          <w:szCs w:val="24"/>
        </w:rPr>
        <w:lastRenderedPageBreak/>
        <w:t>vão muito além daqueles relacionados</w:t>
      </w:r>
      <w:r w:rsidR="007931B0">
        <w:rPr>
          <w:rFonts w:ascii="Open Sans" w:hAnsi="Open Sans" w:cs="Open Sans"/>
          <w:sz w:val="24"/>
          <w:szCs w:val="24"/>
        </w:rPr>
        <w:t xml:space="preserve"> à perda das funções auditivas’</w:t>
      </w:r>
      <w:r w:rsidR="00311CF2" w:rsidRPr="00311CF2">
        <w:rPr>
          <w:rFonts w:ascii="Open Sans" w:hAnsi="Open Sans" w:cs="Open Sans"/>
          <w:sz w:val="24"/>
          <w:szCs w:val="24"/>
        </w:rPr>
        <w:t xml:space="preserve"> (Tema 555 - ARE-664.335/SC, de 12/2/2015 (</w:t>
      </w:r>
      <w:proofErr w:type="gramStart"/>
      <w:r w:rsidR="00311CF2" w:rsidRPr="00311CF2">
        <w:rPr>
          <w:rFonts w:ascii="Open Sans" w:hAnsi="Open Sans" w:cs="Open Sans"/>
          <w:sz w:val="24"/>
          <w:szCs w:val="24"/>
        </w:rPr>
        <w:t>Relatoria do Excelentíssimo Ministro</w:t>
      </w:r>
      <w:proofErr w:type="gramEnd"/>
      <w:r w:rsidR="00311CF2" w:rsidRPr="00311CF2">
        <w:rPr>
          <w:rFonts w:ascii="Open Sans" w:hAnsi="Open Sans" w:cs="Open Sans"/>
          <w:sz w:val="24"/>
          <w:szCs w:val="24"/>
        </w:rPr>
        <w:t xml:space="preserve"> Luiz </w:t>
      </w:r>
      <w:proofErr w:type="spellStart"/>
      <w:r w:rsidR="00311CF2" w:rsidRPr="00311CF2">
        <w:rPr>
          <w:rFonts w:ascii="Open Sans" w:hAnsi="Open Sans" w:cs="Open Sans"/>
          <w:sz w:val="24"/>
          <w:szCs w:val="24"/>
        </w:rPr>
        <w:t>Fux</w:t>
      </w:r>
      <w:proofErr w:type="spellEnd"/>
      <w:r w:rsidR="00311CF2" w:rsidRPr="00311CF2">
        <w:rPr>
          <w:rFonts w:ascii="Open Sans" w:hAnsi="Open Sans" w:cs="Open Sans"/>
          <w:sz w:val="24"/>
          <w:szCs w:val="24"/>
        </w:rPr>
        <w:t xml:space="preserve">). Portanto, consolidou-se o entendimento de que, apesar da constatação de redução da agressividade do ruído a níveis toleráveis por meio de protetores auriculares, referido agente insalubre ainda causa danos aos trabalhadores já que seus malefícios não são circunscritos às funções auditivas. Isto é, os protetores auriculares, ainda que necessários e imperativos à redução de danos, por si só, não são capazes de neutralizar por completo a nocividade do agente, visto que o ruído se apresenta como pressão sonora que se propaga por vibrações, possuindo caráter multidimensional. 7. Com efeito, os protetores auriculares protegem apenas o ouvido dos sons que percorrem a via aérea, sendo ineficazes contra aos efeitos das vibrações transmitidas para o crânio, além de não se mostrarem eficientes contra disfunções cardiovasculares, digestivas, psicológicas, entre outras potencialmente geradas pela exposição a ruídos. (Irineu Antônio </w:t>
      </w:r>
      <w:proofErr w:type="spellStart"/>
      <w:r w:rsidR="00311CF2" w:rsidRPr="00311CF2">
        <w:rPr>
          <w:rFonts w:ascii="Open Sans" w:hAnsi="Open Sans" w:cs="Open Sans"/>
          <w:sz w:val="24"/>
          <w:szCs w:val="24"/>
        </w:rPr>
        <w:t>Pedrotti</w:t>
      </w:r>
      <w:proofErr w:type="spellEnd"/>
      <w:r w:rsidR="00311CF2" w:rsidRPr="00311CF2">
        <w:rPr>
          <w:rFonts w:ascii="Open Sans" w:hAnsi="Open Sans" w:cs="Open Sans"/>
          <w:sz w:val="24"/>
          <w:szCs w:val="24"/>
        </w:rPr>
        <w:t>, Doenças Profissionais ou do Trabalho, LEUD, 2ª ed., São Paulo, 1998, p. 538). A esse respeito, pesquisas indicam que a exposição a ruídos é causa de risco relativo de acid</w:t>
      </w:r>
      <w:r w:rsidR="007931B0">
        <w:rPr>
          <w:rFonts w:ascii="Open Sans" w:hAnsi="Open Sans" w:cs="Open Sans"/>
          <w:sz w:val="24"/>
          <w:szCs w:val="24"/>
        </w:rPr>
        <w:t>ente de trabalho, de modo que ‘</w:t>
      </w:r>
      <w:r w:rsidR="00311CF2" w:rsidRPr="00311CF2">
        <w:rPr>
          <w:rFonts w:ascii="Open Sans" w:hAnsi="Open Sans" w:cs="Open Sans"/>
          <w:sz w:val="24"/>
          <w:szCs w:val="24"/>
        </w:rPr>
        <w:t>o ruído ocupacional impõe ao trabalhador fatores sabidamente envolvidos na gênese</w:t>
      </w:r>
      <w:r w:rsidR="007931B0">
        <w:rPr>
          <w:rFonts w:ascii="Open Sans" w:hAnsi="Open Sans" w:cs="Open Sans"/>
          <w:sz w:val="24"/>
          <w:szCs w:val="24"/>
        </w:rPr>
        <w:t xml:space="preserve"> de acidentes do trabalho’, incluindo ‘</w:t>
      </w:r>
      <w:r w:rsidR="00311CF2" w:rsidRPr="00311CF2">
        <w:rPr>
          <w:rFonts w:ascii="Open Sans" w:hAnsi="Open Sans" w:cs="Open Sans"/>
          <w:sz w:val="24"/>
          <w:szCs w:val="24"/>
        </w:rPr>
        <w:t xml:space="preserve">dificuldades de comunicação (na detecção, discriminação, localização e identificação das fontes sonoras, assim como na </w:t>
      </w:r>
      <w:proofErr w:type="gramStart"/>
      <w:r w:rsidR="00311CF2" w:rsidRPr="00311CF2">
        <w:rPr>
          <w:rFonts w:ascii="Open Sans" w:hAnsi="Open Sans" w:cs="Open Sans"/>
          <w:sz w:val="24"/>
          <w:szCs w:val="24"/>
        </w:rPr>
        <w:t>inteligibilidade</w:t>
      </w:r>
      <w:proofErr w:type="gramEnd"/>
      <w:r w:rsidR="00311CF2" w:rsidRPr="00311CF2">
        <w:rPr>
          <w:rFonts w:ascii="Open Sans" w:hAnsi="Open Sans" w:cs="Open Sans"/>
          <w:sz w:val="24"/>
          <w:szCs w:val="24"/>
        </w:rPr>
        <w:t xml:space="preserve"> de fala), de manutenção da atenção e concentração, de memória, além do estresse</w:t>
      </w:r>
      <w:r w:rsidR="007931B0">
        <w:rPr>
          <w:rFonts w:ascii="Open Sans" w:hAnsi="Open Sans" w:cs="Open Sans"/>
          <w:sz w:val="24"/>
          <w:szCs w:val="24"/>
        </w:rPr>
        <w:t xml:space="preserve"> e fadiga excessiva’</w:t>
      </w:r>
      <w:r w:rsidR="00311CF2" w:rsidRPr="00311CF2">
        <w:rPr>
          <w:rFonts w:ascii="Open Sans" w:hAnsi="Open Sans" w:cs="Open Sans"/>
          <w:sz w:val="24"/>
          <w:szCs w:val="24"/>
        </w:rPr>
        <w:t xml:space="preserve"> (Cordeiro, Ricardo; </w:t>
      </w:r>
      <w:proofErr w:type="spellStart"/>
      <w:r w:rsidR="00311CF2" w:rsidRPr="00311CF2">
        <w:rPr>
          <w:rFonts w:ascii="Open Sans" w:hAnsi="Open Sans" w:cs="Open Sans"/>
          <w:sz w:val="24"/>
          <w:szCs w:val="24"/>
        </w:rPr>
        <w:t>Grotti</w:t>
      </w:r>
      <w:proofErr w:type="spellEnd"/>
      <w:r w:rsidR="00311CF2" w:rsidRPr="00311CF2">
        <w:rPr>
          <w:rFonts w:ascii="Open Sans" w:hAnsi="Open Sans" w:cs="Open Sans"/>
          <w:sz w:val="24"/>
          <w:szCs w:val="24"/>
        </w:rPr>
        <w:t xml:space="preserve"> Clemente, Ana Paula; </w:t>
      </w:r>
      <w:proofErr w:type="spellStart"/>
      <w:r w:rsidR="00311CF2" w:rsidRPr="00311CF2">
        <w:rPr>
          <w:rFonts w:ascii="Open Sans" w:hAnsi="Open Sans" w:cs="Open Sans"/>
          <w:sz w:val="24"/>
          <w:szCs w:val="24"/>
        </w:rPr>
        <w:t>Ségre</w:t>
      </w:r>
      <w:proofErr w:type="spellEnd"/>
      <w:r w:rsidR="00311CF2" w:rsidRPr="00311CF2">
        <w:rPr>
          <w:rFonts w:ascii="Open Sans" w:hAnsi="Open Sans" w:cs="Open Sans"/>
          <w:sz w:val="24"/>
          <w:szCs w:val="24"/>
        </w:rPr>
        <w:t xml:space="preserve"> Diniz, Cíntia; Dias, Adriano Exposição ao ruído ocupacional como fator de risco para acidentes do trabalho Revista de Saúde Pública, vol. 39, núm. 3, </w:t>
      </w:r>
      <w:proofErr w:type="spellStart"/>
      <w:r w:rsidR="00311CF2" w:rsidRPr="00311CF2">
        <w:rPr>
          <w:rFonts w:ascii="Open Sans" w:hAnsi="Open Sans" w:cs="Open Sans"/>
          <w:sz w:val="24"/>
          <w:szCs w:val="24"/>
        </w:rPr>
        <w:t>junio</w:t>
      </w:r>
      <w:proofErr w:type="spellEnd"/>
      <w:r w:rsidR="00311CF2" w:rsidRPr="00311CF2">
        <w:rPr>
          <w:rFonts w:ascii="Open Sans" w:hAnsi="Open Sans" w:cs="Open Sans"/>
          <w:sz w:val="24"/>
          <w:szCs w:val="24"/>
        </w:rPr>
        <w:t xml:space="preserve">, 2005, pp. 461-466). No mesmo aspecto, há evidencias científicas de que a submissão a ruídos acima de </w:t>
      </w:r>
      <w:proofErr w:type="gramStart"/>
      <w:r w:rsidR="00311CF2" w:rsidRPr="00311CF2">
        <w:rPr>
          <w:rFonts w:ascii="Open Sans" w:hAnsi="Open Sans" w:cs="Open Sans"/>
          <w:sz w:val="24"/>
          <w:szCs w:val="24"/>
        </w:rPr>
        <w:t>55dB</w:t>
      </w:r>
      <w:proofErr w:type="gramEnd"/>
      <w:r w:rsidR="00311CF2" w:rsidRPr="00311CF2">
        <w:rPr>
          <w:rFonts w:ascii="Open Sans" w:hAnsi="Open Sans" w:cs="Open Sans"/>
          <w:sz w:val="24"/>
          <w:szCs w:val="24"/>
        </w:rPr>
        <w:t xml:space="preserve"> gera estresse leve e, em nív</w:t>
      </w:r>
      <w:r w:rsidR="007931B0">
        <w:rPr>
          <w:rFonts w:ascii="Open Sans" w:hAnsi="Open Sans" w:cs="Open Sans"/>
          <w:sz w:val="24"/>
          <w:szCs w:val="24"/>
        </w:rPr>
        <w:t>el acima de 70dB, é tido como ‘</w:t>
      </w:r>
      <w:r w:rsidR="00311CF2" w:rsidRPr="00311CF2">
        <w:rPr>
          <w:rFonts w:ascii="Open Sans" w:hAnsi="Open Sans" w:cs="Open Sans"/>
          <w:sz w:val="24"/>
          <w:szCs w:val="24"/>
        </w:rPr>
        <w:t>in</w:t>
      </w:r>
      <w:r w:rsidR="007931B0">
        <w:rPr>
          <w:rFonts w:ascii="Open Sans" w:hAnsi="Open Sans" w:cs="Open Sans"/>
          <w:sz w:val="24"/>
          <w:szCs w:val="24"/>
        </w:rPr>
        <w:t>icial do desgaste do organismo’, causando ‘</w:t>
      </w:r>
      <w:r w:rsidR="00311CF2" w:rsidRPr="00311CF2">
        <w:rPr>
          <w:rFonts w:ascii="Open Sans" w:hAnsi="Open Sans" w:cs="Open Sans"/>
          <w:sz w:val="24"/>
          <w:szCs w:val="24"/>
        </w:rPr>
        <w:t>aumento o risco de infarto, derrame cerebral, infecções, hipertensão arterial e outras patologias. (...) modificações em seu estado normal de saúde, podendo modificar, principalmente mudanças na secreção de hormônios, o que influencia em sua pressão arterial e metabolismo, aumento os riscos de doenças cardiovasculares, c</w:t>
      </w:r>
      <w:r w:rsidR="007931B0">
        <w:rPr>
          <w:rFonts w:ascii="Open Sans" w:hAnsi="Open Sans" w:cs="Open Sans"/>
          <w:sz w:val="24"/>
          <w:szCs w:val="24"/>
        </w:rPr>
        <w:t>omo infarto agudo do miocárdio’</w:t>
      </w:r>
      <w:r w:rsidR="00311CF2" w:rsidRPr="00311CF2">
        <w:rPr>
          <w:rFonts w:ascii="Open Sans" w:hAnsi="Open Sans" w:cs="Open Sans"/>
          <w:sz w:val="24"/>
          <w:szCs w:val="24"/>
        </w:rPr>
        <w:t xml:space="preserve"> (REIMBRECHT, Elsa Fernanda; DOMINGUES, Gabriele de Souza. A correlação entre tempo e níveis de exposição do agente ruído para caracterização da atividade especial. Revista Jurídica, </w:t>
      </w:r>
      <w:r w:rsidR="007931B0">
        <w:rPr>
          <w:rFonts w:ascii="Open Sans" w:hAnsi="Open Sans" w:cs="Open Sans"/>
          <w:sz w:val="24"/>
          <w:szCs w:val="24"/>
        </w:rPr>
        <w:t xml:space="preserve">v. 36, n. 2, p. 910-911, 2021). </w:t>
      </w:r>
      <w:r w:rsidR="00311CF2" w:rsidRPr="00311CF2">
        <w:rPr>
          <w:rFonts w:ascii="Open Sans" w:hAnsi="Open Sans" w:cs="Open Sans"/>
          <w:sz w:val="24"/>
          <w:szCs w:val="24"/>
        </w:rPr>
        <w:t>Diante desse cenário técnico e científico, a jurisprudência deste Tribunal Superior do Trabalho tem incorporado o conteúdo do Tema 555 do Supremo Tribunal Federal às análises quanto à impossibilidade de extinção da insalubridade por exposição a ruído diante da mera oferta de protetores auriculares. Precedentes de Turmas do TST. 8. Ainda, a interpretação ora realizada não conduz à mitigaçã</w:t>
      </w:r>
      <w:r w:rsidR="007931B0">
        <w:rPr>
          <w:rFonts w:ascii="Open Sans" w:hAnsi="Open Sans" w:cs="Open Sans"/>
          <w:sz w:val="24"/>
          <w:szCs w:val="24"/>
        </w:rPr>
        <w:t>o da Súmula 80, que prevê que ‘</w:t>
      </w:r>
      <w:r w:rsidR="00311CF2" w:rsidRPr="00311CF2">
        <w:rPr>
          <w:rFonts w:ascii="Open Sans" w:hAnsi="Open Sans" w:cs="Open Sans"/>
          <w:sz w:val="24"/>
          <w:szCs w:val="24"/>
        </w:rPr>
        <w:t>a eliminação da insalubridade mediante fornecimento de aparelhos protetores aprovados pelo órgão competente do Poder Executivo exclui a per</w:t>
      </w:r>
      <w:r w:rsidR="007931B0">
        <w:rPr>
          <w:rFonts w:ascii="Open Sans" w:hAnsi="Open Sans" w:cs="Open Sans"/>
          <w:sz w:val="24"/>
          <w:szCs w:val="24"/>
        </w:rPr>
        <w:t>cepção do respectivo adicional’</w:t>
      </w:r>
      <w:r w:rsidR="00311CF2" w:rsidRPr="00311CF2">
        <w:rPr>
          <w:rFonts w:ascii="Open Sans" w:hAnsi="Open Sans" w:cs="Open Sans"/>
          <w:sz w:val="24"/>
          <w:szCs w:val="24"/>
        </w:rPr>
        <w:t xml:space="preserve">. Ao contrário, o entendimento aqui apresentado, em sintonia com as balizas traçadas pelo Supremo Tribunal Federal no Tema nº 555, ratifica o entendimento consolidado no referido verbete sumular, uma vez que para se afastar o direito ao recebimento do adicional é imperiosa a constatação da efetiva neutralização do agente nocivo. Contudo, essa neutralização não se concretiza apenas com protetores auriculares, já que estes são espécie de equipamento de proteção individual e eliminam apenas um dos agentes nocivos à saúde decorrente da exposição </w:t>
      </w:r>
      <w:r w:rsidR="00311CF2" w:rsidRPr="00311CF2">
        <w:rPr>
          <w:rFonts w:ascii="Open Sans" w:hAnsi="Open Sans" w:cs="Open Sans"/>
          <w:sz w:val="24"/>
          <w:szCs w:val="24"/>
        </w:rPr>
        <w:lastRenderedPageBreak/>
        <w:t xml:space="preserve">ao ruído acima dos limites legais. 9. Além disso, é fato que a decisão da Suprema Corte foi debatida com a finalidade de fixação de tese sobre o direito à aposentadoria especial para os trabalhadores submetidos a ruídos acima do limite legal. Isso não impede que referidas conclusões sejam aplicadas por esta Justiça Especializada, na medida em que a questão e os fatos analisados têm a mesma origem comum: a inafastabilidade da higidez do meio ambiente de trabalho e a tentativa de compensação (previdenciária ou trabalhista) dos prejuízos sofridos pelo trabalhador pelo tempo de exposição ao agente nocivo ruído, cujos efeitos à saúde são inequívocos e não podem ser eliminados apenas pelo uso de protetores auriculares, tanto que ensejam o direito à aposentadoria especial, ainda que estes sejam eficazes, tal como reconhecido pela Suprema Corte no Tema nº 555/STF. Trata-se de compreensão que ratifica a ideia de que a jurisprudência constitucional-trabalhista deve estar robustecida com decisões que contenham mensagens estruturais </w:t>
      </w:r>
      <w:proofErr w:type="gramStart"/>
      <w:r w:rsidR="00311CF2" w:rsidRPr="00311CF2">
        <w:rPr>
          <w:rFonts w:ascii="Open Sans" w:hAnsi="Open Sans" w:cs="Open Sans"/>
          <w:sz w:val="24"/>
          <w:szCs w:val="24"/>
        </w:rPr>
        <w:t xml:space="preserve">( </w:t>
      </w:r>
      <w:proofErr w:type="spellStart"/>
      <w:proofErr w:type="gramEnd"/>
      <w:r w:rsidR="00311CF2" w:rsidRPr="007931B0">
        <w:rPr>
          <w:rFonts w:ascii="Open Sans" w:hAnsi="Open Sans" w:cs="Open Sans"/>
          <w:i/>
          <w:sz w:val="24"/>
          <w:szCs w:val="24"/>
        </w:rPr>
        <w:t>nudges</w:t>
      </w:r>
      <w:proofErr w:type="spellEnd"/>
      <w:r w:rsidR="007931B0">
        <w:rPr>
          <w:rFonts w:ascii="Open Sans" w:hAnsi="Open Sans" w:cs="Open Sans"/>
          <w:sz w:val="24"/>
          <w:szCs w:val="24"/>
        </w:rPr>
        <w:t xml:space="preserve"> ), as quais direcionem ‘</w:t>
      </w:r>
      <w:r w:rsidR="00311CF2" w:rsidRPr="00311CF2">
        <w:rPr>
          <w:rFonts w:ascii="Open Sans" w:hAnsi="Open Sans" w:cs="Open Sans"/>
          <w:sz w:val="24"/>
          <w:szCs w:val="24"/>
        </w:rPr>
        <w:t>mudanças de culturas, comportamentos, pensamentos etc., de modo que, em longo prazo, possa se ter um ganho significativ</w:t>
      </w:r>
      <w:r w:rsidR="007931B0">
        <w:rPr>
          <w:rFonts w:ascii="Open Sans" w:hAnsi="Open Sans" w:cs="Open Sans"/>
          <w:sz w:val="24"/>
          <w:szCs w:val="24"/>
        </w:rPr>
        <w:t>o em algum objetivo específico’</w:t>
      </w:r>
      <w:r w:rsidR="00311CF2" w:rsidRPr="00311CF2">
        <w:rPr>
          <w:rFonts w:ascii="Open Sans" w:hAnsi="Open Sans" w:cs="Open Sans"/>
          <w:sz w:val="24"/>
          <w:szCs w:val="24"/>
        </w:rPr>
        <w:t xml:space="preserve"> (BENEVIDES; ALMEIDA; MARANHÃO, 2020), qual seja, a máxima higidez do meio ambiente de trabalho. Na hipótese, a mensagem estrutural é complexa, mas objetiva: as normas de saúde e segurança no trabalho não podem ser ignoradas. O mais valioso bem jurídico tutelado pela hermenêutica contida nas respectivas normas é a dignidade física e psíquica da parte trabalhadora, o que não comporta tergiversação. Do contrário, deverão ser aplicadas medidas que induzam à observância das regras atinentes à matéria, como é o caso do adicional de insalubridade. 11. No caso dos autos, evidenciou-se que o fornecimento de protetores auriculares ocorreu de forma irregular e insuficiente, não assegurando proteção eficaz durante a maior parte do contrato.</w:t>
      </w:r>
      <w:r w:rsidR="007931B0">
        <w:rPr>
          <w:rFonts w:ascii="Open Sans" w:hAnsi="Open Sans" w:cs="Open Sans"/>
          <w:sz w:val="24"/>
          <w:szCs w:val="24"/>
        </w:rPr>
        <w:t xml:space="preserve"> </w:t>
      </w:r>
      <w:r w:rsidR="00311CF2" w:rsidRPr="00311CF2">
        <w:rPr>
          <w:rFonts w:ascii="Open Sans" w:hAnsi="Open Sans" w:cs="Open Sans"/>
          <w:sz w:val="24"/>
          <w:szCs w:val="24"/>
        </w:rPr>
        <w:t>Inviável o reconhecimento de nulidade do laudo pericial, porquanto devidamente fundamentado, sendo a insurgência recursal mero inconformismo com a conclusão técnica.</w:t>
      </w:r>
      <w:r w:rsidR="007931B0">
        <w:rPr>
          <w:rFonts w:ascii="Open Sans" w:hAnsi="Open Sans" w:cs="Open Sans"/>
          <w:sz w:val="24"/>
          <w:szCs w:val="24"/>
        </w:rPr>
        <w:t xml:space="preserve"> </w:t>
      </w:r>
      <w:r w:rsidR="00311CF2" w:rsidRPr="00311CF2">
        <w:rPr>
          <w:rFonts w:ascii="Open Sans" w:hAnsi="Open Sans" w:cs="Open Sans"/>
          <w:sz w:val="24"/>
          <w:szCs w:val="24"/>
        </w:rPr>
        <w:t xml:space="preserve">Não há violação dos </w:t>
      </w:r>
      <w:proofErr w:type="spellStart"/>
      <w:r w:rsidR="00311CF2" w:rsidRPr="00311CF2">
        <w:rPr>
          <w:rFonts w:ascii="Open Sans" w:hAnsi="Open Sans" w:cs="Open Sans"/>
          <w:sz w:val="24"/>
          <w:szCs w:val="24"/>
        </w:rPr>
        <w:t>arts</w:t>
      </w:r>
      <w:proofErr w:type="spellEnd"/>
      <w:r w:rsidR="00311CF2" w:rsidRPr="00311CF2">
        <w:rPr>
          <w:rFonts w:ascii="Open Sans" w:hAnsi="Open Sans" w:cs="Open Sans"/>
          <w:sz w:val="24"/>
          <w:szCs w:val="24"/>
        </w:rPr>
        <w:t xml:space="preserve">. 189, 191 e 818 da CLT nem do art. 373, I, do CPC, uma vez que não comprovada a efetiva neutralização dos agentes insalubres, nos termos da Súmula 80 do TST.A reforma da decisão demandaria o reexame de fatos e provas, o que encontra óbice na Súmula 126 do TST. Agravo de instrumento a que se nega provimento. </w:t>
      </w:r>
      <w:r w:rsidR="007931B0">
        <w:rPr>
          <w:rFonts w:ascii="Open Sans" w:hAnsi="Open Sans" w:cs="Open Sans"/>
          <w:sz w:val="24"/>
          <w:szCs w:val="24"/>
        </w:rPr>
        <w:t>[</w:t>
      </w:r>
      <w:proofErr w:type="gramStart"/>
      <w:r w:rsidR="007931B0">
        <w:rPr>
          <w:rFonts w:ascii="Open Sans" w:hAnsi="Open Sans" w:cs="Open Sans"/>
          <w:sz w:val="24"/>
          <w:szCs w:val="24"/>
        </w:rPr>
        <w:t>...]”</w:t>
      </w:r>
      <w:proofErr w:type="gramEnd"/>
      <w:r w:rsidR="007931B0">
        <w:rPr>
          <w:rFonts w:ascii="Open Sans" w:hAnsi="Open Sans" w:cs="Open Sans"/>
          <w:sz w:val="24"/>
          <w:szCs w:val="24"/>
        </w:rPr>
        <w:t xml:space="preserve"> </w:t>
      </w:r>
      <w:r w:rsidR="00311CF2" w:rsidRPr="00311CF2">
        <w:rPr>
          <w:rFonts w:ascii="Open Sans" w:hAnsi="Open Sans" w:cs="Open Sans"/>
          <w:sz w:val="24"/>
          <w:szCs w:val="24"/>
        </w:rPr>
        <w:t>(</w:t>
      </w:r>
      <w:hyperlink r:id="rId24" w:history="1">
        <w:r w:rsidR="007931B0" w:rsidRPr="007931B0">
          <w:rPr>
            <w:rStyle w:val="Hyperlink"/>
            <w:rFonts w:ascii="Open Sans" w:hAnsi="Open Sans" w:cs="Open Sans"/>
            <w:sz w:val="24"/>
            <w:szCs w:val="24"/>
          </w:rPr>
          <w:t>TST-</w:t>
        </w:r>
        <w:r w:rsidR="00311CF2" w:rsidRPr="007931B0">
          <w:rPr>
            <w:rStyle w:val="Hyperlink"/>
            <w:rFonts w:ascii="Open Sans" w:hAnsi="Open Sans" w:cs="Open Sans"/>
            <w:sz w:val="24"/>
            <w:szCs w:val="24"/>
          </w:rPr>
          <w:t>RRAg-12126-68.20</w:t>
        </w:r>
        <w:r w:rsidR="007931B0" w:rsidRPr="007931B0">
          <w:rPr>
            <w:rStyle w:val="Hyperlink"/>
            <w:rFonts w:ascii="Open Sans" w:hAnsi="Open Sans" w:cs="Open Sans"/>
            <w:sz w:val="24"/>
            <w:szCs w:val="24"/>
          </w:rPr>
          <w:t>16.5.15.0070, 3ª Turma, Rel. Min. Alberto Bastos Balazeiro, julgado em 29/4/2026</w:t>
        </w:r>
      </w:hyperlink>
      <w:r w:rsidR="007931B0">
        <w:rPr>
          <w:rFonts w:ascii="Open Sans" w:hAnsi="Open Sans" w:cs="Open Sans"/>
          <w:sz w:val="24"/>
          <w:szCs w:val="24"/>
        </w:rPr>
        <w:t>)</w:t>
      </w:r>
    </w:p>
    <w:p w:rsidR="001F1A7C" w:rsidRDefault="001F1A7C" w:rsidP="001F1A7C">
      <w:pPr>
        <w:widowControl w:val="0"/>
        <w:suppressAutoHyphens/>
        <w:ind w:left="-255" w:right="340"/>
        <w:jc w:val="both"/>
        <w:rPr>
          <w:rFonts w:ascii="Open Sans" w:hAnsi="Open Sans" w:cs="Open Sans"/>
          <w:sz w:val="24"/>
          <w:szCs w:val="24"/>
        </w:rPr>
      </w:pPr>
    </w:p>
    <w:p w:rsidR="00B41292" w:rsidRDefault="00863CF5" w:rsidP="00B35579">
      <w:pPr>
        <w:widowControl w:val="0"/>
        <w:suppressAutoHyphens/>
        <w:ind w:left="-255" w:right="340"/>
        <w:jc w:val="both"/>
        <w:rPr>
          <w:rFonts w:ascii="Open Sans" w:hAnsi="Open Sans" w:cs="Open Sans"/>
          <w:bCs/>
          <w:sz w:val="24"/>
          <w:szCs w:val="24"/>
        </w:rPr>
      </w:pPr>
      <w:r>
        <w:rPr>
          <w:rFonts w:ascii="Open Sans" w:hAnsi="Open Sans" w:cs="Open Sans"/>
          <w:bCs/>
          <w:sz w:val="24"/>
          <w:szCs w:val="24"/>
        </w:rPr>
        <w:t>“</w:t>
      </w:r>
      <w:r w:rsidR="00692828" w:rsidRPr="00692828">
        <w:rPr>
          <w:rFonts w:ascii="Open Sans" w:hAnsi="Open Sans" w:cs="Open Sans"/>
          <w:bCs/>
          <w:sz w:val="24"/>
          <w:szCs w:val="24"/>
        </w:rPr>
        <w:t xml:space="preserve">AGRAVO EM RECURSO DE REVISTA - PROCESSO ANTERIOR À LEI 13.467/17 - AUSÊNCIA DE DEMONSTRAÇÃO DE DESACERTO DO DESPACHO AGRAVADO - DESPROVIMENTO - RECURSO MANIFESTAMENTE INADMISSÍVEL E PROTELATÓRIO - MULTA. </w:t>
      </w:r>
      <w:proofErr w:type="gramStart"/>
      <w:r w:rsidR="00692828" w:rsidRPr="00692828">
        <w:rPr>
          <w:rFonts w:ascii="Open Sans" w:hAnsi="Open Sans" w:cs="Open Sans"/>
          <w:bCs/>
          <w:sz w:val="24"/>
          <w:szCs w:val="24"/>
        </w:rPr>
        <w:t>1</w:t>
      </w:r>
      <w:proofErr w:type="gramEnd"/>
      <w:r w:rsidR="00692828" w:rsidRPr="00692828">
        <w:rPr>
          <w:rFonts w:ascii="Open Sans" w:hAnsi="Open Sans" w:cs="Open Sans"/>
          <w:bCs/>
          <w:sz w:val="24"/>
          <w:szCs w:val="24"/>
        </w:rPr>
        <w:t>. Na decisão ora agravada, foi denegado seguimento ao recurso de revista obreiro, no tocan</w:t>
      </w:r>
      <w:r w:rsidR="00692828">
        <w:rPr>
          <w:rFonts w:ascii="Open Sans" w:hAnsi="Open Sans" w:cs="Open Sans"/>
          <w:bCs/>
          <w:sz w:val="24"/>
          <w:szCs w:val="24"/>
        </w:rPr>
        <w:t>te às promoções por antiguidade</w:t>
      </w:r>
      <w:r w:rsidR="00692828" w:rsidRPr="00692828">
        <w:rPr>
          <w:rFonts w:ascii="Open Sans" w:hAnsi="Open Sans" w:cs="Open Sans"/>
          <w:bCs/>
          <w:sz w:val="24"/>
          <w:szCs w:val="24"/>
        </w:rPr>
        <w:t>, com fulcro nos óbices do ar</w:t>
      </w:r>
      <w:r w:rsidR="00692828">
        <w:rPr>
          <w:rFonts w:ascii="Open Sans" w:hAnsi="Open Sans" w:cs="Open Sans"/>
          <w:bCs/>
          <w:sz w:val="24"/>
          <w:szCs w:val="24"/>
        </w:rPr>
        <w:t>t. 896, § 1º-A, I e III, da CLT</w:t>
      </w:r>
      <w:r w:rsidR="00692828" w:rsidRPr="00692828">
        <w:rPr>
          <w:rFonts w:ascii="Open Sans" w:hAnsi="Open Sans" w:cs="Open Sans"/>
          <w:bCs/>
          <w:sz w:val="24"/>
          <w:szCs w:val="24"/>
        </w:rPr>
        <w:t>, quanto à delimitação das controvérsias suscitadas e ao cotejo analítico com os fundamentos jurídicos recursais. 2. Não tendo o Agravante demovido o óbice erigido pela decisão agravada nem suas razões de decidir, esta merece ser mantida, com aplicação de multa, por ser o agravo manifestamente inadmissível e protelatório (CPC, art. 1.021, § 4º). Agravo desprovido, com multa.</w:t>
      </w:r>
      <w:r w:rsidR="00692828">
        <w:rPr>
          <w:rFonts w:ascii="Open Sans" w:hAnsi="Open Sans" w:cs="Open Sans"/>
          <w:bCs/>
          <w:sz w:val="24"/>
          <w:szCs w:val="24"/>
        </w:rPr>
        <w:t>”</w:t>
      </w:r>
      <w:r w:rsidR="004B6AFE">
        <w:rPr>
          <w:rFonts w:ascii="Open Sans" w:hAnsi="Open Sans" w:cs="Open Sans"/>
          <w:bCs/>
          <w:sz w:val="24"/>
          <w:szCs w:val="24"/>
        </w:rPr>
        <w:t xml:space="preserve"> </w:t>
      </w:r>
      <w:r w:rsidRPr="00863CF5">
        <w:rPr>
          <w:rFonts w:ascii="Open Sans" w:hAnsi="Open Sans" w:cs="Open Sans"/>
          <w:bCs/>
          <w:sz w:val="24"/>
          <w:szCs w:val="24"/>
        </w:rPr>
        <w:t>(</w:t>
      </w:r>
      <w:hyperlink r:id="rId25" w:history="1">
        <w:r w:rsidRPr="00692828">
          <w:rPr>
            <w:rStyle w:val="Hyperlink"/>
            <w:rFonts w:ascii="Open Sans" w:hAnsi="Open Sans" w:cs="Open Sans"/>
            <w:bCs/>
            <w:sz w:val="24"/>
            <w:szCs w:val="24"/>
          </w:rPr>
          <w:t>TST-</w:t>
        </w:r>
        <w:r w:rsidR="00692828" w:rsidRPr="00692828">
          <w:rPr>
            <w:rStyle w:val="Hyperlink"/>
            <w:rFonts w:ascii="Open Sans" w:hAnsi="Open Sans" w:cs="Open Sans"/>
            <w:bCs/>
            <w:sz w:val="24"/>
            <w:szCs w:val="24"/>
          </w:rPr>
          <w:t>Ag-RRAg-1001199-64.2015.5.02.0606</w:t>
        </w:r>
        <w:r w:rsidRPr="00692828">
          <w:rPr>
            <w:rStyle w:val="Hyperlink"/>
            <w:rFonts w:ascii="Open Sans" w:hAnsi="Open Sans" w:cs="Open Sans"/>
            <w:bCs/>
            <w:sz w:val="24"/>
            <w:szCs w:val="24"/>
          </w:rPr>
          <w:t>, 4ª Turma, Rel. Min. Ives Gandra da Silva Martins Filho, julgado em  22/4/2026</w:t>
        </w:r>
      </w:hyperlink>
      <w:r w:rsidR="00142554">
        <w:rPr>
          <w:rFonts w:ascii="Open Sans" w:hAnsi="Open Sans" w:cs="Open Sans"/>
          <w:bCs/>
          <w:sz w:val="24"/>
          <w:szCs w:val="24"/>
        </w:rPr>
        <w:t>)</w:t>
      </w:r>
    </w:p>
    <w:p w:rsidR="00863CF5" w:rsidRDefault="00863CF5" w:rsidP="00B35579">
      <w:pPr>
        <w:widowControl w:val="0"/>
        <w:suppressAutoHyphens/>
        <w:ind w:left="-255" w:right="340"/>
        <w:jc w:val="both"/>
        <w:rPr>
          <w:rFonts w:ascii="Open Sans" w:hAnsi="Open Sans" w:cs="Open Sans"/>
          <w:bCs/>
          <w:sz w:val="24"/>
          <w:szCs w:val="24"/>
        </w:rPr>
      </w:pPr>
    </w:p>
    <w:p w:rsidR="00B41292" w:rsidRDefault="00474BD9" w:rsidP="00170288">
      <w:pPr>
        <w:widowControl w:val="0"/>
        <w:suppressAutoHyphens/>
        <w:ind w:left="-255" w:right="340"/>
        <w:jc w:val="both"/>
        <w:rPr>
          <w:rFonts w:ascii="Open Sans" w:hAnsi="Open Sans" w:cs="Open Sans"/>
          <w:bCs/>
          <w:sz w:val="24"/>
          <w:szCs w:val="24"/>
        </w:rPr>
      </w:pPr>
      <w:r>
        <w:rPr>
          <w:rFonts w:ascii="Open Sans" w:hAnsi="Open Sans" w:cs="Open Sans"/>
          <w:bCs/>
          <w:sz w:val="24"/>
          <w:szCs w:val="24"/>
        </w:rPr>
        <w:lastRenderedPageBreak/>
        <w:t>“</w:t>
      </w:r>
      <w:r w:rsidRPr="00474BD9">
        <w:rPr>
          <w:rFonts w:ascii="Open Sans" w:hAnsi="Open Sans" w:cs="Open Sans"/>
          <w:bCs/>
          <w:sz w:val="24"/>
          <w:szCs w:val="24"/>
        </w:rPr>
        <w:t>AGRAVO EM RECURSO DE REVISTA INTERPOSTO NA VIGÊNCIA DA LEI Nº 13.467/2017 – EXECUÇÃO - EXECUÇÃO INDIVIDUAL DE SENTENÇA COLETIVA - ACORDO CELEBRADO PELO SINDICATO EM CUMPRIMENTO DE SENTENÇA DE AÇÃO COLETIVA DISPONDO SOBRE DIREITO MATERIAL DOS SUBSTITUÍDOS - AUSÊNCIA DE AUTORIZAÇÃO EXPRESSA DO EMPREGADO - TRANSCENDÊNCIA NÃO RECONHECIDA Como salientado na decisão agravada, o E. Supremo Tribunal Federal, no Tema 823 da Tabela de Repercussão Geral, em interpretação ao art. 8º, III, da Constituição Fede</w:t>
      </w:r>
      <w:r>
        <w:rPr>
          <w:rFonts w:ascii="Open Sans" w:hAnsi="Open Sans" w:cs="Open Sans"/>
          <w:bCs/>
          <w:sz w:val="24"/>
          <w:szCs w:val="24"/>
        </w:rPr>
        <w:t>ral, firmou a tese de que ‘</w:t>
      </w:r>
      <w:r w:rsidRPr="00474BD9">
        <w:rPr>
          <w:rFonts w:ascii="Open Sans" w:hAnsi="Open Sans" w:cs="Open Sans"/>
          <w:bCs/>
          <w:sz w:val="24"/>
          <w:szCs w:val="24"/>
        </w:rPr>
        <w:t>os sindicatos possuem ampla legitimidade extraordinária para defender em juízo os direitos e interesses coletivos ou individuais dos integrantes da categoria que representam, inclusive nas liquidações e execuções de sentença, independentemente d</w:t>
      </w:r>
      <w:r>
        <w:rPr>
          <w:rFonts w:ascii="Open Sans" w:hAnsi="Open Sans" w:cs="Open Sans"/>
          <w:bCs/>
          <w:sz w:val="24"/>
          <w:szCs w:val="24"/>
        </w:rPr>
        <w:t>e autorização dos substituídos’</w:t>
      </w:r>
      <w:r w:rsidRPr="00474BD9">
        <w:rPr>
          <w:rFonts w:ascii="Open Sans" w:hAnsi="Open Sans" w:cs="Open Sans"/>
          <w:bCs/>
          <w:sz w:val="24"/>
          <w:szCs w:val="24"/>
        </w:rPr>
        <w:t xml:space="preserve"> (destaquei). Todavia, tal legitimação ostenta natureza estritamente processual, de modo que o legitimado extraordinário não detém poderes para praticar atos de disposição do direito material do substituído sem a sua expressa concordância. Isso porque atos como renúncia ou transação, ao implicarem limitação ou restrição de direitos subjetivos do empregado, exigem poderes específicos para sua validade. Nessa linha, não poderia o sindicato celebrar ajuste sem a anuência expressa dos substituídos, uma vez que tal providência importa em disposição de direito material pertencente à parte Autora. Julgados. Ag</w:t>
      </w:r>
      <w:r>
        <w:rPr>
          <w:rFonts w:ascii="Open Sans" w:hAnsi="Open Sans" w:cs="Open Sans"/>
          <w:bCs/>
          <w:sz w:val="24"/>
          <w:szCs w:val="24"/>
        </w:rPr>
        <w:t>ravo a que se nega provimento.</w:t>
      </w:r>
      <w:r w:rsidR="00EA0D21">
        <w:rPr>
          <w:rFonts w:ascii="Open Sans" w:hAnsi="Open Sans" w:cs="Open Sans"/>
          <w:bCs/>
          <w:sz w:val="24"/>
          <w:szCs w:val="24"/>
        </w:rPr>
        <w:t>”</w:t>
      </w:r>
      <w:r>
        <w:rPr>
          <w:rFonts w:ascii="Open Sans" w:hAnsi="Open Sans" w:cs="Open Sans"/>
          <w:bCs/>
          <w:sz w:val="24"/>
          <w:szCs w:val="24"/>
        </w:rPr>
        <w:t xml:space="preserve"> </w:t>
      </w:r>
      <w:r w:rsidRPr="00474BD9">
        <w:rPr>
          <w:rFonts w:ascii="Open Sans" w:hAnsi="Open Sans" w:cs="Open Sans"/>
          <w:bCs/>
          <w:sz w:val="24"/>
          <w:szCs w:val="24"/>
        </w:rPr>
        <w:t>(</w:t>
      </w:r>
      <w:hyperlink r:id="rId26" w:anchor="db54e9e" w:history="1">
        <w:r w:rsidRPr="00574FEA">
          <w:rPr>
            <w:rStyle w:val="Hyperlink"/>
            <w:rFonts w:ascii="Open Sans" w:hAnsi="Open Sans" w:cs="Open Sans"/>
            <w:bCs/>
            <w:sz w:val="24"/>
            <w:szCs w:val="24"/>
          </w:rPr>
          <w:t xml:space="preserve">TST-Ag-RR-0012335-57.2023.5.18.0054, 4ª Turma, Rel. Min. Maria Cristina </w:t>
        </w:r>
        <w:proofErr w:type="spellStart"/>
        <w:r w:rsidR="00574FEA" w:rsidRPr="00574FEA">
          <w:rPr>
            <w:rStyle w:val="Hyperlink"/>
            <w:rFonts w:ascii="Open Sans" w:hAnsi="Open Sans" w:cs="Open Sans"/>
            <w:bCs/>
            <w:sz w:val="24"/>
            <w:szCs w:val="24"/>
          </w:rPr>
          <w:t>Irigoyen</w:t>
        </w:r>
        <w:proofErr w:type="spellEnd"/>
        <w:r w:rsidR="00574FEA" w:rsidRPr="00574FEA">
          <w:rPr>
            <w:rStyle w:val="Hyperlink"/>
            <w:rFonts w:ascii="Open Sans" w:hAnsi="Open Sans" w:cs="Open Sans"/>
            <w:bCs/>
            <w:sz w:val="24"/>
            <w:szCs w:val="24"/>
          </w:rPr>
          <w:t xml:space="preserve"> </w:t>
        </w:r>
        <w:proofErr w:type="spellStart"/>
        <w:r w:rsidR="00574FEA" w:rsidRPr="00574FEA">
          <w:rPr>
            <w:rStyle w:val="Hyperlink"/>
            <w:rFonts w:ascii="Open Sans" w:hAnsi="Open Sans" w:cs="Open Sans"/>
            <w:bCs/>
            <w:sz w:val="24"/>
            <w:szCs w:val="24"/>
          </w:rPr>
          <w:t>Peduzzi</w:t>
        </w:r>
        <w:proofErr w:type="spellEnd"/>
        <w:r w:rsidR="00574FEA" w:rsidRPr="00574FEA">
          <w:rPr>
            <w:rStyle w:val="Hyperlink"/>
            <w:rFonts w:ascii="Open Sans" w:hAnsi="Open Sans" w:cs="Open Sans"/>
            <w:bCs/>
            <w:sz w:val="24"/>
            <w:szCs w:val="24"/>
          </w:rPr>
          <w:t>, julgado em 24/</w:t>
        </w:r>
        <w:r w:rsidRPr="00574FEA">
          <w:rPr>
            <w:rStyle w:val="Hyperlink"/>
            <w:rFonts w:ascii="Open Sans" w:hAnsi="Open Sans" w:cs="Open Sans"/>
            <w:bCs/>
            <w:sz w:val="24"/>
            <w:szCs w:val="24"/>
          </w:rPr>
          <w:t>4/2026</w:t>
        </w:r>
      </w:hyperlink>
      <w:proofErr w:type="gramStart"/>
      <w:r w:rsidR="00DC2435">
        <w:rPr>
          <w:rFonts w:ascii="Open Sans" w:hAnsi="Open Sans" w:cs="Open Sans"/>
          <w:bCs/>
          <w:sz w:val="24"/>
          <w:szCs w:val="24"/>
        </w:rPr>
        <w:t>)</w:t>
      </w:r>
      <w:proofErr w:type="gramEnd"/>
    </w:p>
    <w:p w:rsidR="00C55778" w:rsidRDefault="00C55778" w:rsidP="00170288">
      <w:pPr>
        <w:widowControl w:val="0"/>
        <w:suppressAutoHyphens/>
        <w:ind w:left="-255" w:right="340"/>
        <w:jc w:val="both"/>
        <w:rPr>
          <w:rFonts w:ascii="Open Sans" w:hAnsi="Open Sans" w:cs="Open Sans"/>
          <w:bCs/>
          <w:sz w:val="24"/>
          <w:szCs w:val="24"/>
        </w:rPr>
      </w:pPr>
    </w:p>
    <w:p w:rsidR="00460460" w:rsidRDefault="00055C90" w:rsidP="00170288">
      <w:pPr>
        <w:widowControl w:val="0"/>
        <w:suppressAutoHyphens/>
        <w:ind w:left="-255" w:right="340"/>
        <w:jc w:val="both"/>
        <w:rPr>
          <w:rFonts w:ascii="Open Sans" w:hAnsi="Open Sans" w:cs="Open Sans"/>
          <w:bCs/>
          <w:sz w:val="24"/>
          <w:szCs w:val="24"/>
        </w:rPr>
      </w:pPr>
      <w:r>
        <w:rPr>
          <w:rFonts w:ascii="Open Sans" w:hAnsi="Open Sans" w:cs="Open Sans"/>
          <w:bCs/>
          <w:sz w:val="24"/>
          <w:szCs w:val="24"/>
        </w:rPr>
        <w:t>“</w:t>
      </w:r>
      <w:r w:rsidRPr="00055C90">
        <w:rPr>
          <w:rFonts w:ascii="Open Sans" w:hAnsi="Open Sans" w:cs="Open Sans"/>
          <w:bCs/>
          <w:sz w:val="24"/>
          <w:szCs w:val="24"/>
        </w:rPr>
        <w:t xml:space="preserve">RECURSO DE REVISTA INTERPOSTO PELO SINDICATO AUTOR. ACÓRDÃO REGIONAL PUBLICADO NA VIGÊNCIA DA LEI Nº 13.467/2017. AÇÃO CIVIL PÚBLICA. SINDICATO. EXIBIÇÃO DE DOCUMENTOS RELATIVOS À SAÚDE E SEGURANÇA DO TRABALHO. INTERESSE DE AGIR. ADEQUAÇÃO DA VIA ELEITA. TRANSCENDÊNCIA POLÍTICA RECONHECIDA. CONHECIMENTO E PROVIMENTO. I. Recurso de revista interposto pelo Sindicato Autor em face de decisão regional que manteve a extinção da ação civil pública, sem resolução do mérito, por ausência de interesse de agir. II.  Cinge-se a controvérsia acerca do interesse processual do sindicato para ajuizar ação civil pública visando à exibição de documentos obrigatórios relacionados ao meio ambiente do trabalho (PPRA, PCMSO, AVCB, AET e CIPA). III. </w:t>
      </w:r>
      <w:proofErr w:type="gramStart"/>
      <w:r w:rsidRPr="00055C90">
        <w:rPr>
          <w:rFonts w:ascii="Open Sans" w:hAnsi="Open Sans" w:cs="Open Sans"/>
          <w:bCs/>
          <w:sz w:val="24"/>
          <w:szCs w:val="24"/>
        </w:rPr>
        <w:t>1</w:t>
      </w:r>
      <w:proofErr w:type="gramEnd"/>
      <w:r w:rsidRPr="00055C90">
        <w:rPr>
          <w:rFonts w:ascii="Open Sans" w:hAnsi="Open Sans" w:cs="Open Sans"/>
          <w:bCs/>
          <w:sz w:val="24"/>
          <w:szCs w:val="24"/>
        </w:rPr>
        <w:t xml:space="preserve">. O art. 8º, III, da Constituição Federal assegura ao sindicato legitimidade extraordinária ampla para a defesa judicial e administrativa dos direitos e interesses coletivos e individuais homogêneos da categoria, entendimento consolidado na jurisprudência do Supremo Tribunal Federal e desta Corte Superior. 2. A pretensão deduzida insere-se no âmbito de tutela do meio ambiente do trabalho, direito de natureza difusa e coletiva, nos termos dos </w:t>
      </w:r>
      <w:proofErr w:type="spellStart"/>
      <w:r w:rsidRPr="00055C90">
        <w:rPr>
          <w:rFonts w:ascii="Open Sans" w:hAnsi="Open Sans" w:cs="Open Sans"/>
          <w:bCs/>
          <w:sz w:val="24"/>
          <w:szCs w:val="24"/>
        </w:rPr>
        <w:t>arts</w:t>
      </w:r>
      <w:proofErr w:type="spellEnd"/>
      <w:r w:rsidRPr="00055C90">
        <w:rPr>
          <w:rFonts w:ascii="Open Sans" w:hAnsi="Open Sans" w:cs="Open Sans"/>
          <w:bCs/>
          <w:sz w:val="24"/>
          <w:szCs w:val="24"/>
        </w:rPr>
        <w:t xml:space="preserve">. 7º, XXII, e 225 da Constituição Federal, bem como dos </w:t>
      </w:r>
      <w:proofErr w:type="spellStart"/>
      <w:r w:rsidRPr="00055C90">
        <w:rPr>
          <w:rFonts w:ascii="Open Sans" w:hAnsi="Open Sans" w:cs="Open Sans"/>
          <w:bCs/>
          <w:sz w:val="24"/>
          <w:szCs w:val="24"/>
        </w:rPr>
        <w:t>arts</w:t>
      </w:r>
      <w:proofErr w:type="spellEnd"/>
      <w:r w:rsidRPr="00055C90">
        <w:rPr>
          <w:rFonts w:ascii="Open Sans" w:hAnsi="Open Sans" w:cs="Open Sans"/>
          <w:bCs/>
          <w:sz w:val="24"/>
          <w:szCs w:val="24"/>
        </w:rPr>
        <w:t>. 1º, I, e 4º da Lei nº 7.347/85. 3. A ação civil pública constitui meio processual adequado para a obtenção de provimento preventivo e inibitório destinado a assegurar condições de trabalho seguras e saudáveis, não se confundindo com mera produção antecipada de prova ou utilização do Poder Judiciário para fins exclusivamente investigativos. 4. Conclui-se, assim, que (i) o sindicato possui legitimidade e interesse processual para ajuizar ação civil pública com o objetivo de obter a exibição de documentos relacionados à saúde e segurança do trabalho; e (</w:t>
      </w:r>
      <w:proofErr w:type="spellStart"/>
      <w:r w:rsidRPr="00055C90">
        <w:rPr>
          <w:rFonts w:ascii="Open Sans" w:hAnsi="Open Sans" w:cs="Open Sans"/>
          <w:bCs/>
          <w:sz w:val="24"/>
          <w:szCs w:val="24"/>
        </w:rPr>
        <w:t>ii</w:t>
      </w:r>
      <w:proofErr w:type="spellEnd"/>
      <w:r w:rsidRPr="00055C90">
        <w:rPr>
          <w:rFonts w:ascii="Open Sans" w:hAnsi="Open Sans" w:cs="Open Sans"/>
          <w:bCs/>
          <w:sz w:val="24"/>
          <w:szCs w:val="24"/>
        </w:rPr>
        <w:t xml:space="preserve">) a ação civil pública é a via adequada para a tutela preventiva e inibitória de interesses </w:t>
      </w:r>
      <w:proofErr w:type="spellStart"/>
      <w:r w:rsidRPr="00055C90">
        <w:rPr>
          <w:rFonts w:ascii="Open Sans" w:hAnsi="Open Sans" w:cs="Open Sans"/>
          <w:bCs/>
          <w:sz w:val="24"/>
          <w:szCs w:val="24"/>
        </w:rPr>
        <w:t>metaindividuais</w:t>
      </w:r>
      <w:proofErr w:type="spellEnd"/>
      <w:r w:rsidRPr="00055C90">
        <w:rPr>
          <w:rFonts w:ascii="Open Sans" w:hAnsi="Open Sans" w:cs="Open Sans"/>
          <w:bCs/>
          <w:sz w:val="24"/>
          <w:szCs w:val="24"/>
        </w:rPr>
        <w:t xml:space="preserve"> relacionados à saúde e segurança do trabalho, nos termos da legislação vigente. 5. Evidenciado o interesse de agir e a </w:t>
      </w:r>
      <w:r w:rsidRPr="00055C90">
        <w:rPr>
          <w:rFonts w:ascii="Open Sans" w:hAnsi="Open Sans" w:cs="Open Sans"/>
          <w:bCs/>
          <w:sz w:val="24"/>
          <w:szCs w:val="24"/>
        </w:rPr>
        <w:lastRenderedPageBreak/>
        <w:t xml:space="preserve">adequação da via eleita, revela-se indevida a extinção do processo sem resolução do mérito.  IV. </w:t>
      </w:r>
      <w:proofErr w:type="gramStart"/>
      <w:r w:rsidRPr="00055C90">
        <w:rPr>
          <w:rFonts w:ascii="Open Sans" w:hAnsi="Open Sans" w:cs="Open Sans"/>
          <w:bCs/>
          <w:sz w:val="24"/>
          <w:szCs w:val="24"/>
        </w:rPr>
        <w:t>Recurso de revista de que se conhece e a que se dá provimento.</w:t>
      </w:r>
      <w:r w:rsidR="00EA0D21">
        <w:rPr>
          <w:rFonts w:ascii="Open Sans" w:hAnsi="Open Sans" w:cs="Open Sans"/>
          <w:bCs/>
          <w:sz w:val="24"/>
          <w:szCs w:val="24"/>
        </w:rPr>
        <w:t>”</w:t>
      </w:r>
      <w:proofErr w:type="gramEnd"/>
      <w:r w:rsidRPr="00055C90">
        <w:rPr>
          <w:rFonts w:ascii="Open Sans" w:hAnsi="Open Sans" w:cs="Open Sans"/>
          <w:bCs/>
          <w:sz w:val="24"/>
          <w:szCs w:val="24"/>
        </w:rPr>
        <w:t xml:space="preserve">  (</w:t>
      </w:r>
      <w:hyperlink r:id="rId27" w:history="1">
        <w:r w:rsidRPr="00055C90">
          <w:rPr>
            <w:rStyle w:val="Hyperlink"/>
            <w:rFonts w:ascii="Open Sans" w:hAnsi="Open Sans" w:cs="Open Sans"/>
            <w:bCs/>
            <w:sz w:val="24"/>
            <w:szCs w:val="24"/>
          </w:rPr>
          <w:t>TST-RR-12655-95.2018.5.15.0077, 4ª Turm</w:t>
        </w:r>
        <w:r w:rsidRPr="00055C90">
          <w:rPr>
            <w:rStyle w:val="Hyperlink"/>
            <w:rFonts w:ascii="Open Sans" w:hAnsi="Open Sans" w:cs="Open Sans"/>
            <w:bCs/>
            <w:sz w:val="24"/>
            <w:szCs w:val="24"/>
          </w:rPr>
          <w:t>a</w:t>
        </w:r>
        <w:r w:rsidRPr="00055C90">
          <w:rPr>
            <w:rStyle w:val="Hyperlink"/>
            <w:rFonts w:ascii="Open Sans" w:hAnsi="Open Sans" w:cs="Open Sans"/>
            <w:bCs/>
            <w:sz w:val="24"/>
            <w:szCs w:val="24"/>
          </w:rPr>
          <w:t>, Rel. Min. Alexandre Luiz Ramos, julgado em 22/4/2026</w:t>
        </w:r>
      </w:hyperlink>
      <w:r w:rsidR="00332EFB">
        <w:rPr>
          <w:rFonts w:ascii="Open Sans" w:hAnsi="Open Sans" w:cs="Open Sans"/>
          <w:bCs/>
          <w:sz w:val="24"/>
          <w:szCs w:val="24"/>
        </w:rPr>
        <w:t>)</w:t>
      </w:r>
    </w:p>
    <w:p w:rsidR="000301C5" w:rsidRDefault="000301C5" w:rsidP="000301C5">
      <w:pPr>
        <w:widowControl w:val="0"/>
        <w:suppressAutoHyphens/>
        <w:ind w:left="-255" w:right="340"/>
        <w:jc w:val="both"/>
        <w:rPr>
          <w:rFonts w:ascii="Open Sans" w:hAnsi="Open Sans" w:cs="Open Sans"/>
          <w:bCs/>
          <w:sz w:val="24"/>
          <w:szCs w:val="24"/>
        </w:rPr>
      </w:pPr>
    </w:p>
    <w:p w:rsidR="000301C5" w:rsidRDefault="00D26F9A" w:rsidP="000301C5">
      <w:pPr>
        <w:widowControl w:val="0"/>
        <w:suppressAutoHyphens/>
        <w:ind w:left="-255" w:right="340"/>
        <w:jc w:val="both"/>
        <w:rPr>
          <w:rFonts w:ascii="Open Sans" w:hAnsi="Open Sans" w:cs="Open Sans"/>
          <w:bCs/>
          <w:sz w:val="24"/>
          <w:szCs w:val="24"/>
        </w:rPr>
      </w:pPr>
      <w:r>
        <w:rPr>
          <w:rFonts w:ascii="Open Sans" w:hAnsi="Open Sans" w:cs="Open Sans"/>
          <w:bCs/>
          <w:sz w:val="24"/>
          <w:szCs w:val="24"/>
        </w:rPr>
        <w:t>“</w:t>
      </w:r>
      <w:r w:rsidR="000301C5">
        <w:rPr>
          <w:rFonts w:ascii="Open Sans" w:hAnsi="Open Sans" w:cs="Open Sans"/>
          <w:bCs/>
          <w:sz w:val="24"/>
          <w:szCs w:val="24"/>
        </w:rPr>
        <w:t>[...]</w:t>
      </w:r>
      <w:r w:rsidR="00E53125">
        <w:rPr>
          <w:rFonts w:ascii="Open Sans" w:hAnsi="Open Sans" w:cs="Open Sans"/>
          <w:bCs/>
          <w:sz w:val="24"/>
          <w:szCs w:val="24"/>
        </w:rPr>
        <w:t xml:space="preserve"> AGRAVOS EM AGRAVOS DE INSTRUMENTO EM</w:t>
      </w:r>
      <w:r w:rsidR="000301C5" w:rsidRPr="00D87BE6">
        <w:rPr>
          <w:rFonts w:ascii="Open Sans" w:hAnsi="Open Sans" w:cs="Open Sans"/>
          <w:bCs/>
          <w:sz w:val="24"/>
          <w:szCs w:val="24"/>
        </w:rPr>
        <w:t xml:space="preserve"> RECURSOS DE REVISTA DA SAMARCO MINERAÇÃO S.A., VALE S.A. E BHP BILLITON BRASIL LTDA. ACÓRDÃO REGIONAL PUBLICADO NA VIGÊNCIA DA LEI Nº 13.467/2017. MATÉRIA COMUM. ANÁLISE CONJUNTA. RESPONSABILIDADE CIVIL. INDENIZAÇÃO POR DANO MORAL. ROMPIMENTO DA BARRAG</w:t>
      </w:r>
      <w:r w:rsidR="000C77BC">
        <w:rPr>
          <w:rFonts w:ascii="Open Sans" w:hAnsi="Open Sans" w:cs="Open Sans"/>
          <w:bCs/>
          <w:sz w:val="24"/>
          <w:szCs w:val="24"/>
        </w:rPr>
        <w:t>EM DO FUNDÃO EM MARIANA</w:t>
      </w:r>
      <w:r w:rsidR="00E53125">
        <w:rPr>
          <w:rFonts w:ascii="Open Sans" w:hAnsi="Open Sans" w:cs="Open Sans"/>
          <w:bCs/>
          <w:sz w:val="24"/>
          <w:szCs w:val="24"/>
        </w:rPr>
        <w:t xml:space="preserve"> - </w:t>
      </w:r>
      <w:r w:rsidR="000301C5" w:rsidRPr="00D87BE6">
        <w:rPr>
          <w:rFonts w:ascii="Open Sans" w:hAnsi="Open Sans" w:cs="Open Sans"/>
          <w:bCs/>
          <w:sz w:val="24"/>
          <w:szCs w:val="24"/>
        </w:rPr>
        <w:t>MG. PRESTAÇÃO DE SERVIÇOS PELO TRABALHADOR NO DIA E LOCAL DO ACIDENTE. TRANSCENDÊNCIA NÃO RECONHECIDA. 1. Nas razões de revista da BHP Billiton do Brasil, quanto ao tema, houve transcrição de trecho insuficiente, a fl. 3.014, que não contempla todos os fundamentos registrados no acórdão regional, de modo que impossibilitado extrair, com exatidão e completude, todo o quadro fático e moldura jurídica adotada pelo Tribunal Regional, necessários ao exame da admissibilidade do recurso de revista, em desacordo com o art. 896, §1º-A, I a III, da CLT. 2. Quanto às demais reclamadas, a finalidade precípua desta Corte Superior, na uniformização de teses jurídicas, não autoriza a revisão do conjunto fático-probatório já analisado pelo Tribunal Regional, na esteira do entendimento consolidado pela Súmula 126/TST. 3. As alegações recursais no sentido de que havia cumprimento de medidas de segurança, ausência de culpa e nexo causal, contrariam frontalmente o quadro fático delineado no ac</w:t>
      </w:r>
      <w:r w:rsidR="000301C5">
        <w:rPr>
          <w:rFonts w:ascii="Open Sans" w:hAnsi="Open Sans" w:cs="Open Sans"/>
          <w:bCs/>
          <w:sz w:val="24"/>
          <w:szCs w:val="24"/>
        </w:rPr>
        <w:t>órdão regional, segundo o qual ‘</w:t>
      </w:r>
      <w:r w:rsidR="000301C5" w:rsidRPr="00D87BE6">
        <w:rPr>
          <w:rFonts w:ascii="Open Sans" w:hAnsi="Open Sans" w:cs="Open Sans"/>
          <w:bCs/>
          <w:sz w:val="24"/>
          <w:szCs w:val="24"/>
        </w:rPr>
        <w:t>os treinamentos não foram suficientes, levando em conta a forma desordenada por meio da qual ocor</w:t>
      </w:r>
      <w:r w:rsidR="000301C5">
        <w:rPr>
          <w:rFonts w:ascii="Open Sans" w:hAnsi="Open Sans" w:cs="Open Sans"/>
          <w:bCs/>
          <w:sz w:val="24"/>
          <w:szCs w:val="24"/>
        </w:rPr>
        <w:t>reu o procedimento de evacuação’, ‘</w:t>
      </w:r>
      <w:r w:rsidR="000301C5" w:rsidRPr="00D87BE6">
        <w:rPr>
          <w:rFonts w:ascii="Open Sans" w:hAnsi="Open Sans" w:cs="Open Sans"/>
          <w:bCs/>
          <w:sz w:val="24"/>
          <w:szCs w:val="24"/>
        </w:rPr>
        <w:t>um dos pontos de encontro foi soterrado pelo deslizamento</w:t>
      </w:r>
      <w:r w:rsidR="000301C5">
        <w:rPr>
          <w:rFonts w:ascii="Open Sans" w:hAnsi="Open Sans" w:cs="Open Sans"/>
          <w:bCs/>
          <w:sz w:val="24"/>
          <w:szCs w:val="24"/>
        </w:rPr>
        <w:t>’, ‘</w:t>
      </w:r>
      <w:r w:rsidR="000301C5" w:rsidRPr="00D87BE6">
        <w:rPr>
          <w:rFonts w:ascii="Open Sans" w:hAnsi="Open Sans" w:cs="Open Sans"/>
          <w:bCs/>
          <w:sz w:val="24"/>
          <w:szCs w:val="24"/>
        </w:rPr>
        <w:t xml:space="preserve">a Samarco optou pela operação em potencial máximo, não obstante os sinais evidentes </w:t>
      </w:r>
      <w:r w:rsidR="000301C5">
        <w:rPr>
          <w:rFonts w:ascii="Open Sans" w:hAnsi="Open Sans" w:cs="Open Sans"/>
          <w:bCs/>
          <w:sz w:val="24"/>
          <w:szCs w:val="24"/>
        </w:rPr>
        <w:t>de falha estrutural na barragem’, ‘</w:t>
      </w:r>
      <w:r w:rsidR="000301C5" w:rsidRPr="00D87BE6">
        <w:rPr>
          <w:rFonts w:ascii="Open Sans" w:hAnsi="Open Sans" w:cs="Open Sans"/>
          <w:bCs/>
          <w:sz w:val="24"/>
          <w:szCs w:val="24"/>
        </w:rPr>
        <w:t>conforme analisado nos laudos elaborados pelos órgãos oficiais, o acidente ocorreu por um conjunto de falhas graves no monitoramento da estabilidade e</w:t>
      </w:r>
      <w:r w:rsidR="000301C5">
        <w:rPr>
          <w:rFonts w:ascii="Open Sans" w:hAnsi="Open Sans" w:cs="Open Sans"/>
          <w:bCs/>
          <w:sz w:val="24"/>
          <w:szCs w:val="24"/>
        </w:rPr>
        <w:t xml:space="preserve"> dos níveis de água da barragem’</w:t>
      </w:r>
      <w:r w:rsidR="000301C5" w:rsidRPr="00D87BE6">
        <w:rPr>
          <w:rFonts w:ascii="Open Sans" w:hAnsi="Open Sans" w:cs="Open Sans"/>
          <w:bCs/>
          <w:sz w:val="24"/>
          <w:szCs w:val="24"/>
        </w:rPr>
        <w:t>. Registra o Colegiado de origem que o acidente atingiu a integ</w:t>
      </w:r>
      <w:r w:rsidR="006A7107">
        <w:rPr>
          <w:rFonts w:ascii="Open Sans" w:hAnsi="Open Sans" w:cs="Open Sans"/>
          <w:bCs/>
          <w:sz w:val="24"/>
          <w:szCs w:val="24"/>
        </w:rPr>
        <w:t>ridade psíquica do autor, pois ‘</w:t>
      </w:r>
      <w:r w:rsidR="000301C5" w:rsidRPr="00D87BE6">
        <w:rPr>
          <w:rFonts w:ascii="Open Sans" w:hAnsi="Open Sans" w:cs="Open Sans"/>
          <w:bCs/>
          <w:sz w:val="24"/>
          <w:szCs w:val="24"/>
        </w:rPr>
        <w:t>trabalhadores, entre eles o reclamante, vagavam desesperados, sem ter certeza de qual local era seguro pa</w:t>
      </w:r>
      <w:r w:rsidR="006A7107">
        <w:rPr>
          <w:rFonts w:ascii="Open Sans" w:hAnsi="Open Sans" w:cs="Open Sans"/>
          <w:bCs/>
          <w:sz w:val="24"/>
          <w:szCs w:val="24"/>
        </w:rPr>
        <w:t>ra escapar do fluxo de rejeitos’</w:t>
      </w:r>
      <w:r w:rsidR="000301C5" w:rsidRPr="00D87BE6">
        <w:rPr>
          <w:rFonts w:ascii="Open Sans" w:hAnsi="Open Sans" w:cs="Open Sans"/>
          <w:bCs/>
          <w:sz w:val="24"/>
          <w:szCs w:val="24"/>
        </w:rPr>
        <w:t>. 4. Desse modo, o acolhimento de suas pretensões demandaria necessariamente o reexame do acervo probatório, procedimento vedado nesta esfera extraordinária. 5. Quanto à necessidade de prova do abalo moral, em situações como a dos autos, esta Corte possui jurisprudência n</w:t>
      </w:r>
      <w:r w:rsidR="00941256">
        <w:rPr>
          <w:rFonts w:ascii="Open Sans" w:hAnsi="Open Sans" w:cs="Open Sans"/>
          <w:bCs/>
          <w:sz w:val="24"/>
          <w:szCs w:val="24"/>
        </w:rPr>
        <w:t>o sentido de que o dano se faz ‘</w:t>
      </w:r>
      <w:r w:rsidR="00941256" w:rsidRPr="0076325D">
        <w:rPr>
          <w:rFonts w:ascii="Open Sans" w:hAnsi="Open Sans" w:cs="Open Sans"/>
          <w:bCs/>
          <w:i/>
          <w:sz w:val="24"/>
          <w:szCs w:val="24"/>
        </w:rPr>
        <w:t xml:space="preserve">in </w:t>
      </w:r>
      <w:proofErr w:type="spellStart"/>
      <w:r w:rsidR="00941256" w:rsidRPr="0076325D">
        <w:rPr>
          <w:rFonts w:ascii="Open Sans" w:hAnsi="Open Sans" w:cs="Open Sans"/>
          <w:bCs/>
          <w:i/>
          <w:sz w:val="24"/>
          <w:szCs w:val="24"/>
        </w:rPr>
        <w:t>re</w:t>
      </w:r>
      <w:proofErr w:type="spellEnd"/>
      <w:r w:rsidR="00941256" w:rsidRPr="0076325D">
        <w:rPr>
          <w:rFonts w:ascii="Open Sans" w:hAnsi="Open Sans" w:cs="Open Sans"/>
          <w:bCs/>
          <w:i/>
          <w:sz w:val="24"/>
          <w:szCs w:val="24"/>
        </w:rPr>
        <w:t xml:space="preserve"> </w:t>
      </w:r>
      <w:proofErr w:type="spellStart"/>
      <w:r w:rsidR="00941256" w:rsidRPr="0076325D">
        <w:rPr>
          <w:rFonts w:ascii="Open Sans" w:hAnsi="Open Sans" w:cs="Open Sans"/>
          <w:bCs/>
          <w:i/>
          <w:sz w:val="24"/>
          <w:szCs w:val="24"/>
        </w:rPr>
        <w:t>ipsa</w:t>
      </w:r>
      <w:proofErr w:type="spellEnd"/>
      <w:r w:rsidR="00941256">
        <w:rPr>
          <w:rFonts w:ascii="Open Sans" w:hAnsi="Open Sans" w:cs="Open Sans"/>
          <w:bCs/>
          <w:sz w:val="24"/>
          <w:szCs w:val="24"/>
        </w:rPr>
        <w:t>’</w:t>
      </w:r>
      <w:r w:rsidR="000301C5" w:rsidRPr="00D87BE6">
        <w:rPr>
          <w:rFonts w:ascii="Open Sans" w:hAnsi="Open Sans" w:cs="Open Sans"/>
          <w:bCs/>
          <w:sz w:val="24"/>
          <w:szCs w:val="24"/>
        </w:rPr>
        <w:t>. Precedentes. Mant</w:t>
      </w:r>
      <w:r w:rsidR="000301C5">
        <w:rPr>
          <w:rFonts w:ascii="Open Sans" w:hAnsi="Open Sans" w:cs="Open Sans"/>
          <w:bCs/>
          <w:sz w:val="24"/>
          <w:szCs w:val="24"/>
        </w:rPr>
        <w:t>ém-se a decisão recorrida. [</w:t>
      </w:r>
      <w:proofErr w:type="gramStart"/>
      <w:r w:rsidR="000301C5">
        <w:rPr>
          <w:rFonts w:ascii="Open Sans" w:hAnsi="Open Sans" w:cs="Open Sans"/>
          <w:bCs/>
          <w:sz w:val="24"/>
          <w:szCs w:val="24"/>
        </w:rPr>
        <w:t>...]”</w:t>
      </w:r>
      <w:proofErr w:type="gramEnd"/>
      <w:r w:rsidR="000301C5">
        <w:rPr>
          <w:rFonts w:ascii="Open Sans" w:hAnsi="Open Sans" w:cs="Open Sans"/>
          <w:bCs/>
          <w:sz w:val="24"/>
          <w:szCs w:val="24"/>
        </w:rPr>
        <w:t xml:space="preserve"> </w:t>
      </w:r>
      <w:r w:rsidR="000301C5" w:rsidRPr="00D87BE6">
        <w:rPr>
          <w:rFonts w:ascii="Open Sans" w:hAnsi="Open Sans" w:cs="Open Sans"/>
          <w:bCs/>
          <w:sz w:val="24"/>
          <w:szCs w:val="24"/>
        </w:rPr>
        <w:t>(</w:t>
      </w:r>
      <w:hyperlink r:id="rId28" w:history="1">
        <w:r w:rsidR="000301C5" w:rsidRPr="000301C5">
          <w:rPr>
            <w:rStyle w:val="Hyperlink"/>
            <w:rFonts w:ascii="Open Sans" w:hAnsi="Open Sans" w:cs="Open Sans"/>
            <w:bCs/>
            <w:sz w:val="24"/>
            <w:szCs w:val="24"/>
          </w:rPr>
          <w:t>TST-Ag-AIRR-10512-54.2022.5.03.0069, 5ª Turma, Rel. Min</w:t>
        </w:r>
        <w:r w:rsidR="000301C5" w:rsidRPr="000301C5">
          <w:rPr>
            <w:rStyle w:val="Hyperlink"/>
            <w:rFonts w:ascii="Open Sans" w:hAnsi="Open Sans" w:cs="Open Sans"/>
            <w:bCs/>
            <w:sz w:val="24"/>
            <w:szCs w:val="24"/>
          </w:rPr>
          <w:t>.</w:t>
        </w:r>
        <w:r w:rsidR="000301C5" w:rsidRPr="000301C5">
          <w:rPr>
            <w:rStyle w:val="Hyperlink"/>
            <w:rFonts w:ascii="Open Sans" w:hAnsi="Open Sans" w:cs="Open Sans"/>
            <w:bCs/>
            <w:sz w:val="24"/>
            <w:szCs w:val="24"/>
          </w:rPr>
          <w:t xml:space="preserve"> Morgana de Almeida, julgado em  24/4/2026</w:t>
        </w:r>
      </w:hyperlink>
      <w:r w:rsidR="000B6DB3">
        <w:rPr>
          <w:rFonts w:ascii="Open Sans" w:hAnsi="Open Sans" w:cs="Open Sans"/>
          <w:bCs/>
          <w:sz w:val="24"/>
          <w:szCs w:val="24"/>
        </w:rPr>
        <w:t>)</w:t>
      </w:r>
    </w:p>
    <w:p w:rsidR="0088121C" w:rsidRDefault="0088121C" w:rsidP="00170288">
      <w:pPr>
        <w:widowControl w:val="0"/>
        <w:suppressAutoHyphens/>
        <w:ind w:left="-255" w:right="340"/>
        <w:jc w:val="both"/>
        <w:rPr>
          <w:rFonts w:ascii="Open Sans" w:hAnsi="Open Sans" w:cs="Open Sans"/>
          <w:bCs/>
          <w:sz w:val="24"/>
          <w:szCs w:val="24"/>
        </w:rPr>
      </w:pPr>
    </w:p>
    <w:p w:rsidR="0088121C" w:rsidRDefault="0088121C" w:rsidP="00170288">
      <w:pPr>
        <w:widowControl w:val="0"/>
        <w:suppressAutoHyphens/>
        <w:ind w:left="-255" w:right="340"/>
        <w:jc w:val="both"/>
        <w:rPr>
          <w:rFonts w:ascii="Open Sans" w:hAnsi="Open Sans" w:cs="Open Sans"/>
          <w:bCs/>
          <w:sz w:val="24"/>
          <w:szCs w:val="24"/>
        </w:rPr>
      </w:pPr>
      <w:r>
        <w:rPr>
          <w:rFonts w:ascii="Open Sans" w:hAnsi="Open Sans" w:cs="Open Sans"/>
          <w:bCs/>
          <w:sz w:val="24"/>
          <w:szCs w:val="24"/>
        </w:rPr>
        <w:t xml:space="preserve">“[...] </w:t>
      </w:r>
      <w:r w:rsidRPr="0088121C">
        <w:rPr>
          <w:rFonts w:ascii="Open Sans" w:hAnsi="Open Sans" w:cs="Open Sans"/>
          <w:bCs/>
          <w:sz w:val="24"/>
          <w:szCs w:val="24"/>
        </w:rPr>
        <w:t xml:space="preserve">RECURSO DE REVISTA REGIDO PELA LEI 13.467/2017. ACORDO DE COMPENSAÇÃO DE JORNADA. PREVISÃO EM NORMA COLETIVA. VALIDADE. TEMA 1.046 DA TABELA DE REPERCUSSÃO GERAL DO SUPREMO TRIBUNAL FEDERAL. HORAS EXTRAS NÃO QUITADAS. CONDENAÇÃO DEVIDA. TRANSCENDÊNCIA POLÍTICA CARACTERIZADA. </w:t>
      </w:r>
      <w:proofErr w:type="gramStart"/>
      <w:r w:rsidRPr="0088121C">
        <w:rPr>
          <w:rFonts w:ascii="Open Sans" w:hAnsi="Open Sans" w:cs="Open Sans"/>
          <w:bCs/>
          <w:sz w:val="24"/>
          <w:szCs w:val="24"/>
        </w:rPr>
        <w:t>1</w:t>
      </w:r>
      <w:proofErr w:type="gramEnd"/>
      <w:r w:rsidRPr="0088121C">
        <w:rPr>
          <w:rFonts w:ascii="Open Sans" w:hAnsi="Open Sans" w:cs="Open Sans"/>
          <w:bCs/>
          <w:sz w:val="24"/>
          <w:szCs w:val="24"/>
        </w:rPr>
        <w:t xml:space="preserve">. O Tribunal Regional reconheceu a validade da norma coletiva em que estabelecido o acordo de compensação de jornada. Ocorre que as premissas fáticas, delineadas no voto vencido e não infirmadas pelo voto vencedor, revelam que, para além do acordo de compensação, o Reclamante comprovou o desempenho de horas extras não pagas </w:t>
      </w:r>
      <w:r w:rsidRPr="0088121C">
        <w:rPr>
          <w:rFonts w:ascii="Open Sans" w:hAnsi="Open Sans" w:cs="Open Sans"/>
          <w:bCs/>
          <w:sz w:val="24"/>
          <w:szCs w:val="24"/>
        </w:rPr>
        <w:lastRenderedPageBreak/>
        <w:t>ou compensadas. 2. Não se desconhece a tese firmada pelo Plenário do Supremo Tribunal Federal, em sessão realizada em 02/06/2022, apreciou o Tema 1.046 do ementário de repercussão geral e deu provimento ao recurso extraordinário (ARE 1121633) para fixar a s</w:t>
      </w:r>
      <w:r>
        <w:rPr>
          <w:rFonts w:ascii="Open Sans" w:hAnsi="Open Sans" w:cs="Open Sans"/>
          <w:bCs/>
          <w:sz w:val="24"/>
          <w:szCs w:val="24"/>
        </w:rPr>
        <w:t>eguinte tese: ‘</w:t>
      </w:r>
      <w:r w:rsidRPr="0088121C">
        <w:rPr>
          <w:rFonts w:ascii="Open Sans" w:hAnsi="Open Sans" w:cs="Open Sans"/>
          <w:bCs/>
          <w:sz w:val="24"/>
          <w:szCs w:val="24"/>
        </w:rPr>
        <w:t>São constitucionais os acordos e as convenções coletivos que, ao considerarem a adequação setorial negociada, pactuam limitações ou afastamentos de direitos trabalhistas, independentemente da explicitação especificada de vantagens compensatórias, desde que respeitados os direito</w:t>
      </w:r>
      <w:r>
        <w:rPr>
          <w:rFonts w:ascii="Open Sans" w:hAnsi="Open Sans" w:cs="Open Sans"/>
          <w:bCs/>
          <w:sz w:val="24"/>
          <w:szCs w:val="24"/>
        </w:rPr>
        <w:t>s absolutamente indisponíveis.’</w:t>
      </w:r>
      <w:r w:rsidRPr="0088121C">
        <w:rPr>
          <w:rFonts w:ascii="Open Sans" w:hAnsi="Open Sans" w:cs="Open Sans"/>
          <w:bCs/>
          <w:sz w:val="24"/>
          <w:szCs w:val="24"/>
        </w:rPr>
        <w:t>. De igual modo, sabe-se que o Plenário do Supremo Tribunal Federal, no julgamento do RE 1.476.596/MG, em sessão virtual realizada de 5.4.2024 a 12.4.2024, concluiu, por unanimidade, que o descumprimento de cláusula coletiva não é causa suficiente para sua invalidade, em consonância com a tese de repercussão geral fixada no Tema 1.046. 3. No caso, nada obstante a validade da norma coletiva, a comprovação de prestação de serviço extraordinário, assim considerado aquele que extrapola a jornada estabelecida por meio de negociação coletiva, autoriza o pagamento das horas trabalhadas como extras, observada a previsão contida na norma coletiva. Violação do artigo 58, §1º, da CLT. Recurso de revista conhecido e provido.</w:t>
      </w:r>
      <w:r w:rsidR="00EA0D21">
        <w:rPr>
          <w:rFonts w:ascii="Open Sans" w:hAnsi="Open Sans" w:cs="Open Sans"/>
          <w:bCs/>
          <w:sz w:val="24"/>
          <w:szCs w:val="24"/>
        </w:rPr>
        <w:t>”</w:t>
      </w:r>
      <w:r w:rsidRPr="0088121C">
        <w:rPr>
          <w:rFonts w:ascii="Open Sans" w:hAnsi="Open Sans" w:cs="Open Sans"/>
          <w:bCs/>
          <w:sz w:val="24"/>
          <w:szCs w:val="24"/>
        </w:rPr>
        <w:t xml:space="preserve">  (</w:t>
      </w:r>
      <w:hyperlink r:id="rId29" w:anchor="395ab4a" w:history="1">
        <w:r w:rsidRPr="00881CF7">
          <w:rPr>
            <w:rStyle w:val="Hyperlink"/>
            <w:rFonts w:ascii="Open Sans" w:hAnsi="Open Sans" w:cs="Open Sans"/>
            <w:bCs/>
            <w:sz w:val="24"/>
            <w:szCs w:val="24"/>
          </w:rPr>
          <w:t>TST-Ag-RR-0012425-73.2</w:t>
        </w:r>
        <w:r w:rsidR="00881CF7" w:rsidRPr="00881CF7">
          <w:rPr>
            <w:rStyle w:val="Hyperlink"/>
            <w:rFonts w:ascii="Open Sans" w:hAnsi="Open Sans" w:cs="Open Sans"/>
            <w:bCs/>
            <w:sz w:val="24"/>
            <w:szCs w:val="24"/>
          </w:rPr>
          <w:t>022.5.15.0122, 5ª Turma, Rel. Min.</w:t>
        </w:r>
        <w:r w:rsidRPr="00881CF7">
          <w:rPr>
            <w:rStyle w:val="Hyperlink"/>
            <w:rFonts w:ascii="Open Sans" w:hAnsi="Open Sans" w:cs="Open Sans"/>
            <w:bCs/>
            <w:sz w:val="24"/>
            <w:szCs w:val="24"/>
          </w:rPr>
          <w:t xml:space="preserve"> Douglas Alencar Rodrigues, </w:t>
        </w:r>
        <w:r w:rsidR="00881CF7" w:rsidRPr="00881CF7">
          <w:rPr>
            <w:rStyle w:val="Hyperlink"/>
            <w:rFonts w:ascii="Open Sans" w:hAnsi="Open Sans" w:cs="Open Sans"/>
            <w:bCs/>
            <w:sz w:val="24"/>
            <w:szCs w:val="24"/>
          </w:rPr>
          <w:t>julgado em 29/4</w:t>
        </w:r>
        <w:r w:rsidRPr="00881CF7">
          <w:rPr>
            <w:rStyle w:val="Hyperlink"/>
            <w:rFonts w:ascii="Open Sans" w:hAnsi="Open Sans" w:cs="Open Sans"/>
            <w:bCs/>
            <w:sz w:val="24"/>
            <w:szCs w:val="24"/>
          </w:rPr>
          <w:t>/2026</w:t>
        </w:r>
      </w:hyperlink>
      <w:proofErr w:type="gramStart"/>
      <w:r w:rsidR="000B6DB3">
        <w:rPr>
          <w:rFonts w:ascii="Open Sans" w:hAnsi="Open Sans" w:cs="Open Sans"/>
          <w:bCs/>
          <w:sz w:val="24"/>
          <w:szCs w:val="24"/>
        </w:rPr>
        <w:t>)</w:t>
      </w:r>
      <w:proofErr w:type="gramEnd"/>
    </w:p>
    <w:p w:rsidR="00B67BCD" w:rsidRDefault="00B67BCD" w:rsidP="00170288">
      <w:pPr>
        <w:widowControl w:val="0"/>
        <w:suppressAutoHyphens/>
        <w:ind w:left="-255" w:right="340"/>
        <w:jc w:val="both"/>
        <w:rPr>
          <w:rFonts w:ascii="Open Sans" w:hAnsi="Open Sans" w:cs="Open Sans"/>
          <w:bCs/>
          <w:sz w:val="24"/>
          <w:szCs w:val="24"/>
        </w:rPr>
      </w:pPr>
    </w:p>
    <w:p w:rsidR="00B67BCD" w:rsidRDefault="00B67BCD" w:rsidP="00170288">
      <w:pPr>
        <w:widowControl w:val="0"/>
        <w:suppressAutoHyphens/>
        <w:ind w:left="-255" w:right="340"/>
        <w:jc w:val="both"/>
        <w:rPr>
          <w:rFonts w:ascii="Open Sans" w:hAnsi="Open Sans" w:cs="Open Sans"/>
          <w:bCs/>
          <w:sz w:val="24"/>
          <w:szCs w:val="24"/>
        </w:rPr>
      </w:pPr>
      <w:r>
        <w:rPr>
          <w:rFonts w:ascii="Open Sans" w:hAnsi="Open Sans" w:cs="Open Sans"/>
          <w:bCs/>
          <w:sz w:val="24"/>
          <w:szCs w:val="24"/>
        </w:rPr>
        <w:t xml:space="preserve">“[...] </w:t>
      </w:r>
      <w:r w:rsidRPr="00B67BCD">
        <w:rPr>
          <w:rFonts w:ascii="Open Sans" w:hAnsi="Open Sans" w:cs="Open Sans"/>
          <w:bCs/>
          <w:sz w:val="24"/>
          <w:szCs w:val="24"/>
        </w:rPr>
        <w:t>RECURSO DE REVISTA. ACÓRDÃO PUBLICADO NA VIGÊNCIA DA LEI Nº 13.467/2017. DESERÇÃO DO RECURSO ORDINÁRIO. RECOLHIMENTO DAS CUSTAS PROCESSUAIS. PAGAMENTO DA GUIA GRU POR MEIO DE INSTITUIÇÃO FINANCEIRA DIVERSA DAS PREVISTAS NO ART. 2º DO ATO CONJUNTO Nº 21/2010-</w:t>
      </w:r>
      <w:proofErr w:type="gramStart"/>
      <w:r w:rsidRPr="00B67BCD">
        <w:rPr>
          <w:rFonts w:ascii="Open Sans" w:hAnsi="Open Sans" w:cs="Open Sans"/>
          <w:bCs/>
          <w:sz w:val="24"/>
          <w:szCs w:val="24"/>
        </w:rPr>
        <w:t>TST.</w:t>
      </w:r>
      <w:proofErr w:type="gramEnd"/>
      <w:r w:rsidRPr="00B67BCD">
        <w:rPr>
          <w:rFonts w:ascii="Open Sans" w:hAnsi="Open Sans" w:cs="Open Sans"/>
          <w:bCs/>
          <w:sz w:val="24"/>
          <w:szCs w:val="24"/>
        </w:rPr>
        <w:t xml:space="preserve">CSJT.GP.SG. VALIDADE. TRANSCENDÊNCIA JURÍDICA RECONHECIDA. Cinge-se a controvérsia à verificação da validade do recolhimento das custas processuais efetuado por meio de instituição financeira diversa daquelas previstas no art. 2º do Ato Conjunto nº 21/2010 do TST. No caso, o e. TRT aplicou a deserção ao recurso ordinário da parte reclamada, sob o fundamento de </w:t>
      </w:r>
      <w:r>
        <w:rPr>
          <w:rFonts w:ascii="Open Sans" w:hAnsi="Open Sans" w:cs="Open Sans"/>
          <w:bCs/>
          <w:sz w:val="24"/>
          <w:szCs w:val="24"/>
        </w:rPr>
        <w:t>que o pagamento foi realizado ‘</w:t>
      </w:r>
      <w:r w:rsidRPr="00B67BCD">
        <w:rPr>
          <w:rFonts w:ascii="Open Sans" w:hAnsi="Open Sans" w:cs="Open Sans"/>
          <w:bCs/>
          <w:sz w:val="24"/>
          <w:szCs w:val="24"/>
        </w:rPr>
        <w:t>em desacordo com o previsto nas normas que regem a forma de recolhimento das custas processuais</w:t>
      </w:r>
      <w:r>
        <w:rPr>
          <w:rFonts w:ascii="Open Sans" w:hAnsi="Open Sans" w:cs="Open Sans"/>
          <w:bCs/>
          <w:sz w:val="24"/>
          <w:szCs w:val="24"/>
        </w:rPr>
        <w:t>’</w:t>
      </w:r>
      <w:r w:rsidRPr="00B67BCD">
        <w:rPr>
          <w:rFonts w:ascii="Open Sans" w:hAnsi="Open Sans" w:cs="Open Sans"/>
          <w:bCs/>
          <w:sz w:val="24"/>
          <w:szCs w:val="24"/>
        </w:rPr>
        <w:t xml:space="preserve">, uma vez que realizado por meio de instituição financeira diversa das instituições previstas no Ato Conjunto nº 21/2010 do TST, quais sejam, Banco do Brasil e Caixa Econômica Federal. Ocorre que, na hipótese vertente, analisando o comprovante bancário anexado (fl. 280), constata-se que foi recolhida a quantia de R$ 200,00 (duzentos reais), valor fixado a título de custas pela sentença, além de constar a data do pagamento, o código de barras contido na guia GRU emitida e juntada aos autos, além de autenticação bancária, o que corrobora a validade do recolhimento das custas no prazo alusivo ao recurso. Não obstante as normas administrativas que determinam o recolhimento das custas processuais exclusivamente no Banco do Brasil ou na Caixa Econômica Federal, a comprovação de pagamento da guia GRU em instituição financeira diversa não constitui irregularidade apta a ensejar a deserção do recurso, uma vez atingida a finalidade essencial do ato, que é o efetivo recolhimento das custas no valor devido e dentro do prazo legal. Logo, ante a constatação de que há, nos autos, comprovante de pagamento com elementos que possibilitam a identificação do recolhimento das custas no prazo e valor corretos, deve-se reconhecer a validade do recolhimento, afastando-se a deserção. </w:t>
      </w:r>
      <w:proofErr w:type="gramStart"/>
      <w:r w:rsidRPr="00B67BCD">
        <w:rPr>
          <w:rFonts w:ascii="Open Sans" w:hAnsi="Open Sans" w:cs="Open Sans"/>
          <w:bCs/>
          <w:sz w:val="24"/>
          <w:szCs w:val="24"/>
        </w:rPr>
        <w:t>Recurso de revista conhecido e provido.</w:t>
      </w:r>
      <w:r w:rsidR="00EA0D21">
        <w:rPr>
          <w:rFonts w:ascii="Open Sans" w:hAnsi="Open Sans" w:cs="Open Sans"/>
          <w:bCs/>
          <w:sz w:val="24"/>
          <w:szCs w:val="24"/>
        </w:rPr>
        <w:t>”</w:t>
      </w:r>
      <w:proofErr w:type="gramEnd"/>
      <w:r w:rsidRPr="00B67BCD">
        <w:rPr>
          <w:rFonts w:ascii="Open Sans" w:hAnsi="Open Sans" w:cs="Open Sans"/>
          <w:bCs/>
          <w:sz w:val="24"/>
          <w:szCs w:val="24"/>
        </w:rPr>
        <w:t xml:space="preserve">  (</w:t>
      </w:r>
      <w:hyperlink r:id="rId30" w:anchor="38a5ae8" w:history="1">
        <w:r w:rsidRPr="00B67BCD">
          <w:rPr>
            <w:rStyle w:val="Hyperlink"/>
            <w:rFonts w:ascii="Open Sans" w:hAnsi="Open Sans" w:cs="Open Sans"/>
            <w:bCs/>
            <w:sz w:val="24"/>
            <w:szCs w:val="24"/>
          </w:rPr>
          <w:t>TST-RR-0000947-46.2</w:t>
        </w:r>
        <w:r>
          <w:rPr>
            <w:rStyle w:val="Hyperlink"/>
            <w:rFonts w:ascii="Open Sans" w:hAnsi="Open Sans" w:cs="Open Sans"/>
            <w:bCs/>
            <w:sz w:val="24"/>
            <w:szCs w:val="24"/>
          </w:rPr>
          <w:t>024.5.09.0678, 5ª Turma, Rel.</w:t>
        </w:r>
        <w:r w:rsidRPr="00B67BCD">
          <w:rPr>
            <w:rStyle w:val="Hyperlink"/>
            <w:rFonts w:ascii="Open Sans" w:hAnsi="Open Sans" w:cs="Open Sans"/>
            <w:bCs/>
            <w:sz w:val="24"/>
            <w:szCs w:val="24"/>
          </w:rPr>
          <w:t xml:space="preserve"> </w:t>
        </w:r>
        <w:r>
          <w:rPr>
            <w:rStyle w:val="Hyperlink"/>
            <w:rFonts w:ascii="Open Sans" w:hAnsi="Open Sans" w:cs="Open Sans"/>
            <w:bCs/>
            <w:sz w:val="24"/>
            <w:szCs w:val="24"/>
          </w:rPr>
          <w:t>Min.</w:t>
        </w:r>
        <w:r w:rsidRPr="00B67BCD">
          <w:rPr>
            <w:rStyle w:val="Hyperlink"/>
            <w:rFonts w:ascii="Open Sans" w:hAnsi="Open Sans" w:cs="Open Sans"/>
            <w:bCs/>
            <w:sz w:val="24"/>
            <w:szCs w:val="24"/>
          </w:rPr>
          <w:t xml:space="preserve"> Breno Medeiros, </w:t>
        </w:r>
        <w:r w:rsidR="007518DE">
          <w:rPr>
            <w:rStyle w:val="Hyperlink"/>
            <w:rFonts w:ascii="Open Sans" w:hAnsi="Open Sans" w:cs="Open Sans"/>
            <w:bCs/>
            <w:sz w:val="24"/>
            <w:szCs w:val="24"/>
          </w:rPr>
          <w:t>julgado em</w:t>
        </w:r>
        <w:r w:rsidRPr="00B67BCD">
          <w:rPr>
            <w:rStyle w:val="Hyperlink"/>
            <w:rFonts w:ascii="Open Sans" w:hAnsi="Open Sans" w:cs="Open Sans"/>
            <w:bCs/>
            <w:sz w:val="24"/>
            <w:szCs w:val="24"/>
          </w:rPr>
          <w:t xml:space="preserve"> 29/4/2026</w:t>
        </w:r>
      </w:hyperlink>
      <w:r w:rsidR="000B6DB3">
        <w:rPr>
          <w:rFonts w:ascii="Open Sans" w:hAnsi="Open Sans" w:cs="Open Sans"/>
          <w:bCs/>
          <w:sz w:val="24"/>
          <w:szCs w:val="24"/>
        </w:rPr>
        <w:t>)</w:t>
      </w:r>
    </w:p>
    <w:p w:rsidR="00262CD0" w:rsidRDefault="00262CD0" w:rsidP="00170288">
      <w:pPr>
        <w:widowControl w:val="0"/>
        <w:suppressAutoHyphens/>
        <w:ind w:left="-255" w:right="340"/>
        <w:jc w:val="both"/>
        <w:rPr>
          <w:rFonts w:ascii="Open Sans" w:hAnsi="Open Sans" w:cs="Open Sans"/>
          <w:bCs/>
          <w:sz w:val="24"/>
          <w:szCs w:val="24"/>
        </w:rPr>
      </w:pPr>
    </w:p>
    <w:p w:rsidR="00262CD0" w:rsidRPr="007E45A3" w:rsidRDefault="00262CD0" w:rsidP="00262CD0">
      <w:pPr>
        <w:widowControl w:val="0"/>
        <w:suppressAutoHyphens/>
        <w:ind w:left="-255" w:right="340"/>
        <w:jc w:val="both"/>
        <w:rPr>
          <w:rFonts w:ascii="Open Sans" w:hAnsi="Open Sans" w:cs="Open Sans"/>
          <w:bCs/>
          <w:sz w:val="24"/>
          <w:szCs w:val="24"/>
        </w:rPr>
      </w:pPr>
      <w:r>
        <w:rPr>
          <w:rFonts w:ascii="Open Sans" w:hAnsi="Open Sans" w:cs="Open Sans"/>
          <w:bCs/>
          <w:sz w:val="24"/>
          <w:szCs w:val="24"/>
        </w:rPr>
        <w:t xml:space="preserve">“[...] </w:t>
      </w:r>
      <w:r w:rsidRPr="00D12BDF">
        <w:rPr>
          <w:rFonts w:ascii="Open Sans" w:hAnsi="Open Sans" w:cs="Open Sans"/>
          <w:bCs/>
          <w:sz w:val="24"/>
          <w:szCs w:val="24"/>
        </w:rPr>
        <w:t xml:space="preserve">RECURSO DE REVISTA. SUMARÍSSIMO. LEI Nº 13.467/2017 DIREITOS FUNDAMENTAIS. EFICÁCIA NO ÂMBITO DAS RELAÇÕES PRIVADAS. ASSIMETRIA DAS RELAÇÕES DE EMPREGO. LIMITES AO PODER DIRETIVO DO EMPREGADOR. LIBERDADE RELIGIOSA. </w:t>
      </w:r>
      <w:proofErr w:type="gramStart"/>
      <w:r w:rsidRPr="00D12BDF">
        <w:rPr>
          <w:rFonts w:ascii="Open Sans" w:hAnsi="Open Sans" w:cs="Open Sans"/>
          <w:bCs/>
          <w:sz w:val="24"/>
          <w:szCs w:val="24"/>
        </w:rPr>
        <w:t>DIMENSÕES INTERNA</w:t>
      </w:r>
      <w:proofErr w:type="gramEnd"/>
      <w:r w:rsidRPr="00D12BDF">
        <w:rPr>
          <w:rFonts w:ascii="Open Sans" w:hAnsi="Open Sans" w:cs="Open Sans"/>
          <w:bCs/>
          <w:sz w:val="24"/>
          <w:szCs w:val="24"/>
        </w:rPr>
        <w:t xml:space="preserve"> E EXTERNA. OBRIGATORIEDADE DE PARTICIPAR DE ATIVIDADE RELIGIOSA REALIZADA DURANTE A JORNADA DE TRABALHO. PRINCÍPIO DA PROPORCIONALIDADE. DEVER DE ADAPTAÇÃO RAZOÁVEL. LIBERDADE RELIGIOSA DO EMPREGADO. FORO INTERNO. RESTRIÇÃO INDEVIDA. ASSÉDIO MORAL. DANO MORAL </w:t>
      </w:r>
      <w:r w:rsidRPr="00D12BDF">
        <w:rPr>
          <w:rFonts w:ascii="Open Sans" w:hAnsi="Open Sans" w:cs="Open Sans"/>
          <w:bCs/>
          <w:i/>
          <w:sz w:val="24"/>
          <w:szCs w:val="24"/>
        </w:rPr>
        <w:t>IN RE IPSA</w:t>
      </w:r>
      <w:r w:rsidRPr="00D12BDF">
        <w:rPr>
          <w:rFonts w:ascii="Open Sans" w:hAnsi="Open Sans" w:cs="Open Sans"/>
          <w:bCs/>
          <w:sz w:val="24"/>
          <w:szCs w:val="24"/>
        </w:rPr>
        <w:t xml:space="preserve"> CONFIGURADO A questão em debate consiste em definir se participação obrigatória de empregado em atividade religiosa realizada no âmbito da empresa durante a jornada de trabalho , por si só, vulnera sua liberdade religiosa e configura assédio apto a gerar dano moral. A resolução da controvérsia, portanto, demanda o exame prévio da teoria dos direitos fundamentais aplicável às relações de emprego, mais precisamente sob a perspectiva da liberdade religiosa e dos valores sociais do trabalho e da livre iniciativa (</w:t>
      </w:r>
      <w:proofErr w:type="spellStart"/>
      <w:r w:rsidRPr="00D12BDF">
        <w:rPr>
          <w:rFonts w:ascii="Open Sans" w:hAnsi="Open Sans" w:cs="Open Sans"/>
          <w:bCs/>
          <w:sz w:val="24"/>
          <w:szCs w:val="24"/>
        </w:rPr>
        <w:t>arts</w:t>
      </w:r>
      <w:proofErr w:type="spellEnd"/>
      <w:r w:rsidRPr="00D12BDF">
        <w:rPr>
          <w:rFonts w:ascii="Open Sans" w:hAnsi="Open Sans" w:cs="Open Sans"/>
          <w:bCs/>
          <w:sz w:val="24"/>
          <w:szCs w:val="24"/>
        </w:rPr>
        <w:t xml:space="preserve">. 1°, IV, 5°, VI, VIII, e 170 da Constituição Federal). Os direitos fundamentais consubstanciam direitos da pessoa humana consagrados e positivados no plano constitucional (interno) e estão intrinsecamente ligados à história da limitação do poder . No período pré-constitucional, por exemplo, a Magna Carta (século XIII) limitou o poder do Rei João Sem Terra ao consagrar a liberdade de locomoção e a respectiva proteção contra prisão arbitrária, o devido processo legal e a proteção da propriedade privada. Não se desconhece a evolução histórica dos direitos fundamentais decorrente do processo cumulativo e complementar que permitiu o surgimento de outras dimensões, tais como, os direitos associados à igualdade em sentido material (segunda dimensão) e aqueles de titularidade </w:t>
      </w:r>
      <w:proofErr w:type="spellStart"/>
      <w:r w:rsidRPr="00D12BDF">
        <w:rPr>
          <w:rFonts w:ascii="Open Sans" w:hAnsi="Open Sans" w:cs="Open Sans"/>
          <w:bCs/>
          <w:sz w:val="24"/>
          <w:szCs w:val="24"/>
        </w:rPr>
        <w:t>t</w:t>
      </w:r>
      <w:r>
        <w:rPr>
          <w:rFonts w:ascii="Open Sans" w:hAnsi="Open Sans" w:cs="Open Sans"/>
          <w:bCs/>
          <w:sz w:val="24"/>
          <w:szCs w:val="24"/>
        </w:rPr>
        <w:t>ransindividual</w:t>
      </w:r>
      <w:proofErr w:type="spellEnd"/>
      <w:r>
        <w:rPr>
          <w:rFonts w:ascii="Open Sans" w:hAnsi="Open Sans" w:cs="Open Sans"/>
          <w:bCs/>
          <w:sz w:val="24"/>
          <w:szCs w:val="24"/>
        </w:rPr>
        <w:t>, denominados de ‘</w:t>
      </w:r>
      <w:r w:rsidRPr="00D12BDF">
        <w:rPr>
          <w:rFonts w:ascii="Open Sans" w:hAnsi="Open Sans" w:cs="Open Sans"/>
          <w:bCs/>
          <w:sz w:val="24"/>
          <w:szCs w:val="24"/>
        </w:rPr>
        <w:t>direitos de f</w:t>
      </w:r>
      <w:r>
        <w:rPr>
          <w:rFonts w:ascii="Open Sans" w:hAnsi="Open Sans" w:cs="Open Sans"/>
          <w:bCs/>
          <w:sz w:val="24"/>
          <w:szCs w:val="24"/>
        </w:rPr>
        <w:t>raternidade ou de solidariedade’</w:t>
      </w:r>
      <w:r w:rsidRPr="00D12BDF">
        <w:rPr>
          <w:rFonts w:ascii="Open Sans" w:hAnsi="Open Sans" w:cs="Open Sans"/>
          <w:bCs/>
          <w:sz w:val="24"/>
          <w:szCs w:val="24"/>
        </w:rPr>
        <w:t xml:space="preserve"> (terceira dimensão). Em linhas gerais, os destinatários dos direitos e garantias fundamentais são as pessoas </w:t>
      </w:r>
      <w:proofErr w:type="gramStart"/>
      <w:r w:rsidRPr="00D12BDF">
        <w:rPr>
          <w:rFonts w:ascii="Open Sans" w:hAnsi="Open Sans" w:cs="Open Sans"/>
          <w:bCs/>
          <w:sz w:val="24"/>
          <w:szCs w:val="24"/>
        </w:rPr>
        <w:t>físicas</w:t>
      </w:r>
      <w:proofErr w:type="gramEnd"/>
      <w:r w:rsidRPr="00D12BDF">
        <w:rPr>
          <w:rFonts w:ascii="Open Sans" w:hAnsi="Open Sans" w:cs="Open Sans"/>
          <w:bCs/>
          <w:sz w:val="24"/>
          <w:szCs w:val="24"/>
        </w:rPr>
        <w:t xml:space="preserve"> ou jurídicas (de direito público ou privado) que representam os sujeitos passivos da relação jurídica e se vinculam às normas de direitos fundamentais. A existência de normas de direitos fundamentais dirigidas a sujeitos privados (regras e princípios que vedam a discriminação religiosa, por exemplo) e a eficácia dos direitos fundamentais nas relações privadas são indicativos da maior amplitude da concepção desses direitos, que facultam ao seu titular buscar a tutela jurisdicional para impor seus interesses jurídicos protegidos ao destinatár</w:t>
      </w:r>
      <w:r>
        <w:rPr>
          <w:rFonts w:ascii="Open Sans" w:hAnsi="Open Sans" w:cs="Open Sans"/>
          <w:bCs/>
          <w:sz w:val="24"/>
          <w:szCs w:val="24"/>
        </w:rPr>
        <w:t>io. No exercício do denominado ‘poder social’</w:t>
      </w:r>
      <w:r w:rsidRPr="00D12BDF">
        <w:rPr>
          <w:rFonts w:ascii="Open Sans" w:hAnsi="Open Sans" w:cs="Open Sans"/>
          <w:bCs/>
          <w:sz w:val="24"/>
          <w:szCs w:val="24"/>
        </w:rPr>
        <w:t xml:space="preserve"> de que dispõem os particulares não raro se promovem situações que geram desigualdades, discriminações ou ofensas a liberdades individuais. A propósito, o professor Ingo </w:t>
      </w:r>
      <w:proofErr w:type="spellStart"/>
      <w:r w:rsidRPr="00D12BDF">
        <w:rPr>
          <w:rFonts w:ascii="Open Sans" w:hAnsi="Open Sans" w:cs="Open Sans"/>
          <w:bCs/>
          <w:sz w:val="24"/>
          <w:szCs w:val="24"/>
        </w:rPr>
        <w:t>Sarlet</w:t>
      </w:r>
      <w:proofErr w:type="spellEnd"/>
      <w:r w:rsidRPr="00D12BDF">
        <w:rPr>
          <w:rFonts w:ascii="Open Sans" w:hAnsi="Open Sans" w:cs="Open Sans"/>
          <w:bCs/>
          <w:sz w:val="24"/>
          <w:szCs w:val="24"/>
        </w:rPr>
        <w:t xml:space="preserve"> acentua que o direito ao trabalho em condições dignas se constituiu como um dos principais direito</w:t>
      </w:r>
      <w:r>
        <w:rPr>
          <w:rFonts w:ascii="Open Sans" w:hAnsi="Open Sans" w:cs="Open Sans"/>
          <w:bCs/>
          <w:sz w:val="24"/>
          <w:szCs w:val="24"/>
        </w:rPr>
        <w:t>s fundamentais da pessoa humana</w:t>
      </w:r>
      <w:r w:rsidRPr="00D12BDF">
        <w:rPr>
          <w:rFonts w:ascii="Open Sans" w:hAnsi="Open Sans" w:cs="Open Sans"/>
          <w:bCs/>
          <w:sz w:val="24"/>
          <w:szCs w:val="24"/>
        </w:rPr>
        <w:t>, que demandam proteção não mais somente contra o Estado, m</w:t>
      </w:r>
      <w:r>
        <w:rPr>
          <w:rFonts w:ascii="Open Sans" w:hAnsi="Open Sans" w:cs="Open Sans"/>
          <w:bCs/>
          <w:sz w:val="24"/>
          <w:szCs w:val="24"/>
        </w:rPr>
        <w:t>as também em face dos ‘poderes sociais’</w:t>
      </w:r>
      <w:r w:rsidRPr="00D12BDF">
        <w:rPr>
          <w:rFonts w:ascii="Open Sans" w:hAnsi="Open Sans" w:cs="Open Sans"/>
          <w:bCs/>
          <w:sz w:val="24"/>
          <w:szCs w:val="24"/>
        </w:rPr>
        <w:t xml:space="preserve"> (neles incluídos o poder diretivo do empregador). Desse modo, a perspectiva liberal clássica que limitou o alcance dos direitos fundamentais às relações jurídicas em que o Estado ocupava um dos polos não se mostrou mais suficiente para resolver a multiplicidade de conflitos oriundos de uma sociedade complexa e marcada pela desigualdade so</w:t>
      </w:r>
      <w:r w:rsidR="000B6DB3">
        <w:rPr>
          <w:rFonts w:ascii="Open Sans" w:hAnsi="Open Sans" w:cs="Open Sans"/>
          <w:bCs/>
          <w:sz w:val="24"/>
          <w:szCs w:val="24"/>
        </w:rPr>
        <w:t>cial e pela assimetria de poder</w:t>
      </w:r>
      <w:r w:rsidRPr="00D12BDF">
        <w:rPr>
          <w:rFonts w:ascii="Open Sans" w:hAnsi="Open Sans" w:cs="Open Sans"/>
          <w:bCs/>
          <w:sz w:val="24"/>
          <w:szCs w:val="24"/>
        </w:rPr>
        <w:t xml:space="preserve">, em que as violações de direitos provêm não só do Estado, mas também de diversos atores privados (mercado, a família, a sociedade civil e a empresa). Sob esse prisma, ao lado da teoria que nega eficácia dos direitos fundamentais nas relações privadas (firmada </w:t>
      </w:r>
      <w:r>
        <w:rPr>
          <w:rFonts w:ascii="Open Sans" w:hAnsi="Open Sans" w:cs="Open Sans"/>
          <w:bCs/>
          <w:sz w:val="24"/>
          <w:szCs w:val="24"/>
        </w:rPr>
        <w:t xml:space="preserve">na doutrina norte-americana do </w:t>
      </w:r>
      <w:r>
        <w:rPr>
          <w:rFonts w:ascii="Open Sans" w:hAnsi="Open Sans" w:cs="Open Sans"/>
          <w:bCs/>
          <w:sz w:val="24"/>
          <w:szCs w:val="24"/>
        </w:rPr>
        <w:lastRenderedPageBreak/>
        <w:t>‘</w:t>
      </w:r>
      <w:proofErr w:type="spellStart"/>
      <w:r w:rsidRPr="000B6DB3">
        <w:rPr>
          <w:rFonts w:ascii="Open Sans" w:hAnsi="Open Sans" w:cs="Open Sans"/>
          <w:bCs/>
          <w:i/>
          <w:sz w:val="24"/>
          <w:szCs w:val="24"/>
        </w:rPr>
        <w:t>state</w:t>
      </w:r>
      <w:proofErr w:type="spellEnd"/>
      <w:r w:rsidRPr="000B6DB3">
        <w:rPr>
          <w:rFonts w:ascii="Open Sans" w:hAnsi="Open Sans" w:cs="Open Sans"/>
          <w:bCs/>
          <w:i/>
          <w:sz w:val="24"/>
          <w:szCs w:val="24"/>
        </w:rPr>
        <w:t xml:space="preserve">  </w:t>
      </w:r>
      <w:proofErr w:type="spellStart"/>
      <w:r w:rsidRPr="000B6DB3">
        <w:rPr>
          <w:rFonts w:ascii="Open Sans" w:hAnsi="Open Sans" w:cs="Open Sans"/>
          <w:bCs/>
          <w:i/>
          <w:sz w:val="24"/>
          <w:szCs w:val="24"/>
        </w:rPr>
        <w:t>action</w:t>
      </w:r>
      <w:proofErr w:type="spellEnd"/>
      <w:r>
        <w:rPr>
          <w:rFonts w:ascii="Open Sans" w:hAnsi="Open Sans" w:cs="Open Sans"/>
          <w:bCs/>
          <w:sz w:val="24"/>
          <w:szCs w:val="24"/>
        </w:rPr>
        <w:t>’</w:t>
      </w:r>
      <w:r w:rsidRPr="00D12BDF">
        <w:rPr>
          <w:rFonts w:ascii="Open Sans" w:hAnsi="Open Sans" w:cs="Open Sans"/>
          <w:bCs/>
          <w:sz w:val="24"/>
          <w:szCs w:val="24"/>
        </w:rPr>
        <w:t>) e da teoria eficácia indireta e mediata dos direitos fundamentais - segundo a qual a Constituição não assegura aos particulares direitos subjetivos privados, mas tão somente se irradia por meio de suas normas objetivas, projetan</w:t>
      </w:r>
      <w:r>
        <w:rPr>
          <w:rFonts w:ascii="Open Sans" w:hAnsi="Open Sans" w:cs="Open Sans"/>
          <w:bCs/>
          <w:sz w:val="24"/>
          <w:szCs w:val="24"/>
        </w:rPr>
        <w:t>do valores constitucionais nas ‘leis civis’</w:t>
      </w:r>
      <w:r w:rsidRPr="00D12BDF">
        <w:rPr>
          <w:rFonts w:ascii="Open Sans" w:hAnsi="Open Sans" w:cs="Open Sans"/>
          <w:bCs/>
          <w:sz w:val="24"/>
          <w:szCs w:val="24"/>
        </w:rPr>
        <w:t xml:space="preserve">-, é que se desenvolveu, no âmbito doutrinário e jurisprudencial, a denominada teoria da eficácia direta e imediata dos direitos fundamentais nas relações privadas, conforme observam Sarmento e Gomes. Essa teoria estabelece a possibilidade de os direitos fundamentais incidirem diretamente nas relações privadas com oponibilidade </w:t>
      </w:r>
      <w:r w:rsidRPr="000B6DB3">
        <w:rPr>
          <w:rFonts w:ascii="Open Sans" w:hAnsi="Open Sans" w:cs="Open Sans"/>
          <w:bCs/>
          <w:i/>
          <w:sz w:val="24"/>
          <w:szCs w:val="24"/>
        </w:rPr>
        <w:t>erga omnes</w:t>
      </w:r>
      <w:r w:rsidRPr="00D12BDF">
        <w:rPr>
          <w:rFonts w:ascii="Open Sans" w:hAnsi="Open Sans" w:cs="Open Sans"/>
          <w:bCs/>
          <w:sz w:val="24"/>
          <w:szCs w:val="24"/>
        </w:rPr>
        <w:t xml:space="preserve">, sem depender de nenhuma intermediação </w:t>
      </w:r>
      <w:r w:rsidR="003740B9" w:rsidRPr="00D12BDF">
        <w:rPr>
          <w:rFonts w:ascii="Open Sans" w:hAnsi="Open Sans" w:cs="Open Sans"/>
          <w:bCs/>
          <w:sz w:val="24"/>
          <w:szCs w:val="24"/>
        </w:rPr>
        <w:t>legislativa.</w:t>
      </w:r>
      <w:r w:rsidRPr="00D12BDF">
        <w:rPr>
          <w:rFonts w:ascii="Open Sans" w:hAnsi="Open Sans" w:cs="Open Sans"/>
          <w:bCs/>
          <w:sz w:val="24"/>
          <w:szCs w:val="24"/>
        </w:rPr>
        <w:t xml:space="preserve"> Na jurisprudência do STF, mencionam-se como exemplos de aplicação da teoria da eficácia direta e imediata dos direitos fundamentais nas relações entre particulares, entre outros: 1) o caso do cooperado expulso de cooperativa sem o exercício do direito de defesa, em que se assegurou ao jurisdicionado a observância do devido processo legal e da ampla defesa (RE nº 158.215-4/RS); e 2) o caso do brasileiro, </w:t>
      </w:r>
      <w:r>
        <w:rPr>
          <w:rFonts w:ascii="Open Sans" w:hAnsi="Open Sans" w:cs="Open Sans"/>
          <w:bCs/>
          <w:sz w:val="24"/>
          <w:szCs w:val="24"/>
        </w:rPr>
        <w:t>empregado da ‘</w:t>
      </w:r>
      <w:r w:rsidRPr="00637F0B">
        <w:rPr>
          <w:rFonts w:ascii="Open Sans" w:hAnsi="Open Sans" w:cs="Open Sans"/>
          <w:bCs/>
          <w:i/>
          <w:sz w:val="24"/>
          <w:szCs w:val="24"/>
        </w:rPr>
        <w:t>Air France</w:t>
      </w:r>
      <w:r>
        <w:rPr>
          <w:rFonts w:ascii="Open Sans" w:hAnsi="Open Sans" w:cs="Open Sans"/>
          <w:bCs/>
          <w:sz w:val="24"/>
          <w:szCs w:val="24"/>
        </w:rPr>
        <w:t>’</w:t>
      </w:r>
      <w:r w:rsidRPr="00D12BDF">
        <w:rPr>
          <w:rFonts w:ascii="Open Sans" w:hAnsi="Open Sans" w:cs="Open Sans"/>
          <w:bCs/>
          <w:sz w:val="24"/>
          <w:szCs w:val="24"/>
        </w:rPr>
        <w:t>, o qual, em face da aplicação do princípio da igualdade pelo STF, teve garantido os direitos trabalhistas previstos no regulamento empresa que só eram concedidos aos empregados franceses da companhia (RE nº 161.243-6/DF). As relações de emprego - marcadas que são pela assimetria decorrente da subordinação do empregado e do exercício do poder diretivo do empregador -</w:t>
      </w:r>
      <w:proofErr w:type="gramStart"/>
      <w:r w:rsidRPr="00D12BDF">
        <w:rPr>
          <w:rFonts w:ascii="Open Sans" w:hAnsi="Open Sans" w:cs="Open Sans"/>
          <w:bCs/>
          <w:sz w:val="24"/>
          <w:szCs w:val="24"/>
        </w:rPr>
        <w:t>, revelam</w:t>
      </w:r>
      <w:proofErr w:type="gramEnd"/>
      <w:r w:rsidRPr="00D12BDF">
        <w:rPr>
          <w:rFonts w:ascii="Open Sans" w:hAnsi="Open Sans" w:cs="Open Sans"/>
          <w:bCs/>
          <w:sz w:val="24"/>
          <w:szCs w:val="24"/>
        </w:rPr>
        <w:t xml:space="preserve"> campo fértil para a eclosão de condutas violadoras de direitos fundamentais, de que são exemplos as práticas discriminatórias relativas ao assédio moral, sexual ou eleitoral, bem como as formas de trabalho em condições indignas (trabalho infantil, trabalho em condições análogas à de escravo etc.). Contudo, o exercício da autonomia privada e da liberdade geral e negocial não podem restringir desproporcionalmente ou aniquilar os d</w:t>
      </w:r>
      <w:r>
        <w:rPr>
          <w:rFonts w:ascii="Open Sans" w:hAnsi="Open Sans" w:cs="Open Sans"/>
          <w:bCs/>
          <w:sz w:val="24"/>
          <w:szCs w:val="24"/>
        </w:rPr>
        <w:t>ireitos fundamentais em colisão</w:t>
      </w:r>
      <w:r w:rsidRPr="00D12BDF">
        <w:rPr>
          <w:rFonts w:ascii="Open Sans" w:hAnsi="Open Sans" w:cs="Open Sans"/>
          <w:bCs/>
          <w:sz w:val="24"/>
          <w:szCs w:val="24"/>
        </w:rPr>
        <w:t>. Isso porque, os empregadores se submetem à eficácia direta e imediata dos direitos fundamentais cujo escopo primordial é realizar e tornar efetiva a dignidade da pessoa humana. Não por outra razão o constituinte alçou ao mesmo patamar normativo a dignidade da pessoa humana e os valores sociais do trabalho e da livre iniciativa como fundamentos da República Federativa do Brasil e mais especificamente esses dois últimos valores como fundamentos da ordem econômica (</w:t>
      </w:r>
      <w:proofErr w:type="spellStart"/>
      <w:r w:rsidRPr="00D12BDF">
        <w:rPr>
          <w:rFonts w:ascii="Open Sans" w:hAnsi="Open Sans" w:cs="Open Sans"/>
          <w:bCs/>
          <w:sz w:val="24"/>
          <w:szCs w:val="24"/>
        </w:rPr>
        <w:t>arts</w:t>
      </w:r>
      <w:proofErr w:type="spellEnd"/>
      <w:r w:rsidRPr="00D12BDF">
        <w:rPr>
          <w:rFonts w:ascii="Open Sans" w:hAnsi="Open Sans" w:cs="Open Sans"/>
          <w:bCs/>
          <w:sz w:val="24"/>
          <w:szCs w:val="24"/>
        </w:rPr>
        <w:t>. 1° e 170 da CF). A partir dessas premissas é que se deve analisar a liberdade religiosa como direito fundamental incidente direta e imediatamente nas relações de emprego. A liberdade religiosa, embora intrinsecamente associada, não se confunde com a liberdade de consciência, que possui dimensão mais ampla, projetando seu âmbito de proteção a outros valores e convicções não associados à religião, crença e/ou culto. No ordenamento jurídico nac</w:t>
      </w:r>
      <w:r>
        <w:rPr>
          <w:rFonts w:ascii="Open Sans" w:hAnsi="Open Sans" w:cs="Open Sans"/>
          <w:bCs/>
          <w:sz w:val="24"/>
          <w:szCs w:val="24"/>
        </w:rPr>
        <w:t>ional</w:t>
      </w:r>
      <w:r w:rsidRPr="00D12BDF">
        <w:rPr>
          <w:rFonts w:ascii="Open Sans" w:hAnsi="Open Sans" w:cs="Open Sans"/>
          <w:bCs/>
          <w:sz w:val="24"/>
          <w:szCs w:val="24"/>
        </w:rPr>
        <w:t xml:space="preserve">, a proteção constitucional à liberdade religiosa e à liberdade de consciência encontra-se expressamente prevista no art. 5°, </w:t>
      </w:r>
      <w:proofErr w:type="gramStart"/>
      <w:r w:rsidRPr="00D12BDF">
        <w:rPr>
          <w:rFonts w:ascii="Open Sans" w:hAnsi="Open Sans" w:cs="Open Sans"/>
          <w:bCs/>
          <w:sz w:val="24"/>
          <w:szCs w:val="24"/>
        </w:rPr>
        <w:t>VI,</w:t>
      </w:r>
      <w:proofErr w:type="gramEnd"/>
      <w:r w:rsidRPr="00D12BDF">
        <w:rPr>
          <w:rFonts w:ascii="Open Sans" w:hAnsi="Open Sans" w:cs="Open Sans"/>
          <w:bCs/>
          <w:sz w:val="24"/>
          <w:szCs w:val="24"/>
        </w:rPr>
        <w:t xml:space="preserve"> VII e VIII, da Constituição Federal (VI - é inviolável a liberdade de consciência e de crença, sendo assegurado o livre exercício dos cultos religiosos e garantida , na forma da lei, a proteção aos locais de culto e a suas liturgias; VII - é assegurada, nos termos da lei, a prestação de assistência religiosa nas entidades civis e militares de internação coletiva; VIII - ninguém será privado de direitos por motivo de crença religiosa ou de convicção filosófica ou política, salvo se as invocar para eximir-se de obrigação legal a todos imposta e recusar-se a cumprir presta</w:t>
      </w:r>
      <w:r>
        <w:rPr>
          <w:rFonts w:ascii="Open Sans" w:hAnsi="Open Sans" w:cs="Open Sans"/>
          <w:bCs/>
          <w:sz w:val="24"/>
          <w:szCs w:val="24"/>
        </w:rPr>
        <w:t>ção alternativa, fixada em lei;’</w:t>
      </w:r>
      <w:r w:rsidRPr="00D12BDF">
        <w:rPr>
          <w:rFonts w:ascii="Open Sans" w:hAnsi="Open Sans" w:cs="Open Sans"/>
          <w:bCs/>
          <w:sz w:val="24"/>
          <w:szCs w:val="24"/>
        </w:rPr>
        <w:t xml:space="preserve">) No âmbito internacional , igualmente asseguram essa proteção os artigos 10 da Declaração dos Direitos do Homem e do Cidadão (1789), 18 da Declaração Universal dos Direitos Humanos (1948), 18 do Pacto Internacional sobre Direitos Civis e Políticos (1966), 1º da </w:t>
      </w:r>
      <w:r w:rsidRPr="00D12BDF">
        <w:rPr>
          <w:rFonts w:ascii="Open Sans" w:hAnsi="Open Sans" w:cs="Open Sans"/>
          <w:bCs/>
          <w:sz w:val="24"/>
          <w:szCs w:val="24"/>
        </w:rPr>
        <w:lastRenderedPageBreak/>
        <w:t xml:space="preserve">Convenção nº 111 da OIT, 12 da Convenção Americana sobre Direitos Humanos (Pacto de San José da Costa Rica), e III da Declaração Americana dos Direitos e Deveres do Homem (1948). Particularmente quanto à liberdade religiosa, verifica-se que sua proteção enquanto direito humano engloba a liberdade de crer, ou não, adotar, ou não, determinada religião, ou de mudar de religião, bem assim a liberdade de manifestar e praticar atividade religiosa, promover e participar de cultos, celebrações ou atividades educativas religiosas, ou de não participar de quaisquer </w:t>
      </w:r>
      <w:proofErr w:type="gramStart"/>
      <w:r w:rsidRPr="00D12BDF">
        <w:rPr>
          <w:rFonts w:ascii="Open Sans" w:hAnsi="Open Sans" w:cs="Open Sans"/>
          <w:bCs/>
          <w:sz w:val="24"/>
          <w:szCs w:val="24"/>
        </w:rPr>
        <w:t>dessa atividades</w:t>
      </w:r>
      <w:proofErr w:type="gramEnd"/>
      <w:r w:rsidRPr="00D12BDF">
        <w:rPr>
          <w:rFonts w:ascii="Open Sans" w:hAnsi="Open Sans" w:cs="Open Sans"/>
          <w:bCs/>
          <w:sz w:val="24"/>
          <w:szCs w:val="24"/>
        </w:rPr>
        <w:t xml:space="preserve"> por convicções próprias. A liberdade de religião, pois, abrange as dimensões interna e </w:t>
      </w:r>
      <w:r w:rsidR="00137A01" w:rsidRPr="00D12BDF">
        <w:rPr>
          <w:rFonts w:ascii="Open Sans" w:hAnsi="Open Sans" w:cs="Open Sans"/>
          <w:bCs/>
          <w:sz w:val="24"/>
          <w:szCs w:val="24"/>
        </w:rPr>
        <w:t>externa.</w:t>
      </w:r>
      <w:r w:rsidRPr="00D12BDF">
        <w:rPr>
          <w:rFonts w:ascii="Open Sans" w:hAnsi="Open Sans" w:cs="Open Sans"/>
          <w:bCs/>
          <w:sz w:val="24"/>
          <w:szCs w:val="24"/>
        </w:rPr>
        <w:t xml:space="preserve"> A dimensão interna (foro interno) faculta à pessoa o direito de não ter uma religião, de adotar, ou não, uma religião específica, a possibilidade de modificar sua crença ou religião, bem como o direito de não a revelar a terceiros. Já a dimensão externa compreende a exteriorização das crenças por meio da afirmação, estudos, divulgação, pregação, participação em celebrações religiosas, adoção de normas de condutas alinhadas à respectiva doutrina religiosa, bem como a tentativa de persuasão e conversão de terceiros à sua religião (proselitismo religioso). Como ressaltado, os deveres de proteção inerentes à dimensão objetiva do direito fundamental à liberdade religiosa impõem aos empregadores que não intervenham na livre opção </w:t>
      </w:r>
      <w:proofErr w:type="gramStart"/>
      <w:r w:rsidRPr="00D12BDF">
        <w:rPr>
          <w:rFonts w:ascii="Open Sans" w:hAnsi="Open Sans" w:cs="Open Sans"/>
          <w:bCs/>
          <w:sz w:val="24"/>
          <w:szCs w:val="24"/>
        </w:rPr>
        <w:t>religiosa do empregado, ressalvadas</w:t>
      </w:r>
      <w:proofErr w:type="gramEnd"/>
      <w:r w:rsidRPr="00D12BDF">
        <w:rPr>
          <w:rFonts w:ascii="Open Sans" w:hAnsi="Open Sans" w:cs="Open Sans"/>
          <w:bCs/>
          <w:sz w:val="24"/>
          <w:szCs w:val="24"/>
        </w:rPr>
        <w:t xml:space="preserve"> as hipóteses em que necessário assegurar a proteção de outros direitos ou mesmo da liberdade religiosa de outros empregados. Ou seja, a liberdade de religião apresenta-se como limite ao poder diretivo do empregador. Do dever de proteção emana o dever de adaptação</w:t>
      </w:r>
      <w:proofErr w:type="gramStart"/>
      <w:r w:rsidRPr="00D12BDF">
        <w:rPr>
          <w:rFonts w:ascii="Open Sans" w:hAnsi="Open Sans" w:cs="Open Sans"/>
          <w:bCs/>
          <w:sz w:val="24"/>
          <w:szCs w:val="24"/>
        </w:rPr>
        <w:t xml:space="preserve">  </w:t>
      </w:r>
      <w:proofErr w:type="gramEnd"/>
      <w:r w:rsidRPr="00D12BDF">
        <w:rPr>
          <w:rFonts w:ascii="Open Sans" w:hAnsi="Open Sans" w:cs="Open Sans"/>
          <w:bCs/>
          <w:sz w:val="24"/>
          <w:szCs w:val="24"/>
        </w:rPr>
        <w:t xml:space="preserve"> razoável , cujo objetivo é acomodar necessidades específicas de determinados empregados que sofrem os efeitos de condutas discriminatórias perpetradas na empresa. Conforme ressalta Ricardo </w:t>
      </w:r>
      <w:proofErr w:type="spellStart"/>
      <w:r w:rsidRPr="00D12BDF">
        <w:rPr>
          <w:rFonts w:ascii="Open Sans" w:hAnsi="Open Sans" w:cs="Open Sans"/>
          <w:bCs/>
          <w:sz w:val="24"/>
          <w:szCs w:val="24"/>
        </w:rPr>
        <w:t>Raemy</w:t>
      </w:r>
      <w:proofErr w:type="spellEnd"/>
      <w:r w:rsidRPr="00D12BDF">
        <w:rPr>
          <w:rFonts w:ascii="Open Sans" w:hAnsi="Open Sans" w:cs="Open Sans"/>
          <w:bCs/>
          <w:sz w:val="24"/>
          <w:szCs w:val="24"/>
        </w:rPr>
        <w:t xml:space="preserve"> Rangel, ao discorrer sobre o dever de adaptação razoável e a discriminação por motivo religioso nas relações de trabalho, a adaptação razoável representa um mecanismo que busca garantir a igualdade material no âmbito laboral por meio da redução dos efeitos discriminatórios incidentes sobre indivíduos integrantes de grupos minoritários (pessoas com deficiência e minorias religiosas</w:t>
      </w:r>
      <w:proofErr w:type="gramStart"/>
      <w:r w:rsidRPr="00D12BDF">
        <w:rPr>
          <w:rFonts w:ascii="Open Sans" w:hAnsi="Open Sans" w:cs="Open Sans"/>
          <w:bCs/>
          <w:sz w:val="24"/>
          <w:szCs w:val="24"/>
        </w:rPr>
        <w:t xml:space="preserve"> por exemplo</w:t>
      </w:r>
      <w:proofErr w:type="gramEnd"/>
      <w:r w:rsidRPr="00D12BDF">
        <w:rPr>
          <w:rFonts w:ascii="Open Sans" w:hAnsi="Open Sans" w:cs="Open Sans"/>
          <w:bCs/>
          <w:sz w:val="24"/>
          <w:szCs w:val="24"/>
        </w:rPr>
        <w:t xml:space="preserve">). Assim, incumbe ao empregador promover a concretização da igualdade material, ajustando as políticas, rotinas e normas empresariais e, por conseguinte, adaptando o ambiente de trabalho e o transformando no mais plural, democrático e inclusivo possível à luz da diversidade de crenças e religiões de seus empregados. O empregador somente se exime do dever de adaptação em situações excepcionais, quando demonstrado o ônus excessivo </w:t>
      </w:r>
      <w:proofErr w:type="gramStart"/>
      <w:r w:rsidRPr="00D12BDF">
        <w:rPr>
          <w:rFonts w:ascii="Open Sans" w:hAnsi="Open Sans" w:cs="Open Sans"/>
          <w:bCs/>
          <w:sz w:val="24"/>
          <w:szCs w:val="24"/>
        </w:rPr>
        <w:t xml:space="preserve">( </w:t>
      </w:r>
      <w:proofErr w:type="spellStart"/>
      <w:proofErr w:type="gramEnd"/>
      <w:r w:rsidRPr="00137A01">
        <w:rPr>
          <w:rFonts w:ascii="Open Sans" w:hAnsi="Open Sans" w:cs="Open Sans"/>
          <w:bCs/>
          <w:i/>
          <w:sz w:val="24"/>
          <w:szCs w:val="24"/>
        </w:rPr>
        <w:t>undue</w:t>
      </w:r>
      <w:proofErr w:type="spellEnd"/>
      <w:r w:rsidRPr="00137A01">
        <w:rPr>
          <w:rFonts w:ascii="Open Sans" w:hAnsi="Open Sans" w:cs="Open Sans"/>
          <w:bCs/>
          <w:i/>
          <w:sz w:val="24"/>
          <w:szCs w:val="24"/>
        </w:rPr>
        <w:t xml:space="preserve">  </w:t>
      </w:r>
      <w:proofErr w:type="spellStart"/>
      <w:r w:rsidRPr="00137A01">
        <w:rPr>
          <w:rFonts w:ascii="Open Sans" w:hAnsi="Open Sans" w:cs="Open Sans"/>
          <w:bCs/>
          <w:i/>
          <w:sz w:val="24"/>
          <w:szCs w:val="24"/>
        </w:rPr>
        <w:t>hardship</w:t>
      </w:r>
      <w:proofErr w:type="spellEnd"/>
      <w:r w:rsidRPr="00137A01">
        <w:rPr>
          <w:rFonts w:ascii="Open Sans" w:hAnsi="Open Sans" w:cs="Open Sans"/>
          <w:bCs/>
          <w:i/>
          <w:sz w:val="24"/>
          <w:szCs w:val="24"/>
        </w:rPr>
        <w:t xml:space="preserve"> </w:t>
      </w:r>
      <w:r w:rsidRPr="00D12BDF">
        <w:rPr>
          <w:rFonts w:ascii="Open Sans" w:hAnsi="Open Sans" w:cs="Open Sans"/>
          <w:bCs/>
          <w:sz w:val="24"/>
          <w:szCs w:val="24"/>
        </w:rPr>
        <w:t xml:space="preserve">) para efetivação da acomodação. Critérios como porte econômico, volume do investimento, amplitude do quadro de pessoal e natureza da atividade econômica devem ser ponderados para aferir se efetivamente há ônus excessivo apto a afastar o dever de adaptação. No caso concreto, constou no acórdão recorrido, trecho transcrito no recurso de revista, que o reclamante alegou desde a petição inicial que havia a obrigatoriedade de participar de culto religioso (oração religiosa) no início da jornada, </w:t>
      </w:r>
      <w:proofErr w:type="gramStart"/>
      <w:r w:rsidRPr="00D12BDF">
        <w:rPr>
          <w:rFonts w:ascii="Open Sans" w:hAnsi="Open Sans" w:cs="Open Sans"/>
          <w:bCs/>
          <w:sz w:val="24"/>
          <w:szCs w:val="24"/>
        </w:rPr>
        <w:t>sob pena</w:t>
      </w:r>
      <w:proofErr w:type="gramEnd"/>
      <w:r w:rsidRPr="00D12BDF">
        <w:rPr>
          <w:rFonts w:ascii="Open Sans" w:hAnsi="Open Sans" w:cs="Open Sans"/>
          <w:bCs/>
          <w:sz w:val="24"/>
          <w:szCs w:val="24"/>
        </w:rPr>
        <w:t xml:space="preserve"> de advertência; a reclamada admitiu a existência de culto religioso no ambiente de trabalho, mas negou a obrigatoriedade da participação do trabalhador. Ainda no acórdão recorrido, trecho transcrito no recurso de revista, consta que as testemunhas indicadas pelo reclamante confirmaram a obrigatoriedade de participação no culto, havendo divergência somente quanto à duração da oração (se seriam de 20 minutos ou de 5 a 7 minutos); por sua vez, a testemunha indicada pela reclamada disse que não haveria obrigatoriedade de </w:t>
      </w:r>
      <w:r>
        <w:rPr>
          <w:rFonts w:ascii="Open Sans" w:hAnsi="Open Sans" w:cs="Open Sans"/>
          <w:bCs/>
          <w:sz w:val="24"/>
          <w:szCs w:val="24"/>
        </w:rPr>
        <w:t>participação nos cultos porque ‘</w:t>
      </w:r>
      <w:r w:rsidRPr="00D12BDF">
        <w:rPr>
          <w:rFonts w:ascii="Open Sans" w:hAnsi="Open Sans" w:cs="Open Sans"/>
          <w:bCs/>
          <w:sz w:val="24"/>
          <w:szCs w:val="24"/>
        </w:rPr>
        <w:t xml:space="preserve">as </w:t>
      </w:r>
      <w:r w:rsidRPr="00D12BDF">
        <w:rPr>
          <w:rFonts w:ascii="Open Sans" w:hAnsi="Open Sans" w:cs="Open Sans"/>
          <w:bCs/>
          <w:sz w:val="24"/>
          <w:szCs w:val="24"/>
        </w:rPr>
        <w:lastRenderedPageBreak/>
        <w:t>pessoas que não tenham interesse em participar é solicitado apenas que se mantenham em silêncio para r</w:t>
      </w:r>
      <w:r>
        <w:rPr>
          <w:rFonts w:ascii="Open Sans" w:hAnsi="Open Sans" w:cs="Open Sans"/>
          <w:bCs/>
          <w:sz w:val="24"/>
          <w:szCs w:val="24"/>
        </w:rPr>
        <w:t>espeitar aqueles que participam’</w:t>
      </w:r>
      <w:r w:rsidRPr="00D12BDF">
        <w:rPr>
          <w:rFonts w:ascii="Open Sans" w:hAnsi="Open Sans" w:cs="Open Sans"/>
          <w:bCs/>
          <w:sz w:val="24"/>
          <w:szCs w:val="24"/>
        </w:rPr>
        <w:t xml:space="preserve">.   Em resumo, as testemunhas indicadas pelo reclamante confirmaram que havia a participação obrigatória nos cultos e a informação da testemunha indicada pela reclamada de que não haveria obrigatoriedade na participação em cultos foi dada no contexto meramente interpretativo de que não configuraria participação obrigatória </w:t>
      </w:r>
      <w:proofErr w:type="gramStart"/>
      <w:r w:rsidRPr="00D12BDF">
        <w:rPr>
          <w:rFonts w:ascii="Open Sans" w:hAnsi="Open Sans" w:cs="Open Sans"/>
          <w:bCs/>
          <w:sz w:val="24"/>
          <w:szCs w:val="24"/>
        </w:rPr>
        <w:t>a</w:t>
      </w:r>
      <w:proofErr w:type="gramEnd"/>
      <w:r w:rsidRPr="00D12BDF">
        <w:rPr>
          <w:rFonts w:ascii="Open Sans" w:hAnsi="Open Sans" w:cs="Open Sans"/>
          <w:bCs/>
          <w:sz w:val="24"/>
          <w:szCs w:val="24"/>
        </w:rPr>
        <w:t xml:space="preserve"> hipótese da participação em silêncio. Contudo, essa delimitação, por si mesma, somente demonstra que era autorizada pela empresa a presença silenciosa, e não a faculdade de ausência nos eventos religiosos. Cumpre notar que a participação em cultos não se dá apenas com a prática de gestos ativos e concretos inerentes à liturgia religiosa (conduta externa do trabalhador no grupo onde está inserido). A participação também se dá pela presença em silêncio (conduta interna), quando o empregado está submetido a um contexto de orações no ambiente de trabalho a respeito de religião da qual não é adepto. A questão é sutil e não pode passar despercebida - colocar o trabalhador em silêncio em culto religioso no ambiente de trabalho é, ao mesmo tempo, inseri-lo em uma determinada cultura corporativa entrelaçada a uma determinada cultura religiosa, o que afronta diretamente a liberdade de crença. Não se está dizendo aqui que as empresas não possam ter ambientes receptivos às religiões e à religiosidade de seus trabalhadores, mas, sim, que a participação nos cultos não pode se dar no contexto da obrigatoriedade direta ou indireta ou em zona cinzenta (a exemplo da emblemática situação da participação silenciosa). À luz das premissas teóricas expostas acerca da incidência direta dos direitos fundamentais nas relações de emprego e da proteção constitucional conferida à liberdade religiosa, conclui-se que a imposição de participação em cultos ou práticas religiosas no ambiente de trabalho viola a liberdade religiosa em sua dimensão negativa. Ora, essa conduta do empregador desconsidera aspectos fundamentais da liberdade religiosa do empregado, a saber: o direito de não ter religião ou de professar fé diferente daquela em que se acredita. Atinge, portanto, a livre opção e exercício da liber</w:t>
      </w:r>
      <w:r>
        <w:rPr>
          <w:rFonts w:ascii="Open Sans" w:hAnsi="Open Sans" w:cs="Open Sans"/>
          <w:bCs/>
          <w:sz w:val="24"/>
          <w:szCs w:val="24"/>
        </w:rPr>
        <w:t>dade de religião do empregado (dimensão interna</w:t>
      </w:r>
      <w:r w:rsidRPr="00D12BDF">
        <w:rPr>
          <w:rFonts w:ascii="Open Sans" w:hAnsi="Open Sans" w:cs="Open Sans"/>
          <w:bCs/>
          <w:sz w:val="24"/>
          <w:szCs w:val="24"/>
        </w:rPr>
        <w:t>) Nem mesmo sob o crivo da análise trifásica do princípio da proporcionalidade (adequação, necessidade e proporcionalidade em sentido estrito) a restrição à liberdade religiosa é válida. Mesmo que se considere a promoção de inter</w:t>
      </w:r>
      <w:r>
        <w:rPr>
          <w:rFonts w:ascii="Open Sans" w:hAnsi="Open Sans" w:cs="Open Sans"/>
          <w:bCs/>
          <w:sz w:val="24"/>
          <w:szCs w:val="24"/>
        </w:rPr>
        <w:t>esse legítimo pelo empregador (adequação</w:t>
      </w:r>
      <w:r w:rsidRPr="00D12BDF">
        <w:rPr>
          <w:rFonts w:ascii="Open Sans" w:hAnsi="Open Sans" w:cs="Open Sans"/>
          <w:bCs/>
          <w:sz w:val="24"/>
          <w:szCs w:val="24"/>
        </w:rPr>
        <w:t xml:space="preserve">) que realiza atividade religiosa na empresa, essa conduta de obrigar a todos os empregados indistintamente, sem considerar a possibilidade de parte deles não </w:t>
      </w:r>
      <w:proofErr w:type="gramStart"/>
      <w:r w:rsidRPr="00D12BDF">
        <w:rPr>
          <w:rFonts w:ascii="Open Sans" w:hAnsi="Open Sans" w:cs="Open Sans"/>
          <w:bCs/>
          <w:sz w:val="24"/>
          <w:szCs w:val="24"/>
        </w:rPr>
        <w:t>terem</w:t>
      </w:r>
      <w:proofErr w:type="gramEnd"/>
      <w:r w:rsidRPr="00D12BDF">
        <w:rPr>
          <w:rFonts w:ascii="Open Sans" w:hAnsi="Open Sans" w:cs="Open Sans"/>
          <w:bCs/>
          <w:sz w:val="24"/>
          <w:szCs w:val="24"/>
        </w:rPr>
        <w:t xml:space="preserve"> religião ou terem religião diferente daquela praticada na empresa,</w:t>
      </w:r>
      <w:r>
        <w:rPr>
          <w:rFonts w:ascii="Open Sans" w:hAnsi="Open Sans" w:cs="Open Sans"/>
          <w:bCs/>
          <w:sz w:val="24"/>
          <w:szCs w:val="24"/>
        </w:rPr>
        <w:t xml:space="preserve"> não atende ao subprincípio da ‘</w:t>
      </w:r>
      <w:r w:rsidRPr="00D12BDF">
        <w:rPr>
          <w:rFonts w:ascii="Open Sans" w:hAnsi="Open Sans" w:cs="Open Sans"/>
          <w:bCs/>
          <w:sz w:val="24"/>
          <w:szCs w:val="24"/>
        </w:rPr>
        <w:t>necessidade</w:t>
      </w:r>
      <w:r>
        <w:rPr>
          <w:rFonts w:ascii="Open Sans" w:hAnsi="Open Sans" w:cs="Open Sans"/>
          <w:bCs/>
          <w:sz w:val="24"/>
          <w:szCs w:val="24"/>
        </w:rPr>
        <w:t xml:space="preserve"> ou exigibilidade’</w:t>
      </w:r>
      <w:r w:rsidRPr="00D12BDF">
        <w:rPr>
          <w:rFonts w:ascii="Open Sans" w:hAnsi="Open Sans" w:cs="Open Sans"/>
          <w:bCs/>
          <w:sz w:val="24"/>
          <w:szCs w:val="24"/>
        </w:rPr>
        <w:t>, pois não reflete o meio menos grave para atingir o objetivo pretendido (a inobservância do segundo critério torna despicienda o exame da proporcionalidade em sentido estrito). Nesse ponto, bastaria ao empregador cumprir o dever de adaptação</w:t>
      </w:r>
      <w:proofErr w:type="gramStart"/>
      <w:r w:rsidRPr="00D12BDF">
        <w:rPr>
          <w:rFonts w:ascii="Open Sans" w:hAnsi="Open Sans" w:cs="Open Sans"/>
          <w:bCs/>
          <w:sz w:val="24"/>
          <w:szCs w:val="24"/>
        </w:rPr>
        <w:t xml:space="preserve">  </w:t>
      </w:r>
      <w:proofErr w:type="gramEnd"/>
      <w:r w:rsidRPr="00D12BDF">
        <w:rPr>
          <w:rFonts w:ascii="Open Sans" w:hAnsi="Open Sans" w:cs="Open Sans"/>
          <w:bCs/>
          <w:sz w:val="24"/>
          <w:szCs w:val="24"/>
        </w:rPr>
        <w:t xml:space="preserve"> razoável , tornando facultativa a participação dos empregados nas atividades religiosas realizadas na empresa. Além disso, a referi</w:t>
      </w:r>
      <w:r>
        <w:rPr>
          <w:rFonts w:ascii="Open Sans" w:hAnsi="Open Sans" w:cs="Open Sans"/>
          <w:bCs/>
          <w:sz w:val="24"/>
          <w:szCs w:val="24"/>
        </w:rPr>
        <w:t>da imposição patronal viola a ‘dimensão espiritual’</w:t>
      </w:r>
      <w:r w:rsidRPr="00D12BDF">
        <w:rPr>
          <w:rFonts w:ascii="Open Sans" w:hAnsi="Open Sans" w:cs="Open Sans"/>
          <w:bCs/>
          <w:sz w:val="24"/>
          <w:szCs w:val="24"/>
        </w:rPr>
        <w:t xml:space="preserve">, que, segundo Ingo Wolfgang </w:t>
      </w:r>
      <w:proofErr w:type="spellStart"/>
      <w:r w:rsidRPr="00D12BDF">
        <w:rPr>
          <w:rFonts w:ascii="Open Sans" w:hAnsi="Open Sans" w:cs="Open Sans"/>
          <w:bCs/>
          <w:sz w:val="24"/>
          <w:szCs w:val="24"/>
        </w:rPr>
        <w:t>Sarlet</w:t>
      </w:r>
      <w:proofErr w:type="spellEnd"/>
      <w:r w:rsidRPr="00D12BDF">
        <w:rPr>
          <w:rFonts w:ascii="Open Sans" w:hAnsi="Open Sans" w:cs="Open Sans"/>
          <w:bCs/>
          <w:sz w:val="24"/>
          <w:szCs w:val="24"/>
        </w:rPr>
        <w:t xml:space="preserve"> e Jayme </w:t>
      </w:r>
      <w:proofErr w:type="spellStart"/>
      <w:r w:rsidRPr="00D12BDF">
        <w:rPr>
          <w:rFonts w:ascii="Open Sans" w:hAnsi="Open Sans" w:cs="Open Sans"/>
          <w:bCs/>
          <w:sz w:val="24"/>
          <w:szCs w:val="24"/>
        </w:rPr>
        <w:t>Weingartner</w:t>
      </w:r>
      <w:proofErr w:type="spellEnd"/>
      <w:r w:rsidRPr="00D12BDF">
        <w:rPr>
          <w:rFonts w:ascii="Open Sans" w:hAnsi="Open Sans" w:cs="Open Sans"/>
          <w:bCs/>
          <w:sz w:val="24"/>
          <w:szCs w:val="24"/>
        </w:rPr>
        <w:t xml:space="preserve"> Neto, é constitutiva da dignidade da pessoa humana e fundamental para garantir a autodeterminação pessoal. Consequentemente, acarreta ofensa a direito da personalidade do empregado e gera dano moral </w:t>
      </w:r>
      <w:r w:rsidRPr="00D12BDF">
        <w:rPr>
          <w:rFonts w:ascii="Open Sans" w:hAnsi="Open Sans" w:cs="Open Sans"/>
          <w:bCs/>
          <w:i/>
          <w:sz w:val="24"/>
          <w:szCs w:val="24"/>
        </w:rPr>
        <w:t xml:space="preserve">in </w:t>
      </w:r>
      <w:proofErr w:type="spellStart"/>
      <w:r w:rsidRPr="00D12BDF">
        <w:rPr>
          <w:rFonts w:ascii="Open Sans" w:hAnsi="Open Sans" w:cs="Open Sans"/>
          <w:bCs/>
          <w:i/>
          <w:sz w:val="24"/>
          <w:szCs w:val="24"/>
        </w:rPr>
        <w:t>re</w:t>
      </w:r>
      <w:proofErr w:type="spellEnd"/>
      <w:r w:rsidRPr="00D12BDF">
        <w:rPr>
          <w:rFonts w:ascii="Open Sans" w:hAnsi="Open Sans" w:cs="Open Sans"/>
          <w:bCs/>
          <w:i/>
          <w:sz w:val="24"/>
          <w:szCs w:val="24"/>
        </w:rPr>
        <w:t xml:space="preserve">  </w:t>
      </w:r>
      <w:proofErr w:type="spellStart"/>
      <w:r w:rsidRPr="00D12BDF">
        <w:rPr>
          <w:rFonts w:ascii="Open Sans" w:hAnsi="Open Sans" w:cs="Open Sans"/>
          <w:bCs/>
          <w:i/>
          <w:sz w:val="24"/>
          <w:szCs w:val="24"/>
        </w:rPr>
        <w:t>ipsa</w:t>
      </w:r>
      <w:proofErr w:type="spellEnd"/>
      <w:r w:rsidRPr="00D12BDF">
        <w:rPr>
          <w:rFonts w:ascii="Open Sans" w:hAnsi="Open Sans" w:cs="Open Sans"/>
          <w:bCs/>
          <w:sz w:val="24"/>
          <w:szCs w:val="24"/>
        </w:rPr>
        <w:t xml:space="preserve">, o qual dispensa a demonstração de prejuízo moral do empregado reclamante. A propósito, no plano coletivo, a cultura empresarial de impor reiteradamente práticas religiosas aos </w:t>
      </w:r>
      <w:r w:rsidRPr="00D12BDF">
        <w:rPr>
          <w:rFonts w:ascii="Open Sans" w:hAnsi="Open Sans" w:cs="Open Sans"/>
          <w:bCs/>
          <w:sz w:val="24"/>
          <w:szCs w:val="24"/>
        </w:rPr>
        <w:lastRenderedPageBreak/>
        <w:t xml:space="preserve">empregados, em princípio, tem o condão de criar um ambiente de constrangimento e de discriminação indireta contra empregados não adeptos, degradando o meio ambiente de trabalho psicologicamente saudável. Diante das premissas fáticas registradas no acórdão recorrido, considerando o princípio da proporcionalidade, a gravidade da conduta violadora da liberdade religiosa, o dano sofrido, a sua extensão, o grau de culpabilidade e a capacidade econômica da reclamada, fixa-se a indenização por dano moral no valor de R$ 9.000,00 (montante postulado no recurso de revista e na petição inicial). </w:t>
      </w:r>
      <w:proofErr w:type="gramStart"/>
      <w:r w:rsidRPr="00D12BDF">
        <w:rPr>
          <w:rFonts w:ascii="Open Sans" w:hAnsi="Open Sans" w:cs="Open Sans"/>
          <w:bCs/>
          <w:sz w:val="24"/>
          <w:szCs w:val="24"/>
        </w:rPr>
        <w:t>Recurso de revista a que se dá parcial provimento.</w:t>
      </w:r>
      <w:r>
        <w:rPr>
          <w:rFonts w:ascii="Open Sans" w:hAnsi="Open Sans" w:cs="Open Sans"/>
          <w:bCs/>
          <w:sz w:val="24"/>
          <w:szCs w:val="24"/>
        </w:rPr>
        <w:t>”</w:t>
      </w:r>
      <w:proofErr w:type="gramEnd"/>
      <w:r w:rsidRPr="00D12BDF">
        <w:rPr>
          <w:rFonts w:ascii="Open Sans" w:hAnsi="Open Sans" w:cs="Open Sans"/>
          <w:bCs/>
          <w:sz w:val="24"/>
          <w:szCs w:val="24"/>
        </w:rPr>
        <w:t xml:space="preserve">  (</w:t>
      </w:r>
      <w:hyperlink r:id="rId31" w:history="1">
        <w:r w:rsidRPr="00262CD0">
          <w:rPr>
            <w:rStyle w:val="Hyperlink"/>
            <w:rFonts w:ascii="Open Sans" w:hAnsi="Open Sans" w:cs="Open Sans"/>
            <w:bCs/>
            <w:sz w:val="24"/>
            <w:szCs w:val="24"/>
          </w:rPr>
          <w:t>TST-RR-382-68.2023.5.20.0013, 6</w:t>
        </w:r>
        <w:r w:rsidR="00326D77">
          <w:rPr>
            <w:rStyle w:val="Hyperlink"/>
            <w:rFonts w:ascii="Open Sans" w:hAnsi="Open Sans" w:cs="Open Sans"/>
            <w:bCs/>
            <w:sz w:val="24"/>
            <w:szCs w:val="24"/>
          </w:rPr>
          <w:t>ª Turma, Rel. Min. Kátia Magalhã</w:t>
        </w:r>
        <w:r w:rsidRPr="00262CD0">
          <w:rPr>
            <w:rStyle w:val="Hyperlink"/>
            <w:rFonts w:ascii="Open Sans" w:hAnsi="Open Sans" w:cs="Open Sans"/>
            <w:bCs/>
            <w:sz w:val="24"/>
            <w:szCs w:val="24"/>
          </w:rPr>
          <w:t>es Arruda, julgado em 24/4/2026</w:t>
        </w:r>
      </w:hyperlink>
      <w:r w:rsidR="00447418">
        <w:rPr>
          <w:rFonts w:ascii="Open Sans" w:hAnsi="Open Sans" w:cs="Open Sans"/>
          <w:bCs/>
          <w:sz w:val="24"/>
          <w:szCs w:val="24"/>
        </w:rPr>
        <w:t>)</w:t>
      </w:r>
    </w:p>
    <w:p w:rsidR="00055C90" w:rsidRDefault="00055C90" w:rsidP="00170288">
      <w:pPr>
        <w:widowControl w:val="0"/>
        <w:suppressAutoHyphens/>
        <w:ind w:left="-255" w:right="340"/>
        <w:jc w:val="both"/>
        <w:rPr>
          <w:rFonts w:ascii="Open Sans" w:hAnsi="Open Sans" w:cs="Open Sans"/>
          <w:bCs/>
          <w:sz w:val="24"/>
          <w:szCs w:val="24"/>
        </w:rPr>
      </w:pPr>
    </w:p>
    <w:p w:rsidR="00460460" w:rsidRDefault="00431574" w:rsidP="00DE3761">
      <w:pPr>
        <w:widowControl w:val="0"/>
        <w:suppressAutoHyphens/>
        <w:ind w:left="-255" w:right="340"/>
        <w:jc w:val="both"/>
        <w:rPr>
          <w:rFonts w:ascii="Open Sans" w:hAnsi="Open Sans" w:cs="Open Sans"/>
          <w:bCs/>
          <w:sz w:val="24"/>
          <w:szCs w:val="24"/>
        </w:rPr>
      </w:pPr>
      <w:r>
        <w:rPr>
          <w:rFonts w:ascii="Open Sans" w:hAnsi="Open Sans" w:cs="Open Sans"/>
          <w:bCs/>
          <w:sz w:val="24"/>
          <w:szCs w:val="24"/>
        </w:rPr>
        <w:t xml:space="preserve">“[...] </w:t>
      </w:r>
      <w:r w:rsidR="00DE3761" w:rsidRPr="00431574">
        <w:rPr>
          <w:rFonts w:ascii="Open Sans" w:hAnsi="Open Sans" w:cs="Open Sans"/>
          <w:bCs/>
          <w:sz w:val="24"/>
          <w:szCs w:val="24"/>
        </w:rPr>
        <w:t>RECURSO DE REVISTA INTERPOSTO SOB A ÉGIDE DA LEI 13.467/2017. ADICIONAL DE RISCO. PORTUÁRIO. TRABALHADOR AVULSO. AUSÊNCIA DE PARADIGMA. NORMA COLETIVA QUE CONSTATA A EXISTÊNCIA DE TRABALHO EM SITUAÇÃO DE RISCO E PACTUA PERCENTUAL INFERIOR AO LEGAL. TRANSCENDÊNCIA JURÍDICA.</w:t>
      </w:r>
      <w:r w:rsidR="00DE3761" w:rsidRPr="00DE3761">
        <w:rPr>
          <w:rFonts w:ascii="Open Sans" w:hAnsi="Open Sans" w:cs="Open Sans"/>
          <w:b/>
          <w:bCs/>
          <w:sz w:val="24"/>
          <w:szCs w:val="24"/>
        </w:rPr>
        <w:t xml:space="preserve"> </w:t>
      </w:r>
      <w:r w:rsidR="00DE3761" w:rsidRPr="00DE3761">
        <w:rPr>
          <w:rFonts w:ascii="Open Sans" w:hAnsi="Open Sans" w:cs="Open Sans"/>
          <w:bCs/>
          <w:sz w:val="24"/>
          <w:szCs w:val="24"/>
        </w:rPr>
        <w:t xml:space="preserve">O Supremo Tribunal Federal, ao apreciar o Tema 222 da Repercussão Geral, firmou tese de que é devido o adicional de riscos na prestação do serviço portuário, levando em conta as condições em que os trabalhadores portuários, permanentes ou avulsos, desempenham. Ao julgar os cincos embargos de declaração opostos pelas partes em face de tal decisão, a Suprema Corte, no voto prevalecente do relator, admitiu a possibilidade de pagamento do adicional como consequência, singelamente, da condição de risco a que, abstratamente considerada, poderia estar submetido o portuário com vínculo permanente e está efetivamente submetido o trabalhador avulso. Convém pontuar, em reforço a tal ilação, que o caso paradigmático analisado pelo STF não discutia a existência de trabalhadores vinculados </w:t>
      </w:r>
      <w:proofErr w:type="gramStart"/>
      <w:r w:rsidR="00DE3761" w:rsidRPr="00DE3761">
        <w:rPr>
          <w:rFonts w:ascii="Open Sans" w:hAnsi="Open Sans" w:cs="Open Sans"/>
          <w:bCs/>
          <w:sz w:val="24"/>
          <w:szCs w:val="24"/>
        </w:rPr>
        <w:t>sob regimes</w:t>
      </w:r>
      <w:proofErr w:type="gramEnd"/>
      <w:r w:rsidR="00DE3761" w:rsidRPr="00DE3761">
        <w:rPr>
          <w:rFonts w:ascii="Open Sans" w:hAnsi="Open Sans" w:cs="Open Sans"/>
          <w:bCs/>
          <w:sz w:val="24"/>
          <w:szCs w:val="24"/>
        </w:rPr>
        <w:t xml:space="preserve"> distintos em condições idênticas de labor, de modo a exigir a necessária aferição, por meio de paradigmas, de uma relação de estrita isonomia entre eles. Reafirmou-se, portanto, que a controvérsia não se resolve pela simples contraposição entre trabalhadores avulsos e empregados permanentes, mas pela análise das condições concretas em que o trabalho é desempenhado. Conquanto este redator já tenha decidido de modo diverso no âmbito da Sexta Turma, o debate em questão foi afetado ao Tribunal Pleno desta Corte Superior, por meio do E-ED-ED-RR 187200-81.2003.5.09.0322, na sessão de 20/2/2025 da Subseção de Dissídios Individuais I, ante a constatação de divergência de entendimento entre as Turmas e as Seções Especializadas. No julgamento do aludido processo pela SBDI-I, prevalecera o voto proferido pela Exma. Relatora, Ministra </w:t>
      </w:r>
      <w:proofErr w:type="spellStart"/>
      <w:r w:rsidR="00DE3761" w:rsidRPr="00DE3761">
        <w:rPr>
          <w:rFonts w:ascii="Open Sans" w:hAnsi="Open Sans" w:cs="Open Sans"/>
          <w:bCs/>
          <w:sz w:val="24"/>
          <w:szCs w:val="24"/>
        </w:rPr>
        <w:t>Delaíde</w:t>
      </w:r>
      <w:proofErr w:type="spellEnd"/>
      <w:r w:rsidR="00DE3761" w:rsidRPr="00DE3761">
        <w:rPr>
          <w:rFonts w:ascii="Open Sans" w:hAnsi="Open Sans" w:cs="Open Sans"/>
          <w:bCs/>
          <w:sz w:val="24"/>
          <w:szCs w:val="24"/>
        </w:rPr>
        <w:t xml:space="preserve"> Alves Miranda Arantes, a fim de, exercendo juízo de retratação, negar provimento aos embargos interpostos pelo OGMO. Ou seja, a maioria da Subseção compreendeu, naquela oportunidade, pela desnecessidade de empregado paradigma, para o deferimento do adicional de risco. No caso concreto, o reclamante pleiteou a condenação do réu ao pagamento do adicional de risco no percentual de 40%, com a dedução da parcela </w:t>
      </w:r>
      <w:r w:rsidR="00FD5906">
        <w:rPr>
          <w:rFonts w:ascii="Open Sans" w:hAnsi="Open Sans" w:cs="Open Sans"/>
          <w:bCs/>
          <w:sz w:val="24"/>
          <w:szCs w:val="24"/>
        </w:rPr>
        <w:t>‘</w:t>
      </w:r>
      <w:r w:rsidR="00DE3761" w:rsidRPr="00DE3761">
        <w:rPr>
          <w:rFonts w:ascii="Open Sans" w:hAnsi="Open Sans" w:cs="Open Sans"/>
          <w:bCs/>
          <w:sz w:val="24"/>
          <w:szCs w:val="24"/>
        </w:rPr>
        <w:t>adicional de insalubridade</w:t>
      </w:r>
      <w:r w:rsidR="00FD5906">
        <w:rPr>
          <w:rFonts w:ascii="Open Sans" w:hAnsi="Open Sans" w:cs="Open Sans"/>
          <w:bCs/>
          <w:sz w:val="24"/>
          <w:szCs w:val="24"/>
        </w:rPr>
        <w:t>’</w:t>
      </w:r>
      <w:r w:rsidR="00DE3761" w:rsidRPr="00DE3761">
        <w:rPr>
          <w:rFonts w:ascii="Open Sans" w:hAnsi="Open Sans" w:cs="Open Sans"/>
          <w:bCs/>
          <w:sz w:val="24"/>
          <w:szCs w:val="24"/>
        </w:rPr>
        <w:t xml:space="preserve"> (20%) que já fora paga, relativamente ao período até 10/11/2017 e, posteriormente, entre 29/11/2018 e 1º/6/2019, sob o fundamento de que, nesses intervalos, não havia acordo ou convenção coletiva de trabalho vigente. A Corte de origem manteve a sentença que indeferiu a pretensão, sob o fundamento de que, nos termos do art. 818, I, da CLT, não houve produção de prova quanto à existência de trabalhador com vínculo permanente exercendo as mesmas atividades portuárias e percebendo o adicional de risco, circunstância que legitimaria </w:t>
      </w:r>
      <w:r w:rsidR="00DE3761" w:rsidRPr="00DE3761">
        <w:rPr>
          <w:rFonts w:ascii="Open Sans" w:hAnsi="Open Sans" w:cs="Open Sans"/>
          <w:bCs/>
          <w:sz w:val="24"/>
          <w:szCs w:val="24"/>
        </w:rPr>
        <w:lastRenderedPageBreak/>
        <w:t xml:space="preserve">sua extensão ao trabalhador avulso. Conforme já aludido, à luz do entendimento firmado pelo Supremo Tribunal Federal no Tema 222, a ausência de paradigma não constitui óbice para a percepção do adicional de risco, desde que presentes as condições fáticas que justificam o pagamento da parcela. Logo, nos termos da fundamentação alhures expendida, já seria devido, apenas por estas razões, o deferimento do adicional pretendido. A par disso, acresça-se que, da leitura da sentença proferida em primeira instância, integralmente transcrita no acórdão regional, infere-se que a própria norma coletiva da categoria reconhece a existência de condições de risco na atividade portuária, prevendo adicional de 20% - metade do previsto no art. 14 da Lei n. 4.860/1965 – destinado a remunerar tais circunstâncias. Nessa toada, seja em razão de os argumentos trazidos pela Corte Regional encontrarem-se dissonantes do que preconiza o Tema 222 do STF, seja porque as condições de risco encontravam-se admitidas na própria norma coletiva dos trabalhadores avulsos, tem-se devido ao reclamante o pagamento do adicional de risco, no importe de 40% sobre o valor do salário-hora ordinário do período diurno, nos </w:t>
      </w:r>
      <w:r w:rsidR="00DE3761" w:rsidRPr="000F7C2E">
        <w:rPr>
          <w:rFonts w:ascii="Open Sans" w:hAnsi="Open Sans" w:cs="Open Sans"/>
          <w:bCs/>
          <w:sz w:val="24"/>
          <w:szCs w:val="24"/>
        </w:rPr>
        <w:t xml:space="preserve">termos do art. 14 da Lei n. 4.860/1965. </w:t>
      </w:r>
      <w:proofErr w:type="gramStart"/>
      <w:r w:rsidR="00DE3761" w:rsidRPr="000F7C2E">
        <w:rPr>
          <w:rFonts w:ascii="Open Sans" w:hAnsi="Open Sans" w:cs="Open Sans"/>
          <w:bCs/>
          <w:sz w:val="24"/>
          <w:szCs w:val="24"/>
        </w:rPr>
        <w:t>Recurso de revista conhecido e provido.</w:t>
      </w:r>
      <w:r w:rsidRPr="000F7C2E">
        <w:rPr>
          <w:rFonts w:ascii="Open Sans" w:hAnsi="Open Sans" w:cs="Open Sans"/>
          <w:bCs/>
          <w:sz w:val="24"/>
          <w:szCs w:val="24"/>
        </w:rPr>
        <w:t>”</w:t>
      </w:r>
      <w:proofErr w:type="gramEnd"/>
      <w:r w:rsidR="00DE3761" w:rsidRPr="000F7C2E">
        <w:rPr>
          <w:rFonts w:ascii="Open Sans" w:hAnsi="Open Sans" w:cs="Open Sans"/>
          <w:bCs/>
          <w:sz w:val="24"/>
          <w:szCs w:val="24"/>
        </w:rPr>
        <w:t xml:space="preserve"> (</w:t>
      </w:r>
      <w:hyperlink r:id="rId32" w:history="1">
        <w:r w:rsidR="00DE3761" w:rsidRPr="00D023DA">
          <w:rPr>
            <w:rStyle w:val="Hyperlink"/>
            <w:rFonts w:ascii="Open Sans" w:hAnsi="Open Sans" w:cs="Open Sans"/>
            <w:bCs/>
            <w:sz w:val="24"/>
            <w:szCs w:val="24"/>
          </w:rPr>
          <w:t>TST-RR - 1047-05.2020.5.12.0016,</w:t>
        </w:r>
        <w:r w:rsidR="005F32D7" w:rsidRPr="00D023DA">
          <w:rPr>
            <w:rStyle w:val="Hyperlink"/>
            <w:rFonts w:ascii="Open Sans" w:hAnsi="Open Sans" w:cs="Open Sans"/>
            <w:bCs/>
            <w:sz w:val="24"/>
            <w:szCs w:val="24"/>
          </w:rPr>
          <w:t xml:space="preserve"> </w:t>
        </w:r>
        <w:r w:rsidR="005C3FC5" w:rsidRPr="00D023DA">
          <w:rPr>
            <w:rStyle w:val="Hyperlink"/>
            <w:rFonts w:ascii="Open Sans" w:hAnsi="Open Sans" w:cs="Open Sans"/>
            <w:bCs/>
            <w:sz w:val="24"/>
            <w:szCs w:val="24"/>
          </w:rPr>
          <w:t xml:space="preserve">6ª Turma, Rel. Min. </w:t>
        </w:r>
        <w:r w:rsidR="00280871" w:rsidRPr="00D023DA">
          <w:rPr>
            <w:rStyle w:val="Hyperlink"/>
            <w:rFonts w:ascii="Open Sans" w:hAnsi="Open Sans" w:cs="Open Sans"/>
            <w:bCs/>
            <w:sz w:val="24"/>
            <w:szCs w:val="24"/>
          </w:rPr>
          <w:t>Augusto César Leite de Carvalho, julgado em 29/4/2026</w:t>
        </w:r>
      </w:hyperlink>
      <w:r w:rsidR="00280871">
        <w:rPr>
          <w:rFonts w:ascii="Open Sans" w:hAnsi="Open Sans" w:cs="Open Sans"/>
          <w:bCs/>
          <w:sz w:val="24"/>
          <w:szCs w:val="24"/>
        </w:rPr>
        <w:t>)</w:t>
      </w:r>
    </w:p>
    <w:p w:rsidR="00262CD0" w:rsidRDefault="00262CD0" w:rsidP="00DE3761">
      <w:pPr>
        <w:widowControl w:val="0"/>
        <w:suppressAutoHyphens/>
        <w:ind w:left="-255" w:right="340"/>
        <w:jc w:val="both"/>
        <w:rPr>
          <w:rFonts w:ascii="Open Sans" w:hAnsi="Open Sans" w:cs="Open Sans"/>
          <w:bCs/>
          <w:sz w:val="24"/>
          <w:szCs w:val="24"/>
        </w:rPr>
      </w:pPr>
    </w:p>
    <w:p w:rsidR="00262CD0" w:rsidRDefault="00A97E08" w:rsidP="00DE3761">
      <w:pPr>
        <w:widowControl w:val="0"/>
        <w:suppressAutoHyphens/>
        <w:ind w:left="-255" w:right="340"/>
        <w:jc w:val="both"/>
        <w:rPr>
          <w:rFonts w:ascii="Open Sans" w:hAnsi="Open Sans" w:cs="Open Sans"/>
          <w:bCs/>
          <w:sz w:val="24"/>
          <w:szCs w:val="24"/>
        </w:rPr>
      </w:pPr>
      <w:r>
        <w:rPr>
          <w:rFonts w:ascii="Open Sans" w:hAnsi="Open Sans" w:cs="Open Sans"/>
          <w:bCs/>
          <w:sz w:val="24"/>
          <w:szCs w:val="24"/>
        </w:rPr>
        <w:t>“</w:t>
      </w:r>
      <w:r w:rsidR="00262CD0" w:rsidRPr="00262CD0">
        <w:rPr>
          <w:rFonts w:ascii="Open Sans" w:hAnsi="Open Sans" w:cs="Open Sans"/>
          <w:bCs/>
          <w:sz w:val="24"/>
          <w:szCs w:val="24"/>
        </w:rPr>
        <w:t xml:space="preserve">RECURSO DE REVISTA. INTERPOSTO PELAS RECLAMADAS SOB A ÉGIDE DA LEI Nº 13.467/2017. CERCEAMENTO DE DEFESA. AUSÊNCIA À AUDIÊNCIA VIRTUAL. ATESTADO MÉDICO QUE NÃO COMPROVA A IMPOSSIBILIDADE DE COMPARECIMENTO. SÚMULAS Nos 122 E 126 DO TST. ANÁLISE DA TRANSCENDÊNCIA PREJUDICADA. O acórdão regional, ao manter a aplicação da pena de revelia e confissão ficta, firmou-se em premissas fáticas expressamente delineadas a partir da análise do conjunto probatório, concluindo que não restou comprovada a impossibilidade de comparecimento do preposto à audiência. Registrou-se, de forma clara, que o atestado médico apresentado limitou-se a indicar afastamento por oito dias em razão de dor lombar baixa (CID </w:t>
      </w:r>
      <w:proofErr w:type="gramStart"/>
      <w:r w:rsidR="00262CD0" w:rsidRPr="00262CD0">
        <w:rPr>
          <w:rFonts w:ascii="Open Sans" w:hAnsi="Open Sans" w:cs="Open Sans"/>
          <w:bCs/>
          <w:sz w:val="24"/>
          <w:szCs w:val="24"/>
        </w:rPr>
        <w:t>M54.</w:t>
      </w:r>
      <w:proofErr w:type="gramEnd"/>
      <w:r w:rsidR="00262CD0" w:rsidRPr="00262CD0">
        <w:rPr>
          <w:rFonts w:ascii="Open Sans" w:hAnsi="Open Sans" w:cs="Open Sans"/>
          <w:bCs/>
          <w:sz w:val="24"/>
          <w:szCs w:val="24"/>
        </w:rPr>
        <w:t xml:space="preserve">5), sem consignar a gravidade do quadro clínico alegado pelas Reclamadas, tampouco a impossibilidade de locomoção ou de participação em audiência virtual, circunstância relevante diante do trâmite do feito em Juízo 100% (cem por cento) digital. Nesse contexto, o Tribunal Regional aplicou corretamente a Súmula nº 122 do TST, assentando que a mera apresentação de atestado médico, desacompanhado de indicação expressa de impossibilidade de locomoção ou de participação na audiência, não é suficiente para afastar os efeitos da revelia. Ademais, consignou elementos adicionais que reforçam a ausência de justificativa idônea, como o não comparecimento sequer dos patronos constituídos e a apresentação tardia da justificativa, dias após a realização da audiência, bem como a irrelevância da documentação juntada posteriormente para a modificação do quadro fático já delineado. As alegações recursais das Reclamadas, no sentido de que o atestado médico seria suficiente para comprovar motivo relevante e imprevisível, pressupõem a adoção de premissa fática diversa daquela expressamente fixada no acórdão recorrido, qual seja, a de que o documento médico não demonstrou a impossibilidade de comparecimento do preposto. A pretensão recursal, portanto, demanda o reexame do conteúdo e do alcance da prova documental produzida nos autos, com vistas a afastar a conclusão do Tribunal de origem acerca da suficiência ou não do atestado </w:t>
      </w:r>
      <w:r w:rsidR="00262CD0" w:rsidRPr="00262CD0">
        <w:rPr>
          <w:rFonts w:ascii="Open Sans" w:hAnsi="Open Sans" w:cs="Open Sans"/>
          <w:bCs/>
          <w:sz w:val="24"/>
          <w:szCs w:val="24"/>
        </w:rPr>
        <w:lastRenderedPageBreak/>
        <w:t xml:space="preserve">médico apresentado. Todavia, tal providência é vedada em sede de recurso de revista, nos termos da Súmula nº 126 do TST, que impede o revolvimento do conjunto fático-probatório. Não se trata, pois, de mera discussão jurídica acerca da interpretação do art. 844, § 1º, da CLT ou da Súmula nº 122 do TST, mas de inconformismo com a valoração das provas realizada pelas instâncias ordinárias, que concluíram, de forma fundamentada, pela inexistência de comprovação das alegadas condições de impossibilidade. Dessa forma, estando o acórdão recorrido amparado em premissas fáticas soberanamente fixadas pelo Tribunal Regional, e sendo imprescindível o reexame de fatos e provas para acolher a tese recursal, impõe-se o óbice da Súmula nº 126 do TST, o que inviabiliza o processamento do Recurso de Revista. Prejudicada a análise da transcendência. </w:t>
      </w:r>
      <w:proofErr w:type="gramStart"/>
      <w:r w:rsidR="00262CD0" w:rsidRPr="00262CD0">
        <w:rPr>
          <w:rFonts w:ascii="Open Sans" w:hAnsi="Open Sans" w:cs="Open Sans"/>
          <w:bCs/>
          <w:sz w:val="24"/>
          <w:szCs w:val="24"/>
        </w:rPr>
        <w:t>Recurso de revista não conhecido.</w:t>
      </w:r>
      <w:r>
        <w:rPr>
          <w:rFonts w:ascii="Open Sans" w:hAnsi="Open Sans" w:cs="Open Sans"/>
          <w:bCs/>
          <w:sz w:val="24"/>
          <w:szCs w:val="24"/>
        </w:rPr>
        <w:t>”</w:t>
      </w:r>
      <w:proofErr w:type="gramEnd"/>
      <w:r w:rsidR="00262CD0" w:rsidRPr="00262CD0">
        <w:rPr>
          <w:rFonts w:ascii="Open Sans" w:hAnsi="Open Sans" w:cs="Open Sans"/>
          <w:bCs/>
          <w:sz w:val="24"/>
          <w:szCs w:val="24"/>
        </w:rPr>
        <w:t xml:space="preserve">  (</w:t>
      </w:r>
      <w:hyperlink r:id="rId33" w:anchor="fbc8986" w:history="1">
        <w:r w:rsidR="00262CD0" w:rsidRPr="00262CD0">
          <w:rPr>
            <w:rStyle w:val="Hyperlink"/>
            <w:rFonts w:ascii="Open Sans" w:hAnsi="Open Sans" w:cs="Open Sans"/>
            <w:bCs/>
            <w:sz w:val="24"/>
            <w:szCs w:val="24"/>
          </w:rPr>
          <w:t>TST-RR-0010238-03.2023.5.15.0011, 6ª Turma, Rel. Min. Antônio Fabrício de Matos Goncalves, julgado em 29/4/2026</w:t>
        </w:r>
      </w:hyperlink>
      <w:r w:rsidR="00BB35C6">
        <w:rPr>
          <w:rFonts w:ascii="Open Sans" w:hAnsi="Open Sans" w:cs="Open Sans"/>
          <w:bCs/>
          <w:sz w:val="24"/>
          <w:szCs w:val="24"/>
        </w:rPr>
        <w:t>)</w:t>
      </w:r>
    </w:p>
    <w:p w:rsidR="00D023DA" w:rsidRDefault="00D023DA" w:rsidP="00DE3761">
      <w:pPr>
        <w:widowControl w:val="0"/>
        <w:suppressAutoHyphens/>
        <w:ind w:left="-255" w:right="340"/>
        <w:jc w:val="both"/>
        <w:rPr>
          <w:rFonts w:ascii="Open Sans" w:hAnsi="Open Sans" w:cs="Open Sans"/>
          <w:bCs/>
          <w:sz w:val="24"/>
          <w:szCs w:val="24"/>
        </w:rPr>
      </w:pPr>
    </w:p>
    <w:p w:rsidR="00B41292" w:rsidRDefault="00763295" w:rsidP="00763295">
      <w:pPr>
        <w:widowControl w:val="0"/>
        <w:suppressAutoHyphens/>
        <w:ind w:left="-255" w:right="340"/>
        <w:jc w:val="both"/>
        <w:rPr>
          <w:rFonts w:ascii="Open Sans" w:hAnsi="Open Sans" w:cs="Open Sans"/>
          <w:sz w:val="24"/>
          <w:szCs w:val="24"/>
        </w:rPr>
      </w:pPr>
      <w:r w:rsidRPr="002B2BD4">
        <w:rPr>
          <w:rFonts w:ascii="Open Sans" w:hAnsi="Open Sans" w:cs="Open Sans"/>
          <w:bCs/>
          <w:sz w:val="24"/>
          <w:szCs w:val="24"/>
        </w:rPr>
        <w:t>“[...] COTA PARA REABILITA</w:t>
      </w:r>
      <w:r w:rsidR="00BB35C6">
        <w:rPr>
          <w:rFonts w:ascii="Open Sans" w:hAnsi="Open Sans" w:cs="Open Sans"/>
          <w:bCs/>
          <w:sz w:val="24"/>
          <w:szCs w:val="24"/>
        </w:rPr>
        <w:t xml:space="preserve">DOS OU PESSOAS COM DEFICIÊNCIA. BASE DE CÁLCULO </w:t>
      </w:r>
      <w:r w:rsidRPr="002B2BD4">
        <w:rPr>
          <w:rFonts w:ascii="Open Sans" w:hAnsi="Open Sans" w:cs="Open Sans"/>
          <w:bCs/>
          <w:sz w:val="24"/>
          <w:szCs w:val="24"/>
        </w:rPr>
        <w:t>-</w:t>
      </w:r>
      <w:r w:rsidR="00BB35C6">
        <w:rPr>
          <w:rFonts w:ascii="Open Sans" w:hAnsi="Open Sans" w:cs="Open Sans"/>
          <w:bCs/>
          <w:sz w:val="24"/>
          <w:szCs w:val="24"/>
        </w:rPr>
        <w:t xml:space="preserve"> </w:t>
      </w:r>
      <w:r w:rsidRPr="002B2BD4">
        <w:rPr>
          <w:rFonts w:ascii="Open Sans" w:hAnsi="Open Sans" w:cs="Open Sans"/>
          <w:bCs/>
          <w:sz w:val="24"/>
          <w:szCs w:val="24"/>
        </w:rPr>
        <w:t xml:space="preserve">CÔMPUTO SOBRE O NÚMERO TOTAL DE EMPREGADOS. ARTIGO 93 DA LEI Nº 8.213/91 - CONVENÇÃO DAS NAÇÕES UNIDAS SOBRE OS DIREITOS DA PESSOA COM DEFICIÊNCIA E SEU PROTOCOLO FACULTATIVO (APROVADOS NO BRASIL COM EQUIVALÊNCIA A EMENDA CONSTITUCIONAL - DECRETO Nº 6.949/2009) E LEI BRASILEIRA DE INCLUSÃO DA PESSOA COM DEFICIÊNCIA (ESTATUTO DA PESSOA COM DEFICIÊNCIA - LEI Nº 13.146/2015) - </w:t>
      </w:r>
      <w:r w:rsidR="002268E0">
        <w:rPr>
          <w:rFonts w:ascii="Open Sans" w:hAnsi="Open Sans" w:cs="Open Sans"/>
          <w:bCs/>
          <w:sz w:val="24"/>
          <w:szCs w:val="24"/>
        </w:rPr>
        <w:t>‘</w:t>
      </w:r>
      <w:r w:rsidRPr="002B2BD4">
        <w:rPr>
          <w:rFonts w:ascii="Open Sans" w:hAnsi="Open Sans" w:cs="Open Sans"/>
          <w:bCs/>
          <w:sz w:val="24"/>
          <w:szCs w:val="24"/>
        </w:rPr>
        <w:t>BLOCO DE CONSTITUCIONALIDADE</w:t>
      </w:r>
      <w:r w:rsidR="002268E0">
        <w:rPr>
          <w:rFonts w:ascii="Open Sans" w:hAnsi="Open Sans" w:cs="Open Sans"/>
          <w:bCs/>
          <w:sz w:val="24"/>
          <w:szCs w:val="24"/>
        </w:rPr>
        <w:t>’</w:t>
      </w:r>
      <w:r w:rsidRPr="002B2BD4">
        <w:rPr>
          <w:rFonts w:ascii="Open Sans" w:hAnsi="Open Sans" w:cs="Open Sans"/>
          <w:bCs/>
          <w:sz w:val="24"/>
          <w:szCs w:val="24"/>
        </w:rPr>
        <w:t xml:space="preserve"> - PRINCÍPIO DA IGUALDADE DE OPORTUNIDADES - IMPOSSIBILIDADE DE LIMITAÇÃO PRÉVIA E OBJETIVA DA OFERTA DE VAGAS ÀS PESSOAS COM DEFICIÊNCIA - PRECEDENTE DO STF.</w:t>
      </w:r>
      <w:r w:rsidRPr="002B2BD4">
        <w:rPr>
          <w:rFonts w:ascii="Open Sans" w:hAnsi="Open Sans" w:cs="Open Sans"/>
          <w:sz w:val="24"/>
          <w:szCs w:val="24"/>
        </w:rPr>
        <w:t xml:space="preserve"> </w:t>
      </w:r>
      <w:r w:rsidRPr="002B2BD4">
        <w:rPr>
          <w:rFonts w:ascii="Open Sans" w:hAnsi="Open Sans" w:cs="Open Sans"/>
          <w:bCs/>
          <w:sz w:val="24"/>
          <w:szCs w:val="24"/>
        </w:rPr>
        <w:t>A jurisprudência cristalizada nesta Corte, reiteradamente, tem se manifestado no sentido de que</w:t>
      </w:r>
      <w:r w:rsidRPr="002B2BD4">
        <w:rPr>
          <w:rFonts w:ascii="Open Sans" w:hAnsi="Open Sans" w:cs="Open Sans"/>
          <w:sz w:val="24"/>
          <w:szCs w:val="24"/>
        </w:rPr>
        <w:t> </w:t>
      </w:r>
      <w:r w:rsidRPr="002B2BD4">
        <w:rPr>
          <w:rFonts w:ascii="Open Sans" w:hAnsi="Open Sans" w:cs="Open Sans"/>
          <w:bCs/>
          <w:sz w:val="24"/>
          <w:szCs w:val="24"/>
        </w:rPr>
        <w:t>os percentuais previstos no artigo 93 da Lei nº 8.213/91 aplicam-se independentemente da atividade desempenhada pela empresa, de modo que deve ser considerado o número total de empregados, razão pela qual não há que falar em exclusão de cargos ou funções</w:t>
      </w:r>
      <w:r w:rsidRPr="002B2BD4">
        <w:rPr>
          <w:rFonts w:ascii="Open Sans" w:hAnsi="Open Sans" w:cs="Open Sans"/>
          <w:sz w:val="24"/>
          <w:szCs w:val="24"/>
        </w:rPr>
        <w:t xml:space="preserve">. Precedentes. Portanto, o acórdão regional deve ser mantido, no sentido da obrigatoriedade de a parte ré cumprir a cota reservada às pessoas com deficiência e reabilitadas a que alude o referido dispositivo legal em quantitativo definido em função do número total de seus empregados. </w:t>
      </w:r>
      <w:r w:rsidRPr="002B2BD4">
        <w:rPr>
          <w:rFonts w:ascii="Open Sans" w:hAnsi="Open Sans" w:cs="Open Sans"/>
          <w:bCs/>
          <w:sz w:val="24"/>
          <w:szCs w:val="24"/>
        </w:rPr>
        <w:t xml:space="preserve">Agravo conhecido e desprovido.” </w:t>
      </w:r>
      <w:r w:rsidRPr="002B2BD4">
        <w:rPr>
          <w:rFonts w:ascii="Open Sans" w:hAnsi="Open Sans" w:cs="Open Sans"/>
          <w:sz w:val="24"/>
          <w:szCs w:val="24"/>
        </w:rPr>
        <w:t>(</w:t>
      </w:r>
      <w:hyperlink r:id="rId34" w:history="1">
        <w:r w:rsidRPr="00594C10">
          <w:rPr>
            <w:rStyle w:val="Hyperlink"/>
            <w:rFonts w:ascii="Open Sans" w:hAnsi="Open Sans" w:cs="Open Sans"/>
            <w:sz w:val="24"/>
            <w:szCs w:val="24"/>
          </w:rPr>
          <w:t>TST-</w:t>
        </w:r>
        <w:r w:rsidRPr="00594C10">
          <w:rPr>
            <w:rStyle w:val="Hyperlink"/>
            <w:rFonts w:ascii="Open Sans" w:hAnsi="Open Sans" w:cs="Open Sans"/>
            <w:bCs/>
            <w:sz w:val="24"/>
            <w:szCs w:val="24"/>
          </w:rPr>
          <w:t>RR - 1077-34.2018.5.08.0012</w:t>
        </w:r>
        <w:r w:rsidRPr="00594C10">
          <w:rPr>
            <w:rStyle w:val="Hyperlink"/>
            <w:rFonts w:ascii="Open Sans" w:hAnsi="Open Sans" w:cs="Open Sans"/>
            <w:sz w:val="24"/>
            <w:szCs w:val="24"/>
          </w:rPr>
          <w:t>,</w:t>
        </w:r>
        <w:r w:rsidR="002B2BD4" w:rsidRPr="00594C10">
          <w:rPr>
            <w:rStyle w:val="Hyperlink"/>
            <w:rFonts w:ascii="Open Sans" w:hAnsi="Open Sans" w:cs="Open Sans"/>
            <w:sz w:val="24"/>
            <w:szCs w:val="24"/>
          </w:rPr>
          <w:t xml:space="preserve"> </w:t>
        </w:r>
        <w:r w:rsidR="003E1FBB" w:rsidRPr="00594C10">
          <w:rPr>
            <w:rStyle w:val="Hyperlink"/>
            <w:rFonts w:ascii="Open Sans" w:hAnsi="Open Sans" w:cs="Open Sans"/>
            <w:sz w:val="24"/>
            <w:szCs w:val="24"/>
          </w:rPr>
          <w:t xml:space="preserve">7ª Turma, Rel. Min. </w:t>
        </w:r>
        <w:r w:rsidR="008151CB" w:rsidRPr="00594C10">
          <w:rPr>
            <w:rStyle w:val="Hyperlink"/>
            <w:rFonts w:ascii="Open Sans" w:hAnsi="Open Sans" w:cs="Open Sans"/>
            <w:sz w:val="24"/>
            <w:szCs w:val="24"/>
          </w:rPr>
          <w:t>Alexandre de Souza Agra Belmonte, julgado em 29/4/2026</w:t>
        </w:r>
      </w:hyperlink>
      <w:proofErr w:type="gramStart"/>
      <w:r w:rsidR="008151CB">
        <w:rPr>
          <w:rFonts w:ascii="Open Sans" w:hAnsi="Open Sans" w:cs="Open Sans"/>
          <w:sz w:val="24"/>
          <w:szCs w:val="24"/>
        </w:rPr>
        <w:t>)</w:t>
      </w:r>
      <w:proofErr w:type="gramEnd"/>
    </w:p>
    <w:p w:rsidR="008A62DE" w:rsidRDefault="008A62DE" w:rsidP="00763295">
      <w:pPr>
        <w:widowControl w:val="0"/>
        <w:suppressAutoHyphens/>
        <w:ind w:left="-255" w:right="340"/>
        <w:jc w:val="both"/>
        <w:rPr>
          <w:rFonts w:ascii="Open Sans" w:hAnsi="Open Sans" w:cs="Open Sans"/>
          <w:b/>
          <w:color w:val="FF0000"/>
          <w:sz w:val="24"/>
          <w:szCs w:val="24"/>
        </w:rPr>
      </w:pPr>
    </w:p>
    <w:p w:rsidR="008A62DE" w:rsidRDefault="008A62DE" w:rsidP="00763295">
      <w:pPr>
        <w:widowControl w:val="0"/>
        <w:suppressAutoHyphens/>
        <w:ind w:left="-255" w:right="340"/>
        <w:jc w:val="both"/>
        <w:rPr>
          <w:rFonts w:ascii="Open Sans" w:hAnsi="Open Sans" w:cs="Open Sans"/>
          <w:sz w:val="24"/>
          <w:szCs w:val="24"/>
        </w:rPr>
      </w:pPr>
      <w:r>
        <w:rPr>
          <w:rFonts w:ascii="Open Sans" w:hAnsi="Open Sans" w:cs="Open Sans"/>
          <w:sz w:val="24"/>
          <w:szCs w:val="24"/>
        </w:rPr>
        <w:t xml:space="preserve">“[...] </w:t>
      </w:r>
      <w:r w:rsidRPr="008A62DE">
        <w:rPr>
          <w:rFonts w:ascii="Open Sans" w:hAnsi="Open Sans" w:cs="Open Sans"/>
          <w:sz w:val="24"/>
          <w:szCs w:val="24"/>
        </w:rPr>
        <w:t>RECURSO DE REVISTA DA PARTE AUTORA. LEI Nº 13.015/2014. CPC/2015. INSTRUÇÃO NORMATIVA Nº 40 DO TST. LEI Nº 13.467/2017. AÇÃO CIVIL PÚBLICA. INDENIZAÇÃO POR DANOS MORAIS COLETIVOS. ASSÉDIO ELEITORAL. CARACTERIZAÇÃO. PRESENÇA DE MANIFESTAÇÃO DE CUNHO POLÍTICO NO ÂMBITO DA EMPRESA RÉ. ABUSO DO PODER ECONÔMICO EMPRESARIAL. INDENIZAÇÃO DEVIDA. TRANSCENDÊNCIA JURÍDICA CONSTAT</w:t>
      </w:r>
      <w:r>
        <w:rPr>
          <w:rFonts w:ascii="Open Sans" w:hAnsi="Open Sans" w:cs="Open Sans"/>
          <w:sz w:val="24"/>
          <w:szCs w:val="24"/>
        </w:rPr>
        <w:t>ADA. No caso, o TRT consignou: ‘</w:t>
      </w:r>
      <w:r w:rsidRPr="008A62DE">
        <w:rPr>
          <w:rFonts w:ascii="Open Sans" w:hAnsi="Open Sans" w:cs="Open Sans"/>
          <w:sz w:val="24"/>
          <w:szCs w:val="24"/>
        </w:rPr>
        <w:t>a reunião realizada pelas associações rés tinha como tema o ‘S</w:t>
      </w:r>
      <w:r>
        <w:rPr>
          <w:rFonts w:ascii="Open Sans" w:hAnsi="Open Sans" w:cs="Open Sans"/>
          <w:sz w:val="24"/>
          <w:szCs w:val="24"/>
        </w:rPr>
        <w:t>egundo Turno das Eleições 2022’</w:t>
      </w:r>
      <w:r w:rsidRPr="008A62DE">
        <w:rPr>
          <w:rFonts w:ascii="Open Sans" w:hAnsi="Open Sans" w:cs="Open Sans"/>
          <w:sz w:val="24"/>
          <w:szCs w:val="24"/>
        </w:rPr>
        <w:t>. Ademai</w:t>
      </w:r>
      <w:r>
        <w:rPr>
          <w:rFonts w:ascii="Open Sans" w:hAnsi="Open Sans" w:cs="Open Sans"/>
          <w:sz w:val="24"/>
          <w:szCs w:val="24"/>
        </w:rPr>
        <w:t>s, constatou a Corte Regional: ‘</w:t>
      </w:r>
      <w:r w:rsidRPr="008A62DE">
        <w:rPr>
          <w:rFonts w:ascii="Open Sans" w:hAnsi="Open Sans" w:cs="Open Sans"/>
          <w:sz w:val="24"/>
          <w:szCs w:val="24"/>
        </w:rPr>
        <w:t>a gravação integral da reunião, acostada aos autos pelas rés (fl. 249 e outras), deixa claro o discurso alarmista dos interlocutores com intuito de discutir medidas a serem adotadas a fim de garantir uma votação favorável a determinado candidato à Presidência, bem como a predileção e opinião p</w:t>
      </w:r>
      <w:r>
        <w:rPr>
          <w:rFonts w:ascii="Open Sans" w:hAnsi="Open Sans" w:cs="Open Sans"/>
          <w:sz w:val="24"/>
          <w:szCs w:val="24"/>
        </w:rPr>
        <w:t>olítica dos seus representantes’; e, ‘</w:t>
      </w:r>
      <w:r w:rsidRPr="008A62DE">
        <w:rPr>
          <w:rFonts w:ascii="Open Sans" w:hAnsi="Open Sans" w:cs="Open Sans"/>
          <w:sz w:val="24"/>
          <w:szCs w:val="24"/>
        </w:rPr>
        <w:t xml:space="preserve">Nas falas dos interlocutores, são apontadas como </w:t>
      </w:r>
      <w:r w:rsidRPr="008A62DE">
        <w:rPr>
          <w:rFonts w:ascii="Open Sans" w:hAnsi="Open Sans" w:cs="Open Sans"/>
          <w:sz w:val="24"/>
          <w:szCs w:val="24"/>
        </w:rPr>
        <w:lastRenderedPageBreak/>
        <w:t>possíveis medidas a fiscalização das sessões eleitorais com o intuito d</w:t>
      </w:r>
      <w:r>
        <w:rPr>
          <w:rFonts w:ascii="Open Sans" w:hAnsi="Open Sans" w:cs="Open Sans"/>
          <w:sz w:val="24"/>
          <w:szCs w:val="24"/>
        </w:rPr>
        <w:t>e evitar ‘fraudes nas eleições’. Ainda, ressaltou: ‘</w:t>
      </w:r>
      <w:r w:rsidRPr="008A62DE">
        <w:rPr>
          <w:rFonts w:ascii="Open Sans" w:hAnsi="Open Sans" w:cs="Open Sans"/>
          <w:sz w:val="24"/>
          <w:szCs w:val="24"/>
        </w:rPr>
        <w:t xml:space="preserve">Outro membro da mesa de representantes das associações rés disse que ‘muitas e muitas pessoas vão até o local de votação sem saber ainda qual o candidato... (...) o que nós temos que fazer, agora com dois, no caso </w:t>
      </w:r>
      <w:r>
        <w:rPr>
          <w:rFonts w:ascii="Open Sans" w:hAnsi="Open Sans" w:cs="Open Sans"/>
          <w:sz w:val="24"/>
          <w:szCs w:val="24"/>
        </w:rPr>
        <w:t>de Santa Catarina, é mais fácil’</w:t>
      </w:r>
      <w:r w:rsidR="00941256">
        <w:rPr>
          <w:rFonts w:ascii="Open Sans" w:hAnsi="Open Sans" w:cs="Open Sans"/>
          <w:sz w:val="24"/>
          <w:szCs w:val="24"/>
        </w:rPr>
        <w:t>; e ‘</w:t>
      </w:r>
      <w:r w:rsidRPr="008A62DE">
        <w:rPr>
          <w:rFonts w:ascii="Open Sans" w:hAnsi="Open Sans" w:cs="Open Sans"/>
          <w:sz w:val="24"/>
          <w:szCs w:val="24"/>
        </w:rPr>
        <w:t>A convite das rés, outro interlocutor disse que: ‘com relação a esse processo eleitoral, que é agora um processo muito rápido, tem ações que precisam ser feitas, e eu destaco duas: primeiro é todo o empresário pedir o voto para os seus colaboradores, isso tem uma força enorme e já é tradição aqui no Município de Caçador, que para onde os empresários pendem, pende o resultado da eleição. E agora mais do que nunca, temos que todos os empresários precisam pedir o voto para 22, 2 vezes, e, além disso, pedir, implorar, de joelhos se for preciso, para que as pessoas venham votar</w:t>
      </w:r>
      <w:proofErr w:type="gramStart"/>
      <w:r w:rsidRPr="008A62DE">
        <w:rPr>
          <w:rFonts w:ascii="Open Sans" w:hAnsi="Open Sans" w:cs="Open Sans"/>
          <w:sz w:val="24"/>
          <w:szCs w:val="24"/>
        </w:rPr>
        <w:t>..</w:t>
      </w:r>
      <w:proofErr w:type="gramEnd"/>
      <w:r w:rsidRPr="008A62DE">
        <w:rPr>
          <w:rFonts w:ascii="Open Sans" w:hAnsi="Open Sans" w:cs="Open Sans"/>
          <w:sz w:val="24"/>
          <w:szCs w:val="24"/>
        </w:rPr>
        <w:t xml:space="preserve"> precisamos reduzir significativamente esse índice de desinteresse que exist</w:t>
      </w:r>
      <w:r>
        <w:rPr>
          <w:rFonts w:ascii="Open Sans" w:hAnsi="Open Sans" w:cs="Open Sans"/>
          <w:sz w:val="24"/>
          <w:szCs w:val="24"/>
        </w:rPr>
        <w:t>e e as pessoas não virem votar’</w:t>
      </w:r>
      <w:r w:rsidRPr="008A62DE">
        <w:rPr>
          <w:rFonts w:ascii="Open Sans" w:hAnsi="Open Sans" w:cs="Open Sans"/>
          <w:sz w:val="24"/>
          <w:szCs w:val="24"/>
        </w:rPr>
        <w:t>. Todavia, a Cort</w:t>
      </w:r>
      <w:r w:rsidR="00DB05F2">
        <w:rPr>
          <w:rFonts w:ascii="Open Sans" w:hAnsi="Open Sans" w:cs="Open Sans"/>
          <w:sz w:val="24"/>
          <w:szCs w:val="24"/>
        </w:rPr>
        <w:t>e de origem, ao asseverar que, ‘</w:t>
      </w:r>
      <w:r w:rsidRPr="008A62DE">
        <w:rPr>
          <w:rFonts w:ascii="Open Sans" w:hAnsi="Open Sans" w:cs="Open Sans"/>
          <w:sz w:val="24"/>
          <w:szCs w:val="24"/>
        </w:rPr>
        <w:t>conforme destacado na sentença ‘não há menção sobre punição ou retaliação aos empregados, ou conteúdo que cause constrangimento ou ameaça a qualquer trabalhador para votar ou deixar de votar em cand</w:t>
      </w:r>
      <w:r w:rsidR="00DB05F2">
        <w:rPr>
          <w:rFonts w:ascii="Open Sans" w:hAnsi="Open Sans" w:cs="Open Sans"/>
          <w:sz w:val="24"/>
          <w:szCs w:val="24"/>
        </w:rPr>
        <w:t>idato às eleições presidenciais’, concluiu: ‘</w:t>
      </w:r>
      <w:r w:rsidRPr="008A62DE">
        <w:rPr>
          <w:rFonts w:ascii="Open Sans" w:hAnsi="Open Sans" w:cs="Open Sans"/>
          <w:sz w:val="24"/>
          <w:szCs w:val="24"/>
        </w:rPr>
        <w:t>a conduta dos réus decorre do exercício do direito de expressão (art. 5º, IX, CF), não sendo ilícita, nem abusiva, além de não restar demonstrado qu</w:t>
      </w:r>
      <w:r w:rsidR="00DB05F2">
        <w:rPr>
          <w:rFonts w:ascii="Open Sans" w:hAnsi="Open Sans" w:cs="Open Sans"/>
          <w:sz w:val="24"/>
          <w:szCs w:val="24"/>
        </w:rPr>
        <w:t>e tenha resultado em algum dano’. Por fim, o TRT ressaltou: ‘</w:t>
      </w:r>
      <w:r w:rsidRPr="008A62DE">
        <w:rPr>
          <w:rFonts w:ascii="Open Sans" w:hAnsi="Open Sans" w:cs="Open Sans"/>
          <w:sz w:val="24"/>
          <w:szCs w:val="24"/>
        </w:rPr>
        <w:t>a inobservância das regras dos estatutos das associações, que vedam a utilização delas para finalidades político-partidárias, não implica na caracterização de assédio eleitoral, nem incumbe a esta Especializada eventual punição dos seus</w:t>
      </w:r>
      <w:r w:rsidR="00DB05F2">
        <w:rPr>
          <w:rFonts w:ascii="Open Sans" w:hAnsi="Open Sans" w:cs="Open Sans"/>
          <w:sz w:val="24"/>
          <w:szCs w:val="24"/>
        </w:rPr>
        <w:t xml:space="preserve"> representantes por esse motivo’</w:t>
      </w:r>
      <w:r w:rsidRPr="008A62DE">
        <w:rPr>
          <w:rFonts w:ascii="Open Sans" w:hAnsi="Open Sans" w:cs="Open Sans"/>
          <w:sz w:val="24"/>
          <w:szCs w:val="24"/>
        </w:rPr>
        <w:t>. A questão jurídica central diz respeito à indenização por danos morais coletivos em face do comportamento abusivo, intencional e ilegal das rés, de finalidade ilícita, qual seja, de manipular, orientar ou direcionar o voto dos seus empregados e causar nítido constrangimento. Nos termos do Acordo de Cooperação Técnica nº 13/2023 celebrado entre o Tribunal Superior Eleitoral e o Ministério Público do Trabalho, o assédio el</w:t>
      </w:r>
      <w:r w:rsidR="00DB05F2">
        <w:rPr>
          <w:rFonts w:ascii="Open Sans" w:hAnsi="Open Sans" w:cs="Open Sans"/>
          <w:sz w:val="24"/>
          <w:szCs w:val="24"/>
        </w:rPr>
        <w:t>eitoral é definido como ‘</w:t>
      </w:r>
      <w:r w:rsidRPr="008A62DE">
        <w:rPr>
          <w:rFonts w:ascii="Open Sans" w:hAnsi="Open Sans" w:cs="Open Sans"/>
          <w:sz w:val="24"/>
          <w:szCs w:val="24"/>
        </w:rPr>
        <w:t xml:space="preserve">qualquer ato que represente uma conduta abusiva por parte das empregadoras e dos empregadores que atente contra a dignidade do trabalhador, submetendo-o a constrangimentos e humilhações, com a finalidade de obter o engajamento objetivo da vítima em relação a determinadas práticas ou comportamentos de natureza política durante o pleito </w:t>
      </w:r>
      <w:proofErr w:type="gramStart"/>
      <w:r w:rsidRPr="008A62DE">
        <w:rPr>
          <w:rFonts w:ascii="Open Sans" w:hAnsi="Open Sans" w:cs="Open Sans"/>
          <w:sz w:val="24"/>
          <w:szCs w:val="24"/>
        </w:rPr>
        <w:t>eleitoral, caracterizando ilegítima interferência nas orientações pessoais, políticas, filosóficas ou eleitorais das trabalhadoras e dos trabalhadores</w:t>
      </w:r>
      <w:proofErr w:type="gramEnd"/>
      <w:r w:rsidR="00DB05F2">
        <w:rPr>
          <w:rFonts w:ascii="Open Sans" w:hAnsi="Open Sans" w:cs="Open Sans"/>
          <w:sz w:val="24"/>
          <w:szCs w:val="24"/>
        </w:rPr>
        <w:t>’</w:t>
      </w:r>
      <w:r w:rsidRPr="008A62DE">
        <w:rPr>
          <w:rFonts w:ascii="Open Sans" w:hAnsi="Open Sans" w:cs="Open Sans"/>
          <w:sz w:val="24"/>
          <w:szCs w:val="24"/>
        </w:rPr>
        <w:t>. Por sua vez, os artigos 299 e 301 do Código Eleitoral tipificam como crimes a concessão ou promessa de benefício ou vantagem em troca do voto, bem como o uso de violência ou ameaça com o intuito de coagir alguém a votar ou não votar em determinado candidato. A Resolução nº 23.735 do Tribunal Superior Eleitoral, de 27 de fevereiro de 2024, trata sobre o abuso do poder econômico e est</w:t>
      </w:r>
      <w:r w:rsidR="00DB05F2">
        <w:rPr>
          <w:rFonts w:ascii="Open Sans" w:hAnsi="Open Sans" w:cs="Open Sans"/>
          <w:sz w:val="24"/>
          <w:szCs w:val="24"/>
        </w:rPr>
        <w:t>abelece em seu artigo 6º, §5º: ‘</w:t>
      </w:r>
      <w:r w:rsidRPr="008A62DE">
        <w:rPr>
          <w:rFonts w:ascii="Open Sans" w:hAnsi="Open Sans" w:cs="Open Sans"/>
          <w:sz w:val="24"/>
          <w:szCs w:val="24"/>
        </w:rPr>
        <w:t>O uso de estrutura empresarial para constranger ou coagir pessoas empregadas, funcionárias ou trabalhadoras, aproveitando-se de sua dependência econômica, com vistas à obtenção de vantagem eleitoral, pode conf</w:t>
      </w:r>
      <w:r w:rsidR="00DB05F2">
        <w:rPr>
          <w:rFonts w:ascii="Open Sans" w:hAnsi="Open Sans" w:cs="Open Sans"/>
          <w:sz w:val="24"/>
          <w:szCs w:val="24"/>
        </w:rPr>
        <w:t>igurar abuso do poder econômico’</w:t>
      </w:r>
      <w:r w:rsidRPr="008A62DE">
        <w:rPr>
          <w:rFonts w:ascii="Open Sans" w:hAnsi="Open Sans" w:cs="Open Sans"/>
          <w:sz w:val="24"/>
          <w:szCs w:val="24"/>
        </w:rPr>
        <w:t>. Ressalte-se que, no âmbito das relações de trabalho, a Convenção nº 111 da Organização Internacional do Trabalho contém, em seu artigo 1º,</w:t>
      </w:r>
      <w:r w:rsidR="00DB05F2">
        <w:rPr>
          <w:rFonts w:ascii="Open Sans" w:hAnsi="Open Sans" w:cs="Open Sans"/>
          <w:sz w:val="24"/>
          <w:szCs w:val="24"/>
        </w:rPr>
        <w:t xml:space="preserve"> esclarecimentos sobre o termo ‘discriminação’: ‘</w:t>
      </w:r>
      <w:proofErr w:type="gramStart"/>
      <w:r w:rsidRPr="008A62DE">
        <w:rPr>
          <w:rFonts w:ascii="Open Sans" w:hAnsi="Open Sans" w:cs="Open Sans"/>
          <w:sz w:val="24"/>
          <w:szCs w:val="24"/>
        </w:rPr>
        <w:t>1</w:t>
      </w:r>
      <w:proofErr w:type="gramEnd"/>
      <w:r w:rsidRPr="008A62DE">
        <w:rPr>
          <w:rFonts w:ascii="Open Sans" w:hAnsi="Open Sans" w:cs="Open Sans"/>
          <w:sz w:val="24"/>
          <w:szCs w:val="24"/>
        </w:rPr>
        <w:t xml:space="preserve">. Para os fins desta Convenção, o termo ‘discriminação’ inclui: a) toda distinção, exclusão ou preferência, feita com base em raça, cor, sexo, religião, opinião política, ascendência </w:t>
      </w:r>
      <w:r w:rsidRPr="008A62DE">
        <w:rPr>
          <w:rFonts w:ascii="Open Sans" w:hAnsi="Open Sans" w:cs="Open Sans"/>
          <w:sz w:val="24"/>
          <w:szCs w:val="24"/>
        </w:rPr>
        <w:lastRenderedPageBreak/>
        <w:t>nacional ou origem social, que tenha por efeito anular ou impedir a igualdade de oportunidades ou de tratamento no emprego ou na ocupação; b) qualquer outra distinção, exclusão ou preferência que tenha por efeito anular ou impedir a igualdade de oportunidades ou tratamento no emprego ou na ocupação, conforme pode ser definido pelo Membro em questão, após consultar organizações representativas de empregadores e de trabalhadores, se as houver, e</w:t>
      </w:r>
      <w:r w:rsidR="00DB05F2">
        <w:rPr>
          <w:rFonts w:ascii="Open Sans" w:hAnsi="Open Sans" w:cs="Open Sans"/>
          <w:sz w:val="24"/>
          <w:szCs w:val="24"/>
        </w:rPr>
        <w:t xml:space="preserve"> outros organismos convenientes’</w:t>
      </w:r>
      <w:r w:rsidRPr="008A62DE">
        <w:rPr>
          <w:rFonts w:ascii="Open Sans" w:hAnsi="Open Sans" w:cs="Open Sans"/>
          <w:sz w:val="24"/>
          <w:szCs w:val="24"/>
        </w:rPr>
        <w:t xml:space="preserve">. Registre-se, ainda, que a Convenção nº 190 da OIT dispõe sobre a eliminação da violência e do assédio no mundo do trabalho e define, em seu artigo primeiro, </w:t>
      </w:r>
      <w:r w:rsidR="00DB05F2">
        <w:rPr>
          <w:rFonts w:ascii="Open Sans" w:hAnsi="Open Sans" w:cs="Open Sans"/>
          <w:sz w:val="24"/>
          <w:szCs w:val="24"/>
        </w:rPr>
        <w:t>que a referida expressão como: ‘</w:t>
      </w:r>
      <w:r w:rsidRPr="008A62DE">
        <w:rPr>
          <w:rFonts w:ascii="Open Sans" w:hAnsi="Open Sans" w:cs="Open Sans"/>
          <w:sz w:val="24"/>
          <w:szCs w:val="24"/>
        </w:rPr>
        <w:t>uma série de comportamentos e práticas inaceitáveis, ou ameaças desses, seja uma única ocorrência ou repetida, que visam, resultam ou podem resultar em danos físicos, psicológicos, sexuais ou econômicos, e inclu</w:t>
      </w:r>
      <w:r w:rsidR="00DB05F2">
        <w:rPr>
          <w:rFonts w:ascii="Open Sans" w:hAnsi="Open Sans" w:cs="Open Sans"/>
          <w:sz w:val="24"/>
          <w:szCs w:val="24"/>
        </w:rPr>
        <w:t>i violência e assédio de gênero’</w:t>
      </w:r>
      <w:r w:rsidRPr="008A62DE">
        <w:rPr>
          <w:rFonts w:ascii="Open Sans" w:hAnsi="Open Sans" w:cs="Open Sans"/>
          <w:sz w:val="24"/>
          <w:szCs w:val="24"/>
        </w:rPr>
        <w:t>. Ainda, o artigo 13 da CADH - Convenção Americana sobre Direitos Humanos (Pacto de São José da Costa</w:t>
      </w:r>
      <w:r w:rsidR="00DB05F2">
        <w:rPr>
          <w:rFonts w:ascii="Open Sans" w:hAnsi="Open Sans" w:cs="Open Sans"/>
          <w:sz w:val="24"/>
          <w:szCs w:val="24"/>
        </w:rPr>
        <w:t xml:space="preserve"> Rica) disciplina: ‘</w:t>
      </w:r>
      <w:r w:rsidRPr="008A62DE">
        <w:rPr>
          <w:rFonts w:ascii="Open Sans" w:hAnsi="Open Sans" w:cs="Open Sans"/>
          <w:sz w:val="24"/>
          <w:szCs w:val="24"/>
        </w:rPr>
        <w:t xml:space="preserve">Artigo 13. Liberdade de pensamento e de expressão. 1. Toda pessoa tem direito à liberdade de pensamento e de expressão. Esse direito compreende a liberdade de buscar, receber e difundir informações e </w:t>
      </w:r>
      <w:proofErr w:type="spellStart"/>
      <w:r w:rsidRPr="008A62DE">
        <w:rPr>
          <w:rFonts w:ascii="Open Sans" w:hAnsi="Open Sans" w:cs="Open Sans"/>
          <w:sz w:val="24"/>
          <w:szCs w:val="24"/>
        </w:rPr>
        <w:t>idéias</w:t>
      </w:r>
      <w:proofErr w:type="spellEnd"/>
      <w:r w:rsidRPr="008A62DE">
        <w:rPr>
          <w:rFonts w:ascii="Open Sans" w:hAnsi="Open Sans" w:cs="Open Sans"/>
          <w:sz w:val="24"/>
          <w:szCs w:val="24"/>
        </w:rPr>
        <w:t xml:space="preserve"> de toda natureza, sem consideração de fronteiras, verbalmente ou por escrito, ou em forma impressa ou artística, ou por qualquer outro processo de sua escolha. 2. O exercício do direito previsto no inciso precedente não pode estar sujeito a censura prévia, mas a responsabilidades ulteriores, que devem ser expressamente fixadas pela lei e ser necessárias para assegurar: a. o respeito aos direitos ou à reputação das demais pessoas; ou b. a proteção da segurança nacional, da ordem pública, ou da saúde ou da moral públicas. 3. Não se pode restringir o direito de expressão por vias ou meios indiretos, tais como o abuso de controles oficiais ou particulares de papel de imprensa, de </w:t>
      </w:r>
      <w:proofErr w:type="spellStart"/>
      <w:r w:rsidRPr="008A62DE">
        <w:rPr>
          <w:rFonts w:ascii="Open Sans" w:hAnsi="Open Sans" w:cs="Open Sans"/>
          <w:sz w:val="24"/>
          <w:szCs w:val="24"/>
        </w:rPr>
        <w:t>freqüências</w:t>
      </w:r>
      <w:proofErr w:type="spellEnd"/>
      <w:r w:rsidRPr="008A62DE">
        <w:rPr>
          <w:rFonts w:ascii="Open Sans" w:hAnsi="Open Sans" w:cs="Open Sans"/>
          <w:sz w:val="24"/>
          <w:szCs w:val="24"/>
        </w:rPr>
        <w:t xml:space="preserve"> radioelétricas ou de equipamentos e aparelhos usados na difusão de informação, nem por quaisquer outros meios destinados a obstar a comunicação e a circulação de </w:t>
      </w:r>
      <w:proofErr w:type="spellStart"/>
      <w:r w:rsidRPr="008A62DE">
        <w:rPr>
          <w:rFonts w:ascii="Open Sans" w:hAnsi="Open Sans" w:cs="Open Sans"/>
          <w:sz w:val="24"/>
          <w:szCs w:val="24"/>
        </w:rPr>
        <w:t>idéias</w:t>
      </w:r>
      <w:proofErr w:type="spellEnd"/>
      <w:r w:rsidRPr="008A62DE">
        <w:rPr>
          <w:rFonts w:ascii="Open Sans" w:hAnsi="Open Sans" w:cs="Open Sans"/>
          <w:sz w:val="24"/>
          <w:szCs w:val="24"/>
        </w:rPr>
        <w:t xml:space="preserve"> e opiniões. 4. A lei pode submeter os espetáculos públicos a censura prévia, com o objetivo exclusivo de regular o acesso a eles, para proteção moral da infância e da adolescência, sem prejuízo do disposto no inciso 2. 5. A lei deve proibir </w:t>
      </w:r>
      <w:proofErr w:type="gramStart"/>
      <w:r w:rsidRPr="008A62DE">
        <w:rPr>
          <w:rFonts w:ascii="Open Sans" w:hAnsi="Open Sans" w:cs="Open Sans"/>
          <w:sz w:val="24"/>
          <w:szCs w:val="24"/>
        </w:rPr>
        <w:t>toda propaganda a favor da guerra, bem como toda apologia ao ódio nacional, racial ou religioso que constitua incitação à discriminação, à hosti</w:t>
      </w:r>
      <w:r w:rsidR="00DB05F2">
        <w:rPr>
          <w:rFonts w:ascii="Open Sans" w:hAnsi="Open Sans" w:cs="Open Sans"/>
          <w:sz w:val="24"/>
          <w:szCs w:val="24"/>
        </w:rPr>
        <w:t>lidade, ao crime ou à violência</w:t>
      </w:r>
      <w:proofErr w:type="gramEnd"/>
      <w:r w:rsidR="00DB05F2">
        <w:rPr>
          <w:rFonts w:ascii="Open Sans" w:hAnsi="Open Sans" w:cs="Open Sans"/>
          <w:sz w:val="24"/>
          <w:szCs w:val="24"/>
        </w:rPr>
        <w:t>’</w:t>
      </w:r>
      <w:r w:rsidRPr="008A62DE">
        <w:rPr>
          <w:rFonts w:ascii="Open Sans" w:hAnsi="Open Sans" w:cs="Open Sans"/>
          <w:sz w:val="24"/>
          <w:szCs w:val="24"/>
        </w:rPr>
        <w:t xml:space="preserve">. Acerca da definição do assédio eleitoral, ensina Maurício Godinho Delgado que não se torna necessária a reiteração da conduta (embora tal reiteração possa tornar a infração ainda mais grave), ou seja, basta a simples verificação do ato singular de interferência do empregador na vontade ou escolha política ou eleitoral dos indivíduos sob seu comando ou influência para compor essa infração política, cívica e também trabalhista. Logo, o referido assédio nas relações de trabalho configura ato ilícito trabalhista, porque representa a tentativa da empregadora, por ato único ou reiterado, intencional ou não, de conquistar votos dos empregados, por intermédio de imposição de suas preferências e convicções políticas e mediante a utilização de mecanismos da estrutura empresarial no condicionamento. Frise-se, por oportuno, que a empresa deve propiciar aos trabalhadores o meio ambiente laboral sadio, isto é, não pode permitir que seu preposto </w:t>
      </w:r>
      <w:proofErr w:type="gramStart"/>
      <w:r w:rsidRPr="008A62DE">
        <w:rPr>
          <w:rFonts w:ascii="Open Sans" w:hAnsi="Open Sans" w:cs="Open Sans"/>
          <w:sz w:val="24"/>
          <w:szCs w:val="24"/>
        </w:rPr>
        <w:t>defina</w:t>
      </w:r>
      <w:proofErr w:type="gramEnd"/>
      <w:r w:rsidRPr="008A62DE">
        <w:rPr>
          <w:rFonts w:ascii="Open Sans" w:hAnsi="Open Sans" w:cs="Open Sans"/>
          <w:sz w:val="24"/>
          <w:szCs w:val="24"/>
        </w:rPr>
        <w:t xml:space="preserve"> ou influencie os trabalhadores a votarem em seu candidato de preferência. Portanto, não se deve tolerar nenhum tipo de assédio eleitoral no trabalho, como no caso. Com isso, ficou comprovado nos autos que a parte ré praticou conduta ilícita trabalhista com o intuito de influenciar ou manipular os votos de seus empregados na eleição presidencial do </w:t>
      </w:r>
      <w:r w:rsidRPr="008A62DE">
        <w:rPr>
          <w:rFonts w:ascii="Open Sans" w:hAnsi="Open Sans" w:cs="Open Sans"/>
          <w:sz w:val="24"/>
          <w:szCs w:val="24"/>
        </w:rPr>
        <w:lastRenderedPageBreak/>
        <w:t xml:space="preserve">ano de 2022. Não há dúvidas, portanto, da ocorrência da nefasta prática de constrangimento dos empregados, ainda que de forma indireta, ao voto em determinado candidato, o que atenta contra a democracia na medida em que </w:t>
      </w:r>
      <w:proofErr w:type="gramStart"/>
      <w:r w:rsidRPr="008A62DE">
        <w:rPr>
          <w:rFonts w:ascii="Open Sans" w:hAnsi="Open Sans" w:cs="Open Sans"/>
          <w:sz w:val="24"/>
          <w:szCs w:val="24"/>
        </w:rPr>
        <w:t>viola,</w:t>
      </w:r>
      <w:proofErr w:type="gramEnd"/>
      <w:r w:rsidRPr="008A62DE">
        <w:rPr>
          <w:rFonts w:ascii="Open Sans" w:hAnsi="Open Sans" w:cs="Open Sans"/>
          <w:sz w:val="24"/>
          <w:szCs w:val="24"/>
        </w:rPr>
        <w:t xml:space="preserve"> a mais não poder, o direito à participação democrática na escolha livre e consciente, a fim de atender o princípio maior contido no parágrafo único do arti</w:t>
      </w:r>
      <w:r w:rsidR="00941256">
        <w:rPr>
          <w:rFonts w:ascii="Open Sans" w:hAnsi="Open Sans" w:cs="Open Sans"/>
          <w:sz w:val="24"/>
          <w:szCs w:val="24"/>
        </w:rPr>
        <w:t>go 1º da Constituição Federal: ‘</w:t>
      </w:r>
      <w:r w:rsidRPr="008A62DE">
        <w:rPr>
          <w:rFonts w:ascii="Open Sans" w:hAnsi="Open Sans" w:cs="Open Sans"/>
          <w:sz w:val="24"/>
          <w:szCs w:val="24"/>
        </w:rPr>
        <w:t>todo poder emana do povo, que o exerce por meio de repres</w:t>
      </w:r>
      <w:r w:rsidR="00941256">
        <w:rPr>
          <w:rFonts w:ascii="Open Sans" w:hAnsi="Open Sans" w:cs="Open Sans"/>
          <w:sz w:val="24"/>
          <w:szCs w:val="24"/>
        </w:rPr>
        <w:t>entantes eleitos ou diretamente’</w:t>
      </w:r>
      <w:r w:rsidRPr="008A62DE">
        <w:rPr>
          <w:rFonts w:ascii="Open Sans" w:hAnsi="Open Sans" w:cs="Open Sans"/>
          <w:sz w:val="24"/>
          <w:szCs w:val="24"/>
        </w:rPr>
        <w:t xml:space="preserve">. O dano causado à sociedade há de ser reparado. Houve claro abuso do poder econômico, materializado no exercício abusivo do poder diretivo no âmbito da execução do contrato de trabalho, o qual provoca desequilíbrio na disputa livre e deve ser reprimido com rigor, pois, no fundo, está em jogo a própria existência do Estado Democrático de Direito. Os atos praticados configuram claro abuso do poder econômico patronal, com o objetivo de manipular o voto dos trabalhadores. Ainda, no que diz respeito aos danos morais coletivos, eles se caracterizam pela violação de direitos de certa coletividade ou ofensa aos valores que lhes são inerentes. Constitui, assim, instituto jurídico que objetiva a tutela de direitos e interesses </w:t>
      </w:r>
      <w:proofErr w:type="spellStart"/>
      <w:r w:rsidRPr="008A62DE">
        <w:rPr>
          <w:rFonts w:ascii="Open Sans" w:hAnsi="Open Sans" w:cs="Open Sans"/>
          <w:sz w:val="24"/>
          <w:szCs w:val="24"/>
        </w:rPr>
        <w:t>transindividuais</w:t>
      </w:r>
      <w:proofErr w:type="spellEnd"/>
      <w:r w:rsidRPr="008A62DE">
        <w:rPr>
          <w:rFonts w:ascii="Open Sans" w:hAnsi="Open Sans" w:cs="Open Sans"/>
          <w:sz w:val="24"/>
          <w:szCs w:val="24"/>
        </w:rPr>
        <w:t xml:space="preserve"> (difusos, coletivos e individuais homogêneos), os quais, quando violados, também reclamam responsabilidade civil. No caso em análise, exsurge como interesse coletivo a ser tutelado o respeito às liberdades individuais, na centralidade dos debates sobre direito ao voto livre e informado. Isso porque o poder diretivo patronal não deve se projetar sobre as liberdades individuais dos trabalhadores referentes à convicção política. Na hipótese, a coletividade encontra-se representada pelo grupo de empregados das rés cujos direitos trabalhistas não foram inteiramente assegurados, na medida em que a prática de assédio eleitoral foi constatada nos autos, que teve a finalidade de influenciar determinado pleito ou resultado eleitoral, e, por isso, ocorreu dentro do lapso temporal que abrangeu todos os atos vinculados a esse pleito. Tal constatação já demonstrou o descumprimento de direitos fundamentais assegurados, pela Carta Magna, aos trabalhadores, a ensejar a condenação ao pagamento de indenização por danos morais coletivos. É certo que essa prática não pode ser opção, tampouco merece ser tolerada pelo Poder Judiciário. O assédio eleitoral praticado pelas empresas acarretou lesão a vários direitos e liberdades fundamentais previstos na Constituição Federal, sobretudo o do Estado Democrático de Direito; dignidade da pessoa humana; valor social do trabalho, liberdade de expressão; pluralismo político; liberdade de consciência; e de convicção política, previstos nos artigos 1º</w:t>
      </w:r>
      <w:r w:rsidRPr="00DB05F2">
        <w:rPr>
          <w:rFonts w:ascii="Open Sans" w:hAnsi="Open Sans" w:cs="Open Sans"/>
          <w:i/>
          <w:sz w:val="24"/>
          <w:szCs w:val="24"/>
        </w:rPr>
        <w:t>, caput,</w:t>
      </w:r>
      <w:r w:rsidRPr="008A62DE">
        <w:rPr>
          <w:rFonts w:ascii="Open Sans" w:hAnsi="Open Sans" w:cs="Open Sans"/>
          <w:sz w:val="24"/>
          <w:szCs w:val="24"/>
        </w:rPr>
        <w:t xml:space="preserve"> III, IV e V, e parágrafo único, e 5º, </w:t>
      </w:r>
      <w:r w:rsidRPr="00502B21">
        <w:rPr>
          <w:rFonts w:ascii="Open Sans" w:hAnsi="Open Sans" w:cs="Open Sans"/>
          <w:i/>
          <w:sz w:val="24"/>
          <w:szCs w:val="24"/>
        </w:rPr>
        <w:t>caput</w:t>
      </w:r>
      <w:r w:rsidRPr="008A62DE">
        <w:rPr>
          <w:rFonts w:ascii="Open Sans" w:hAnsi="Open Sans" w:cs="Open Sans"/>
          <w:sz w:val="24"/>
          <w:szCs w:val="24"/>
        </w:rPr>
        <w:t xml:space="preserve"> e VI e VIII. A caracterização dos danos morais coletivos dispensa a prova do efetivo prejuízo financeiro ou do dano psíquico dele decorrente, pois a lesão decorre da própria conduta ilícita, configurada pela prática do assédio eleitoral. Caracterizada a lesão a direitos e interesses </w:t>
      </w:r>
      <w:proofErr w:type="spellStart"/>
      <w:r w:rsidRPr="008A62DE">
        <w:rPr>
          <w:rFonts w:ascii="Open Sans" w:hAnsi="Open Sans" w:cs="Open Sans"/>
          <w:sz w:val="24"/>
          <w:szCs w:val="24"/>
        </w:rPr>
        <w:t>transindividuais</w:t>
      </w:r>
      <w:proofErr w:type="spellEnd"/>
      <w:r w:rsidRPr="008A62DE">
        <w:rPr>
          <w:rFonts w:ascii="Open Sans" w:hAnsi="Open Sans" w:cs="Open Sans"/>
          <w:sz w:val="24"/>
          <w:szCs w:val="24"/>
        </w:rPr>
        <w:t xml:space="preserve">, relativa à interferência da parte ré na liberdade de orientação política dos seus empregados e no direito ao voto livre, sejam quais forem </w:t>
      </w:r>
      <w:proofErr w:type="gramStart"/>
      <w:r w:rsidRPr="008A62DE">
        <w:rPr>
          <w:rFonts w:ascii="Open Sans" w:hAnsi="Open Sans" w:cs="Open Sans"/>
          <w:sz w:val="24"/>
          <w:szCs w:val="24"/>
        </w:rPr>
        <w:t>as</w:t>
      </w:r>
      <w:proofErr w:type="gramEnd"/>
      <w:r w:rsidRPr="008A62DE">
        <w:rPr>
          <w:rFonts w:ascii="Open Sans" w:hAnsi="Open Sans" w:cs="Open Sans"/>
          <w:sz w:val="24"/>
          <w:szCs w:val="24"/>
        </w:rPr>
        <w:t xml:space="preserve"> opiniões e as preferências políticas, tem-se por configurada a ofensa a patrimônio jurídico da coletividade, que necessita ser recomposto. Desse modo, a parte ré deve ser condenada ao pagamento de reparação por danos morais coletivos para cada um dos três presidentes das associações rés e para cada uma das três associações rés, diante da comprovação da prática de assédio eleitoral. Assim, a decisão regional deve ser reformada. </w:t>
      </w:r>
      <w:proofErr w:type="gramStart"/>
      <w:r w:rsidRPr="008A62DE">
        <w:rPr>
          <w:rFonts w:ascii="Open Sans" w:hAnsi="Open Sans" w:cs="Open Sans"/>
          <w:sz w:val="24"/>
          <w:szCs w:val="24"/>
        </w:rPr>
        <w:t>Recurso de revista conhecido e parcialmente provido.</w:t>
      </w:r>
      <w:r w:rsidR="00DB05F2">
        <w:rPr>
          <w:rFonts w:ascii="Open Sans" w:hAnsi="Open Sans" w:cs="Open Sans"/>
          <w:sz w:val="24"/>
          <w:szCs w:val="24"/>
        </w:rPr>
        <w:t>”</w:t>
      </w:r>
      <w:proofErr w:type="gramEnd"/>
      <w:r w:rsidR="00DB05F2">
        <w:rPr>
          <w:rFonts w:ascii="Open Sans" w:hAnsi="Open Sans" w:cs="Open Sans"/>
          <w:sz w:val="24"/>
          <w:szCs w:val="24"/>
        </w:rPr>
        <w:t xml:space="preserve"> (</w:t>
      </w:r>
      <w:hyperlink r:id="rId35" w:history="1">
        <w:r w:rsidR="00DB05F2" w:rsidRPr="00DB05F2">
          <w:rPr>
            <w:rStyle w:val="Hyperlink"/>
            <w:rFonts w:ascii="Open Sans" w:hAnsi="Open Sans" w:cs="Open Sans"/>
            <w:sz w:val="24"/>
            <w:szCs w:val="24"/>
          </w:rPr>
          <w:t>TST-RR-809-24.2022.5.12.0013, 7ª Turma, R</w:t>
        </w:r>
        <w:r w:rsidR="00873148">
          <w:rPr>
            <w:rStyle w:val="Hyperlink"/>
            <w:rFonts w:ascii="Open Sans" w:hAnsi="Open Sans" w:cs="Open Sans"/>
            <w:sz w:val="24"/>
            <w:szCs w:val="24"/>
          </w:rPr>
          <w:t>el.</w:t>
        </w:r>
        <w:r w:rsidR="00DB05F2" w:rsidRPr="00DB05F2">
          <w:rPr>
            <w:rStyle w:val="Hyperlink"/>
            <w:rFonts w:ascii="Open Sans" w:hAnsi="Open Sans" w:cs="Open Sans"/>
            <w:sz w:val="24"/>
            <w:szCs w:val="24"/>
          </w:rPr>
          <w:t xml:space="preserve"> Min. Cláudio Mascarenhas </w:t>
        </w:r>
        <w:r w:rsidR="00DB05F2" w:rsidRPr="00DB05F2">
          <w:rPr>
            <w:rStyle w:val="Hyperlink"/>
            <w:rFonts w:ascii="Open Sans" w:hAnsi="Open Sans" w:cs="Open Sans"/>
            <w:sz w:val="24"/>
            <w:szCs w:val="24"/>
          </w:rPr>
          <w:lastRenderedPageBreak/>
          <w:t>Brandão, julgado em 29/4/2026</w:t>
        </w:r>
      </w:hyperlink>
      <w:r w:rsidR="00DF6AFF">
        <w:rPr>
          <w:rFonts w:ascii="Open Sans" w:hAnsi="Open Sans" w:cs="Open Sans"/>
          <w:sz w:val="24"/>
          <w:szCs w:val="24"/>
        </w:rPr>
        <w:t>)</w:t>
      </w:r>
    </w:p>
    <w:p w:rsidR="0040490D" w:rsidRDefault="0040490D" w:rsidP="00763295">
      <w:pPr>
        <w:widowControl w:val="0"/>
        <w:suppressAutoHyphens/>
        <w:ind w:left="-255" w:right="340"/>
        <w:jc w:val="both"/>
        <w:rPr>
          <w:rFonts w:ascii="Open Sans" w:hAnsi="Open Sans" w:cs="Open Sans"/>
          <w:sz w:val="24"/>
          <w:szCs w:val="24"/>
        </w:rPr>
      </w:pPr>
    </w:p>
    <w:p w:rsidR="0040490D" w:rsidRPr="008A62DE" w:rsidRDefault="0040490D" w:rsidP="008E7429">
      <w:pPr>
        <w:widowControl w:val="0"/>
        <w:suppressAutoHyphens/>
        <w:ind w:left="-255" w:right="340"/>
        <w:jc w:val="both"/>
        <w:rPr>
          <w:rFonts w:ascii="Open Sans" w:hAnsi="Open Sans" w:cs="Open Sans"/>
          <w:sz w:val="24"/>
          <w:szCs w:val="24"/>
        </w:rPr>
      </w:pPr>
      <w:r>
        <w:rPr>
          <w:rFonts w:ascii="Open Sans" w:hAnsi="Open Sans" w:cs="Open Sans"/>
          <w:sz w:val="24"/>
          <w:szCs w:val="24"/>
        </w:rPr>
        <w:t>“</w:t>
      </w:r>
      <w:r w:rsidRPr="0040490D">
        <w:rPr>
          <w:rFonts w:ascii="Open Sans" w:hAnsi="Open Sans" w:cs="Open Sans"/>
          <w:sz w:val="24"/>
          <w:szCs w:val="24"/>
        </w:rPr>
        <w:t xml:space="preserve">RECURSO DE REVISTA. LEI Nº 13.467/2017. RITO SUMARÍSSIMO. DETERMINAÇÃO DE RECOLHIMENTO DOS VALORES DEVIDOS A TÍTULO DE FGTS. EXECUÇÃO PROCESSADA PERANTE A JUSTIÇA DO TRABALHO. EMPRESA EM RECUPERAÇÃO JUDICIAL. TRANSCENDÊNCIA POLÍTICA RECONHECIDA. PROVIMENTO. </w:t>
      </w:r>
      <w:proofErr w:type="gramStart"/>
      <w:r w:rsidRPr="0040490D">
        <w:rPr>
          <w:rFonts w:ascii="Open Sans" w:hAnsi="Open Sans" w:cs="Open Sans"/>
          <w:sz w:val="24"/>
          <w:szCs w:val="24"/>
        </w:rPr>
        <w:t>1</w:t>
      </w:r>
      <w:proofErr w:type="gramEnd"/>
      <w:r w:rsidRPr="0040490D">
        <w:rPr>
          <w:rFonts w:ascii="Open Sans" w:hAnsi="Open Sans" w:cs="Open Sans"/>
          <w:sz w:val="24"/>
          <w:szCs w:val="24"/>
        </w:rPr>
        <w:t>. O entendimento deste Tribunal consolidou-se no sentido de não ser esta Justiça Especializada competente para executar o crédito trabalhista, na hipótese de deferimento do pedido de processamento de recuperação judicial da empresa demandada. Precedentes. 2. De acordo com o § 2º do artigo 6º da Lei nº 11.101/2005, as ações de natureza trabalhista serão processadas perante a Justiça do Trabalho até a apuração do respectivo crédito, em caso de serem demandadas quantias ilíquidas, de modo que caberá à parte interessada, após a individualização e quantificação do montante devido, efetuar a habilitação perante o Juízo Universal. 3. Nesse contexto, o Tribunal Regional, ao determinar que reclamada efetuasse o depósito do montante devido a título de FGTS, na conta vinculada do reclamante, sob pena de a execução ser processada perante esta Justiça Especializada, contrariou a jurisprudência desta Corte. Recurso de Revista conhecido e provid</w:t>
      </w:r>
      <w:r w:rsidR="008E7429">
        <w:rPr>
          <w:rFonts w:ascii="Open Sans" w:hAnsi="Open Sans" w:cs="Open Sans"/>
          <w:sz w:val="24"/>
          <w:szCs w:val="24"/>
        </w:rPr>
        <w:t xml:space="preserve">o.” </w:t>
      </w:r>
      <w:r w:rsidRPr="0040490D">
        <w:rPr>
          <w:rFonts w:ascii="Open Sans" w:hAnsi="Open Sans" w:cs="Open Sans"/>
          <w:sz w:val="24"/>
          <w:szCs w:val="24"/>
        </w:rPr>
        <w:t>(</w:t>
      </w:r>
      <w:hyperlink r:id="rId36" w:history="1">
        <w:r w:rsidR="008E7429" w:rsidRPr="008E7429">
          <w:rPr>
            <w:rStyle w:val="Hyperlink"/>
            <w:rFonts w:ascii="Open Sans" w:hAnsi="Open Sans" w:cs="Open Sans"/>
            <w:sz w:val="24"/>
            <w:szCs w:val="24"/>
          </w:rPr>
          <w:t>TST-</w:t>
        </w:r>
        <w:r w:rsidRPr="008E7429">
          <w:rPr>
            <w:rStyle w:val="Hyperlink"/>
            <w:rFonts w:ascii="Open Sans" w:hAnsi="Open Sans" w:cs="Open Sans"/>
            <w:sz w:val="24"/>
            <w:szCs w:val="24"/>
          </w:rPr>
          <w:t>RR-0001036-59.2</w:t>
        </w:r>
        <w:r w:rsidR="008E7429" w:rsidRPr="008E7429">
          <w:rPr>
            <w:rStyle w:val="Hyperlink"/>
            <w:rFonts w:ascii="Open Sans" w:hAnsi="Open Sans" w:cs="Open Sans"/>
            <w:sz w:val="24"/>
            <w:szCs w:val="24"/>
          </w:rPr>
          <w:t xml:space="preserve">025.5.06.0212, 7ª Turma, Rel. Des. </w:t>
        </w:r>
        <w:proofErr w:type="spellStart"/>
        <w:r w:rsidR="008E7429" w:rsidRPr="008E7429">
          <w:rPr>
            <w:rStyle w:val="Hyperlink"/>
            <w:rFonts w:ascii="Open Sans" w:hAnsi="Open Sans" w:cs="Open Sans"/>
            <w:sz w:val="24"/>
            <w:szCs w:val="24"/>
          </w:rPr>
          <w:t>Conv</w:t>
        </w:r>
        <w:proofErr w:type="spellEnd"/>
        <w:r w:rsidR="008E7429" w:rsidRPr="008E7429">
          <w:rPr>
            <w:rStyle w:val="Hyperlink"/>
            <w:rFonts w:ascii="Open Sans" w:hAnsi="Open Sans" w:cs="Open Sans"/>
            <w:sz w:val="24"/>
            <w:szCs w:val="24"/>
          </w:rPr>
          <w:t>. José</w:t>
        </w:r>
        <w:r w:rsidRPr="008E7429">
          <w:rPr>
            <w:rStyle w:val="Hyperlink"/>
            <w:rFonts w:ascii="Open Sans" w:hAnsi="Open Sans" w:cs="Open Sans"/>
            <w:sz w:val="24"/>
            <w:szCs w:val="24"/>
          </w:rPr>
          <w:t xml:space="preserve"> Pedro de Camargo Rodrigues de Souza,</w:t>
        </w:r>
        <w:r w:rsidR="008E7429" w:rsidRPr="008E7429">
          <w:rPr>
            <w:rStyle w:val="Hyperlink"/>
            <w:rFonts w:ascii="Open Sans" w:hAnsi="Open Sans" w:cs="Open Sans"/>
            <w:sz w:val="24"/>
            <w:szCs w:val="24"/>
          </w:rPr>
          <w:t xml:space="preserve"> julgado em 29/4/2026</w:t>
        </w:r>
      </w:hyperlink>
      <w:r w:rsidR="00DF6AFF">
        <w:rPr>
          <w:rFonts w:ascii="Open Sans" w:hAnsi="Open Sans" w:cs="Open Sans"/>
          <w:sz w:val="24"/>
          <w:szCs w:val="24"/>
        </w:rPr>
        <w:t>)</w:t>
      </w:r>
    </w:p>
    <w:p w:rsidR="005A0431" w:rsidRDefault="005A0431" w:rsidP="006A42A2">
      <w:pPr>
        <w:widowControl w:val="0"/>
        <w:suppressAutoHyphens/>
        <w:ind w:left="-255" w:right="340"/>
        <w:jc w:val="both"/>
        <w:rPr>
          <w:rFonts w:ascii="Open Sans" w:hAnsi="Open Sans" w:cs="Open Sans"/>
          <w:sz w:val="24"/>
          <w:szCs w:val="24"/>
        </w:rPr>
      </w:pPr>
    </w:p>
    <w:p w:rsidR="00082861" w:rsidRDefault="00844256" w:rsidP="00082861">
      <w:pPr>
        <w:widowControl w:val="0"/>
        <w:suppressAutoHyphens/>
        <w:ind w:left="-255" w:right="340"/>
        <w:jc w:val="both"/>
        <w:rPr>
          <w:rFonts w:ascii="Open Sans" w:hAnsi="Open Sans" w:cs="Open Sans"/>
          <w:bCs/>
          <w:sz w:val="24"/>
          <w:szCs w:val="24"/>
        </w:rPr>
      </w:pPr>
      <w:r>
        <w:rPr>
          <w:rFonts w:ascii="Open Sans" w:hAnsi="Open Sans" w:cs="Open Sans"/>
          <w:bCs/>
          <w:sz w:val="24"/>
          <w:szCs w:val="24"/>
        </w:rPr>
        <w:t xml:space="preserve">“[...] </w:t>
      </w:r>
      <w:r w:rsidR="00082861" w:rsidRPr="00082861">
        <w:rPr>
          <w:rFonts w:ascii="Open Sans" w:hAnsi="Open Sans" w:cs="Open Sans"/>
          <w:bCs/>
          <w:sz w:val="24"/>
          <w:szCs w:val="24"/>
        </w:rPr>
        <w:t>II</w:t>
      </w:r>
      <w:r>
        <w:rPr>
          <w:rFonts w:ascii="Open Sans" w:hAnsi="Open Sans" w:cs="Open Sans"/>
          <w:bCs/>
          <w:sz w:val="24"/>
          <w:szCs w:val="24"/>
        </w:rPr>
        <w:t xml:space="preserve"> </w:t>
      </w:r>
      <w:r w:rsidR="00082861" w:rsidRPr="00082861">
        <w:rPr>
          <w:rFonts w:ascii="Open Sans" w:hAnsi="Open Sans" w:cs="Open Sans"/>
          <w:bCs/>
          <w:sz w:val="24"/>
          <w:szCs w:val="24"/>
        </w:rPr>
        <w:t>- RECURSO DE REVISTA.</w:t>
      </w:r>
      <w:r w:rsidR="00082861" w:rsidRPr="00082861">
        <w:rPr>
          <w:rFonts w:ascii="Open Sans" w:hAnsi="Open Sans" w:cs="Open Sans"/>
          <w:sz w:val="24"/>
          <w:szCs w:val="24"/>
        </w:rPr>
        <w:t xml:space="preserve"> </w:t>
      </w:r>
      <w:r w:rsidR="00082861" w:rsidRPr="00082861">
        <w:rPr>
          <w:rFonts w:ascii="Open Sans" w:hAnsi="Open Sans" w:cs="Open Sans"/>
          <w:bCs/>
          <w:sz w:val="24"/>
          <w:szCs w:val="24"/>
        </w:rPr>
        <w:t>INDENIZAÇÃO POR DANO MORAL. ASSÉDIO MORAL. PROVA DIVIDIDA. ÔNUS DE PROVA. TRANSCENDÊNCIA JURÍDICA.</w:t>
      </w:r>
      <w:r w:rsidR="00082861" w:rsidRPr="00082861">
        <w:rPr>
          <w:rFonts w:ascii="Open Sans" w:hAnsi="Open Sans" w:cs="Open Sans"/>
          <w:sz w:val="24"/>
          <w:szCs w:val="24"/>
        </w:rPr>
        <w:t xml:space="preserve"> O Tribunal Regional decidiu que, diante da divergência entre os depoimentos, a prova oral produzida pela autora foi suficiente para comprovar o assédio moral, ao fundamentar que o tratamento rotineiramente rude, desrespeitoso e humilhante despendido pelo gerente configurou violação à dignidade da trabalhadora e, por conseguinte, o dever de indenizar. O acórdão fundamenta a superação da regra rígida do ônus da prova em favor do Princípio do Livre Convencimento Motivado, estabelecendo que, em casos de provas divididas, o magistrado deve realizar uma análise racional e contextualizada para identificar qual versão possui maior verossimilhança. Ao destacar a dificuldade inerente ao trabalhador em produzir provas e priorizar um exame a posteriori, baseado na coerência, segurança e lógica dos depoimentos em vez de uma aplicação mecânica de regras processuais, o Tribunal Regional legitima a valoração da realidade fática sobre o formalismo, concluindo que a prova produzida pela autora refletiu com maior fidelidade o assédio moral sofrido. A jurisprudência deste Tribunal Superior é firme no sentido de que, constatada a existência de prova dividida, o julgamento é em desfavor de quem detém o ônus da prova, que no presente caso é da autora. Assim, o Tribunal Regional que, diante da prova dividida, decide em benefício da parte que teria o ônus de provar o fato constitutivo do seu direito em razão da prova dividida, violou o artigo 5º, X, da Constituição Federal. Precedentes.</w:t>
      </w:r>
      <w:r w:rsidR="00082861" w:rsidRPr="00082861">
        <w:rPr>
          <w:rFonts w:ascii="Open Sans" w:hAnsi="Open Sans" w:cs="Open Sans"/>
          <w:bCs/>
          <w:sz w:val="24"/>
          <w:szCs w:val="24"/>
        </w:rPr>
        <w:t xml:space="preserve"> Recurso de revista conhecido por violação ao artigo 5º, X, da CF e provido.</w:t>
      </w:r>
      <w:r>
        <w:rPr>
          <w:rFonts w:ascii="Open Sans" w:hAnsi="Open Sans" w:cs="Open Sans"/>
          <w:bCs/>
          <w:sz w:val="24"/>
          <w:szCs w:val="24"/>
        </w:rPr>
        <w:t xml:space="preserve">” </w:t>
      </w:r>
      <w:proofErr w:type="gramStart"/>
      <w:r>
        <w:rPr>
          <w:rFonts w:ascii="Open Sans" w:hAnsi="Open Sans" w:cs="Open Sans"/>
          <w:bCs/>
          <w:sz w:val="24"/>
          <w:szCs w:val="24"/>
        </w:rPr>
        <w:t>(</w:t>
      </w:r>
      <w:proofErr w:type="gramEnd"/>
      <w:r w:rsidR="00103CAC">
        <w:rPr>
          <w:rFonts w:ascii="Open Sans" w:hAnsi="Open Sans" w:cs="Open Sans"/>
          <w:bCs/>
          <w:sz w:val="24"/>
          <w:szCs w:val="24"/>
        </w:rPr>
        <w:fldChar w:fldCharType="begin"/>
      </w:r>
      <w:r w:rsidR="00103CAC">
        <w:rPr>
          <w:rFonts w:ascii="Open Sans" w:hAnsi="Open Sans" w:cs="Open Sans"/>
          <w:bCs/>
          <w:sz w:val="24"/>
          <w:szCs w:val="24"/>
        </w:rPr>
        <w:instrText xml:space="preserve"> HYPERLINK "https://consultaprocessual.tst.jus.br/consultaProcessual/consultaTstNumUnica.do?consulta=Consultar&amp;conscsjt=&amp;numeroTst=10123&amp;digitoTst=82&amp;anoTst=2019&amp;orgaoTst=5&amp;tribunalTst=15&amp;varaTst=0120&amp;submit=Consultar" </w:instrText>
      </w:r>
      <w:r w:rsidR="00103CAC">
        <w:rPr>
          <w:rFonts w:ascii="Open Sans" w:hAnsi="Open Sans" w:cs="Open Sans"/>
          <w:bCs/>
          <w:sz w:val="24"/>
          <w:szCs w:val="24"/>
        </w:rPr>
        <w:fldChar w:fldCharType="separate"/>
      </w:r>
      <w:r w:rsidRPr="00103CAC">
        <w:rPr>
          <w:rStyle w:val="Hyperlink"/>
          <w:rFonts w:ascii="Open Sans" w:hAnsi="Open Sans" w:cs="Open Sans"/>
          <w:bCs/>
          <w:sz w:val="24"/>
          <w:szCs w:val="24"/>
        </w:rPr>
        <w:t>TST-</w:t>
      </w:r>
      <w:proofErr w:type="spellStart"/>
      <w:r w:rsidRPr="00103CAC">
        <w:rPr>
          <w:rStyle w:val="Hyperlink"/>
          <w:rFonts w:ascii="Open Sans" w:hAnsi="Open Sans" w:cs="Open Sans"/>
          <w:bCs/>
          <w:sz w:val="24"/>
          <w:szCs w:val="24"/>
        </w:rPr>
        <w:t>RRAg</w:t>
      </w:r>
      <w:proofErr w:type="spellEnd"/>
      <w:r w:rsidRPr="00103CAC">
        <w:rPr>
          <w:rStyle w:val="Hyperlink"/>
          <w:rFonts w:ascii="Open Sans" w:hAnsi="Open Sans" w:cs="Open Sans"/>
          <w:bCs/>
          <w:sz w:val="24"/>
          <w:szCs w:val="24"/>
        </w:rPr>
        <w:t xml:space="preserve"> - 10123-82.2019.5.15.0120, 7ª Turma, Rel. Min. </w:t>
      </w:r>
      <w:r w:rsidR="000637B7" w:rsidRPr="00103CAC">
        <w:rPr>
          <w:rStyle w:val="Hyperlink"/>
          <w:rFonts w:ascii="Open Sans" w:hAnsi="Open Sans" w:cs="Open Sans"/>
          <w:bCs/>
          <w:sz w:val="24"/>
          <w:szCs w:val="24"/>
        </w:rPr>
        <w:t>Alexandre de Souza Agra Belmonte, julgado em 29/4/2026</w:t>
      </w:r>
      <w:r w:rsidR="00103CAC">
        <w:rPr>
          <w:rFonts w:ascii="Open Sans" w:hAnsi="Open Sans" w:cs="Open Sans"/>
          <w:bCs/>
          <w:sz w:val="24"/>
          <w:szCs w:val="24"/>
        </w:rPr>
        <w:fldChar w:fldCharType="end"/>
      </w:r>
      <w:proofErr w:type="gramStart"/>
      <w:r w:rsidR="000637B7">
        <w:rPr>
          <w:rFonts w:ascii="Open Sans" w:hAnsi="Open Sans" w:cs="Open Sans"/>
          <w:bCs/>
          <w:sz w:val="24"/>
          <w:szCs w:val="24"/>
        </w:rPr>
        <w:t>)</w:t>
      </w:r>
      <w:proofErr w:type="gramEnd"/>
    </w:p>
    <w:p w:rsidR="005A0431" w:rsidRPr="006A42A2" w:rsidRDefault="005A0431" w:rsidP="006A42A2">
      <w:pPr>
        <w:widowControl w:val="0"/>
        <w:suppressAutoHyphens/>
        <w:ind w:left="-255" w:right="340"/>
        <w:jc w:val="both"/>
        <w:rPr>
          <w:rFonts w:ascii="Open Sans" w:hAnsi="Open Sans" w:cs="Open Sans"/>
          <w:sz w:val="24"/>
          <w:szCs w:val="24"/>
        </w:rPr>
      </w:pPr>
    </w:p>
    <w:p w:rsidR="00E07A0C" w:rsidRDefault="00436BA2" w:rsidP="00B5549E">
      <w:pPr>
        <w:widowControl w:val="0"/>
        <w:suppressAutoHyphens/>
        <w:ind w:left="-255" w:right="340"/>
        <w:jc w:val="both"/>
        <w:rPr>
          <w:rFonts w:ascii="Open Sans" w:hAnsi="Open Sans" w:cs="Open Sans"/>
          <w:sz w:val="24"/>
          <w:szCs w:val="24"/>
        </w:rPr>
      </w:pPr>
      <w:r w:rsidRPr="00436BA2">
        <w:rPr>
          <w:rFonts w:ascii="Open Sans" w:hAnsi="Open Sans" w:cs="Open Sans"/>
          <w:bCs/>
          <w:sz w:val="24"/>
          <w:szCs w:val="24"/>
        </w:rPr>
        <w:t>“</w:t>
      </w:r>
      <w:r w:rsidR="00B5549E" w:rsidRPr="00436BA2">
        <w:rPr>
          <w:rFonts w:ascii="Open Sans" w:hAnsi="Open Sans" w:cs="Open Sans"/>
          <w:bCs/>
          <w:sz w:val="24"/>
          <w:szCs w:val="24"/>
        </w:rPr>
        <w:t xml:space="preserve">RECURSO DE REVISTA DO MINISTÉRIO PÚBLICO DO TRABALHO. RETORNO DA SBDI-I DO TST. ACÓRDÃO REGIONAL. PUBLICAÇÃO DO ACÓRDÃO REGIONAL ANTES DA VIGÊNCIA DA LEI 13.015/2015. AÇÃO CIVIL PÚBLICA. TUTELA INIBITÓRIA. (ART. 84 DO </w:t>
      </w:r>
      <w:r w:rsidR="00B5549E" w:rsidRPr="00436BA2">
        <w:rPr>
          <w:rFonts w:ascii="Open Sans" w:hAnsi="Open Sans" w:cs="Open Sans"/>
          <w:bCs/>
          <w:sz w:val="24"/>
          <w:szCs w:val="24"/>
        </w:rPr>
        <w:lastRenderedPageBreak/>
        <w:t>CÓDIGO DE DEFESA DO CONSUMIDOR). OBRIGAÇÃO DE NÃO FAZER. ABSTENÇÃO DE INCLUSÃO DE CLÁUSULAS EM NEGOCIAÇÃO COLETIVA FUTURA. (CLÁUSULAS COLETIVAS 39ª, 54ª E 79ª). REQUISITOS PROCESSUAIS. PRECEDENTE DA SBDI-I DO TST. LIMITES MATERIAIS. VIOLAÇÃO DA LIBERDADE E AUTONOMIA SINDICAL. SUPRESSÃO DO INTERVALO INTRAJORNADA. DIREITO INDISPONÍVEL. TUTELA DEFERIDA. CONTRIBUIÇÃO PAGA PELO EMPREGADOR EM BENEFÍCIO DO SINDICATO PROFISSIONAL. CONVENÇÃO Nº 98 DA OIT. ESTABILIDADE DO CONSCRITO. POSSIBILIDADE DE FLEXIBILIZAÇÃO VIA NEGOCIAÇÃO COLETIVA. TUTELA INDEFERIDA. DIREITO DISPONÍVEIS.</w:t>
      </w:r>
      <w:r w:rsidRPr="00436BA2">
        <w:rPr>
          <w:rFonts w:ascii="Open Sans" w:hAnsi="Open Sans" w:cs="Open Sans"/>
          <w:bCs/>
          <w:sz w:val="24"/>
          <w:szCs w:val="24"/>
        </w:rPr>
        <w:t xml:space="preserve"> </w:t>
      </w:r>
      <w:r w:rsidR="00B5549E" w:rsidRPr="00436BA2">
        <w:rPr>
          <w:rFonts w:ascii="Open Sans" w:hAnsi="Open Sans" w:cs="Open Sans"/>
          <w:bCs/>
          <w:sz w:val="24"/>
          <w:szCs w:val="24"/>
        </w:rPr>
        <w:t>I.</w:t>
      </w:r>
      <w:r w:rsidR="00B5549E" w:rsidRPr="00436BA2">
        <w:rPr>
          <w:rFonts w:ascii="Open Sans" w:hAnsi="Open Sans" w:cs="Open Sans"/>
          <w:sz w:val="24"/>
          <w:szCs w:val="24"/>
        </w:rPr>
        <w:t xml:space="preserve"> Trata-se de feito em que a SBDI-I do TST (fls. 526/544), ao analisar os embargos interpostos pelo parquet deu-lhes provimento </w:t>
      </w:r>
      <w:r w:rsidR="00B5549E" w:rsidRPr="00361128">
        <w:rPr>
          <w:rFonts w:ascii="Open Sans" w:hAnsi="Open Sans" w:cs="Open Sans"/>
          <w:sz w:val="24"/>
          <w:szCs w:val="24"/>
        </w:rPr>
        <w:t xml:space="preserve">para </w:t>
      </w:r>
      <w:r w:rsidR="00361128" w:rsidRPr="00361128">
        <w:rPr>
          <w:rFonts w:ascii="Open Sans" w:hAnsi="Open Sans" w:cs="Open Sans"/>
          <w:sz w:val="24"/>
          <w:szCs w:val="24"/>
        </w:rPr>
        <w:t>‘</w:t>
      </w:r>
      <w:r w:rsidR="00B5549E" w:rsidRPr="00361128">
        <w:rPr>
          <w:rFonts w:ascii="Open Sans" w:hAnsi="Open Sans" w:cs="Open Sans"/>
          <w:iCs/>
          <w:sz w:val="24"/>
          <w:szCs w:val="24"/>
        </w:rPr>
        <w:t xml:space="preserve">afastar o obstáculo imposto ao deferimento da tutela inibitória pleiteada, com o retorno dos autos à </w:t>
      </w:r>
      <w:proofErr w:type="spellStart"/>
      <w:r w:rsidR="00B5549E" w:rsidRPr="00361128">
        <w:rPr>
          <w:rFonts w:ascii="Open Sans" w:hAnsi="Open Sans" w:cs="Open Sans"/>
          <w:iCs/>
          <w:sz w:val="24"/>
          <w:szCs w:val="24"/>
        </w:rPr>
        <w:t>Eg</w:t>
      </w:r>
      <w:proofErr w:type="spellEnd"/>
      <w:r w:rsidR="00B5549E" w:rsidRPr="00361128">
        <w:rPr>
          <w:rFonts w:ascii="Open Sans" w:hAnsi="Open Sans" w:cs="Open Sans"/>
          <w:iCs/>
          <w:sz w:val="24"/>
          <w:szCs w:val="24"/>
        </w:rPr>
        <w:t xml:space="preserve">. Turma de origem, para exame da juridicidade das cláusulas impugnadas pelo MPT (39ª, 54ª e 79ª da CCT 2008/2009), devendo os réus </w:t>
      </w:r>
      <w:proofErr w:type="gramStart"/>
      <w:r w:rsidR="00B5549E" w:rsidRPr="00361128">
        <w:rPr>
          <w:rFonts w:ascii="Open Sans" w:hAnsi="Open Sans" w:cs="Open Sans"/>
          <w:iCs/>
          <w:sz w:val="24"/>
          <w:szCs w:val="24"/>
        </w:rPr>
        <w:t>serem</w:t>
      </w:r>
      <w:proofErr w:type="gramEnd"/>
      <w:r w:rsidR="00B5549E" w:rsidRPr="00361128">
        <w:rPr>
          <w:rFonts w:ascii="Open Sans" w:hAnsi="Open Sans" w:cs="Open Sans"/>
          <w:iCs/>
          <w:sz w:val="24"/>
          <w:szCs w:val="24"/>
        </w:rPr>
        <w:t xml:space="preserve"> condenados a absterem-se de firmar as de conteúdo ilegal</w:t>
      </w:r>
      <w:r w:rsidR="00361128" w:rsidRPr="00361128">
        <w:rPr>
          <w:rFonts w:ascii="Open Sans" w:hAnsi="Open Sans" w:cs="Open Sans"/>
          <w:iCs/>
          <w:sz w:val="24"/>
          <w:szCs w:val="24"/>
        </w:rPr>
        <w:t>’</w:t>
      </w:r>
      <w:r w:rsidR="00B5549E" w:rsidRPr="00361128">
        <w:rPr>
          <w:rFonts w:ascii="Open Sans" w:hAnsi="Open Sans" w:cs="Open Sans"/>
          <w:sz w:val="24"/>
          <w:szCs w:val="24"/>
        </w:rPr>
        <w:t xml:space="preserve">, destacando que </w:t>
      </w:r>
      <w:r w:rsidR="00361128" w:rsidRPr="00361128">
        <w:rPr>
          <w:rFonts w:ascii="Open Sans" w:hAnsi="Open Sans" w:cs="Open Sans"/>
          <w:iCs/>
          <w:sz w:val="24"/>
          <w:szCs w:val="24"/>
        </w:rPr>
        <w:t>‘</w:t>
      </w:r>
      <w:r w:rsidR="00B5549E" w:rsidRPr="00361128">
        <w:rPr>
          <w:rFonts w:ascii="Open Sans" w:hAnsi="Open Sans" w:cs="Open Sans"/>
          <w:iCs/>
          <w:sz w:val="24"/>
          <w:szCs w:val="24"/>
        </w:rPr>
        <w:t>a questão a ser dirimida, neste apelo, cinge-se aos requisitos para deferimento de tutela inibitória</w:t>
      </w:r>
      <w:r w:rsidR="00361128" w:rsidRPr="00361128">
        <w:rPr>
          <w:rFonts w:ascii="Open Sans" w:hAnsi="Open Sans" w:cs="Open Sans"/>
          <w:iCs/>
          <w:sz w:val="24"/>
          <w:szCs w:val="24"/>
        </w:rPr>
        <w:t>’</w:t>
      </w:r>
      <w:r w:rsidR="00B5549E" w:rsidRPr="00361128">
        <w:rPr>
          <w:rFonts w:ascii="Open Sans" w:hAnsi="Open Sans" w:cs="Open Sans"/>
          <w:iCs/>
          <w:sz w:val="24"/>
          <w:szCs w:val="24"/>
        </w:rPr>
        <w:t>.</w:t>
      </w:r>
      <w:r w:rsidRPr="00436BA2">
        <w:rPr>
          <w:rFonts w:ascii="Open Sans" w:hAnsi="Open Sans" w:cs="Open Sans"/>
          <w:i/>
          <w:iCs/>
          <w:sz w:val="24"/>
          <w:szCs w:val="24"/>
        </w:rPr>
        <w:t xml:space="preserve"> </w:t>
      </w:r>
      <w:r w:rsidR="00B5549E" w:rsidRPr="00436BA2">
        <w:rPr>
          <w:rFonts w:ascii="Open Sans" w:hAnsi="Open Sans" w:cs="Open Sans"/>
          <w:bCs/>
          <w:sz w:val="24"/>
          <w:szCs w:val="24"/>
        </w:rPr>
        <w:t>II.</w:t>
      </w:r>
      <w:r w:rsidR="00B5549E" w:rsidRPr="00436BA2">
        <w:rPr>
          <w:rFonts w:ascii="Open Sans" w:hAnsi="Open Sans" w:cs="Open Sans"/>
          <w:sz w:val="24"/>
          <w:szCs w:val="24"/>
        </w:rPr>
        <w:t xml:space="preserve">  Efetivamente, com a reforma do acórdão da Oitava Turma, os autos retornaram a minha relatoria para que se proceda ao exame de mérito, a juridicidade de cláusulas específicas impugnadas, que renovem os textos de convenção coletiva vencida de 2008/2009, em especial da </w:t>
      </w:r>
      <w:r w:rsidR="00B5549E" w:rsidRPr="00436BA2">
        <w:rPr>
          <w:rFonts w:ascii="Open Sans" w:hAnsi="Open Sans" w:cs="Open Sans"/>
          <w:bCs/>
          <w:sz w:val="24"/>
          <w:szCs w:val="24"/>
        </w:rPr>
        <w:t>Cláusula 39ª</w:t>
      </w:r>
      <w:r w:rsidR="00B5549E" w:rsidRPr="00436BA2">
        <w:rPr>
          <w:rFonts w:ascii="Open Sans" w:hAnsi="Open Sans" w:cs="Open Sans"/>
          <w:sz w:val="24"/>
          <w:szCs w:val="24"/>
        </w:rPr>
        <w:t xml:space="preserve">, que trata da substituição da estabilidade do serviço militar (art. 472 da CLT) por pecúnia, da </w:t>
      </w:r>
      <w:r w:rsidR="00B5549E" w:rsidRPr="00436BA2">
        <w:rPr>
          <w:rFonts w:ascii="Open Sans" w:hAnsi="Open Sans" w:cs="Open Sans"/>
          <w:bCs/>
          <w:sz w:val="24"/>
          <w:szCs w:val="24"/>
        </w:rPr>
        <w:t>Cláusula 54ª</w:t>
      </w:r>
      <w:r w:rsidR="00B5549E" w:rsidRPr="00436BA2">
        <w:rPr>
          <w:rFonts w:ascii="Open Sans" w:hAnsi="Open Sans" w:cs="Open Sans"/>
          <w:sz w:val="24"/>
          <w:szCs w:val="24"/>
        </w:rPr>
        <w:t xml:space="preserve">, que objetiva a supressão do intervalo intrajornada (art. 71 da CLT) e da </w:t>
      </w:r>
      <w:r w:rsidR="00B5549E" w:rsidRPr="00436BA2">
        <w:rPr>
          <w:rFonts w:ascii="Open Sans" w:hAnsi="Open Sans" w:cs="Open Sans"/>
          <w:bCs/>
          <w:sz w:val="24"/>
          <w:szCs w:val="24"/>
        </w:rPr>
        <w:t>Cláusula 79ª</w:t>
      </w:r>
      <w:r w:rsidR="00B5549E" w:rsidRPr="00436BA2">
        <w:rPr>
          <w:rFonts w:ascii="Open Sans" w:hAnsi="Open Sans" w:cs="Open Sans"/>
          <w:sz w:val="24"/>
          <w:szCs w:val="24"/>
        </w:rPr>
        <w:t>, que discorre sobre contribuição patronal em benefício do sindicato profissional, afetado ao princípio da autonomia e a liberdade sindical.</w:t>
      </w:r>
      <w:r w:rsidRPr="00436BA2">
        <w:rPr>
          <w:rFonts w:ascii="Open Sans" w:hAnsi="Open Sans" w:cs="Open Sans"/>
          <w:sz w:val="24"/>
          <w:szCs w:val="24"/>
        </w:rPr>
        <w:t xml:space="preserve"> </w:t>
      </w:r>
      <w:r w:rsidR="00B5549E" w:rsidRPr="00436BA2">
        <w:rPr>
          <w:rFonts w:ascii="Open Sans" w:hAnsi="Open Sans" w:cs="Open Sans"/>
          <w:bCs/>
          <w:sz w:val="24"/>
          <w:szCs w:val="24"/>
        </w:rPr>
        <w:t>III.</w:t>
      </w:r>
      <w:r w:rsidR="00B5549E" w:rsidRPr="00436BA2">
        <w:rPr>
          <w:rFonts w:ascii="Open Sans" w:hAnsi="Open Sans" w:cs="Open Sans"/>
          <w:sz w:val="24"/>
          <w:szCs w:val="24"/>
        </w:rPr>
        <w:t xml:space="preserve"> Anote-se que, embora o </w:t>
      </w:r>
      <w:proofErr w:type="gramStart"/>
      <w:r w:rsidR="00B5549E" w:rsidRPr="00436BA2">
        <w:rPr>
          <w:rFonts w:ascii="Open Sans" w:hAnsi="Open Sans" w:cs="Open Sans"/>
          <w:sz w:val="24"/>
          <w:szCs w:val="24"/>
        </w:rPr>
        <w:t>acórdão</w:t>
      </w:r>
      <w:proofErr w:type="gramEnd"/>
      <w:r w:rsidR="00B5549E" w:rsidRPr="00436BA2">
        <w:rPr>
          <w:rFonts w:ascii="Open Sans" w:hAnsi="Open Sans" w:cs="Open Sans"/>
          <w:sz w:val="24"/>
          <w:szCs w:val="24"/>
        </w:rPr>
        <w:t xml:space="preserve"> do órgão interno de hierarquia jurisprudencial superior trate especificamente de técnica processual quanto à tutela Inibitória, o retorno dos autos exige que ao analisar a juridicidade das cláusulas necessariamente se respalde observando o contraste da referidas normas coletivas autônomas com a tese fixada no Tema 1046 do STF, segundo a qual são constitucionais as normas coletivas que pactuam limitações ou afastamentos de direitos trabalhistas, observando que o STF não conferiu às entidades sindicais uma autorização irrestrita para a desregulamentação do trabalho, devendo observa duas balizas intransponíveis: a) dignidade da Pessoa Humana (art. 1º, III, Constituição da República), que protege o trabalhador de ser reduzido a mero insumo produtivo, devendo ter garantidas as condições mínimas de existência digna; b) normas de saúde, higiene e segurança do trabalho (Art. 7º, XXII, Constituição da República), onde o bojo dessas normas possuem natureza de ordem pública e caráter tutelar, não podendo ser transacionadas em sua totalidade.</w:t>
      </w:r>
      <w:r w:rsidRPr="00436BA2">
        <w:rPr>
          <w:rFonts w:ascii="Open Sans" w:hAnsi="Open Sans" w:cs="Open Sans"/>
          <w:sz w:val="24"/>
          <w:szCs w:val="24"/>
        </w:rPr>
        <w:t xml:space="preserve"> </w:t>
      </w:r>
      <w:r w:rsidR="00B5549E" w:rsidRPr="00436BA2">
        <w:rPr>
          <w:rFonts w:ascii="Open Sans" w:hAnsi="Open Sans" w:cs="Open Sans"/>
          <w:bCs/>
          <w:sz w:val="24"/>
          <w:szCs w:val="24"/>
        </w:rPr>
        <w:t xml:space="preserve">IV. </w:t>
      </w:r>
      <w:r w:rsidR="00B5549E" w:rsidRPr="00436BA2">
        <w:rPr>
          <w:rFonts w:ascii="Open Sans" w:hAnsi="Open Sans" w:cs="Open Sans"/>
          <w:sz w:val="24"/>
          <w:szCs w:val="24"/>
        </w:rPr>
        <w:t xml:space="preserve">Nesse contexto, a fiscalização exercida pelo Ministério Público do Trabalho, por meio da Ação Civil Pública, revela-se essencial para garantir que a </w:t>
      </w:r>
      <w:proofErr w:type="gramStart"/>
      <w:r w:rsidR="00B5549E" w:rsidRPr="00436BA2">
        <w:rPr>
          <w:rFonts w:ascii="Open Sans" w:hAnsi="Open Sans" w:cs="Open Sans"/>
          <w:sz w:val="24"/>
          <w:szCs w:val="24"/>
        </w:rPr>
        <w:t>flexibilização</w:t>
      </w:r>
      <w:proofErr w:type="gramEnd"/>
      <w:r w:rsidR="00B5549E" w:rsidRPr="00436BA2">
        <w:rPr>
          <w:rFonts w:ascii="Open Sans" w:hAnsi="Open Sans" w:cs="Open Sans"/>
          <w:sz w:val="24"/>
          <w:szCs w:val="24"/>
        </w:rPr>
        <w:t xml:space="preserve"> não se transforme em precarização. A tutela inibitória, aqui, atua como sentinela do ordenamento, impedindo que cláusulas flagrantemente ilegais perpetuem-se no tempo.</w:t>
      </w:r>
      <w:r w:rsidRPr="00436BA2">
        <w:rPr>
          <w:rFonts w:ascii="Open Sans" w:hAnsi="Open Sans" w:cs="Open Sans"/>
          <w:sz w:val="24"/>
          <w:szCs w:val="24"/>
        </w:rPr>
        <w:t xml:space="preserve"> </w:t>
      </w:r>
      <w:r w:rsidR="00B5549E" w:rsidRPr="00436BA2">
        <w:rPr>
          <w:rFonts w:ascii="Open Sans" w:hAnsi="Open Sans" w:cs="Open Sans"/>
          <w:bCs/>
          <w:sz w:val="24"/>
          <w:szCs w:val="24"/>
        </w:rPr>
        <w:t>V</w:t>
      </w:r>
      <w:r w:rsidR="00B5549E" w:rsidRPr="00436BA2">
        <w:rPr>
          <w:rFonts w:ascii="Open Sans" w:hAnsi="Open Sans" w:cs="Open Sans"/>
          <w:sz w:val="24"/>
          <w:szCs w:val="24"/>
        </w:rPr>
        <w:t xml:space="preserve">. A partir desse norte, então, avaliar-se-á a </w:t>
      </w:r>
      <w:proofErr w:type="spellStart"/>
      <w:r w:rsidR="00B5549E" w:rsidRPr="00436BA2">
        <w:rPr>
          <w:rFonts w:ascii="Open Sans" w:hAnsi="Open Sans" w:cs="Open Sans"/>
          <w:sz w:val="24"/>
          <w:szCs w:val="24"/>
        </w:rPr>
        <w:t>jurisdicidade</w:t>
      </w:r>
      <w:proofErr w:type="spellEnd"/>
      <w:r w:rsidR="00B5549E" w:rsidRPr="00436BA2">
        <w:rPr>
          <w:rFonts w:ascii="Open Sans" w:hAnsi="Open Sans" w:cs="Open Sans"/>
          <w:sz w:val="24"/>
          <w:szCs w:val="24"/>
        </w:rPr>
        <w:t xml:space="preserve"> do teor das tratativas coletivas, objeto da presente Ação Civil Pública.</w:t>
      </w:r>
      <w:r w:rsidRPr="00436BA2">
        <w:rPr>
          <w:rFonts w:ascii="Open Sans" w:hAnsi="Open Sans" w:cs="Open Sans"/>
          <w:sz w:val="24"/>
          <w:szCs w:val="24"/>
        </w:rPr>
        <w:t xml:space="preserve"> </w:t>
      </w:r>
      <w:r w:rsidR="00B5549E" w:rsidRPr="00436BA2">
        <w:rPr>
          <w:rFonts w:ascii="Open Sans" w:hAnsi="Open Sans" w:cs="Open Sans"/>
          <w:bCs/>
          <w:sz w:val="24"/>
          <w:szCs w:val="24"/>
        </w:rPr>
        <w:t xml:space="preserve">VI. </w:t>
      </w:r>
      <w:r w:rsidR="00B5549E" w:rsidRPr="00436BA2">
        <w:rPr>
          <w:rFonts w:ascii="Open Sans" w:hAnsi="Open Sans" w:cs="Open Sans"/>
          <w:sz w:val="24"/>
          <w:szCs w:val="24"/>
        </w:rPr>
        <w:t>Sobre</w:t>
      </w:r>
      <w:r w:rsidR="00B5549E" w:rsidRPr="00436BA2">
        <w:rPr>
          <w:rFonts w:ascii="Open Sans" w:hAnsi="Open Sans" w:cs="Open Sans"/>
          <w:bCs/>
          <w:sz w:val="24"/>
          <w:szCs w:val="24"/>
        </w:rPr>
        <w:t xml:space="preserve"> </w:t>
      </w:r>
      <w:r w:rsidR="00B5549E" w:rsidRPr="00436BA2">
        <w:rPr>
          <w:rFonts w:ascii="Open Sans" w:hAnsi="Open Sans" w:cs="Open Sans"/>
          <w:sz w:val="24"/>
          <w:szCs w:val="24"/>
        </w:rPr>
        <w:t xml:space="preserve">a cláusula que prevê a possibilidade de dispensa do intervalo intrajornada estabelecido no art. 71 da CLT, sob a justificativa de concessão de condições mais benéficas ou sob o manto da autonomia coletiva, com a entrada em vigor da Lei nº 13.467/2017, o legislador estabeleceu um marco divisório claro para a negociação desse intervalo. O artigo 611-A, inciso III, da CLT, dispõe que a convenção coletiva ou o </w:t>
      </w:r>
      <w:r w:rsidR="00B5549E" w:rsidRPr="00436BA2">
        <w:rPr>
          <w:rFonts w:ascii="Open Sans" w:hAnsi="Open Sans" w:cs="Open Sans"/>
          <w:sz w:val="24"/>
          <w:szCs w:val="24"/>
        </w:rPr>
        <w:lastRenderedPageBreak/>
        <w:t xml:space="preserve">acordo coletivo de trabalho têm prevalência sobre a lei quando dispuserem sobre o intervalo intrajornada, </w:t>
      </w:r>
      <w:r w:rsidR="00361128">
        <w:rPr>
          <w:rFonts w:ascii="Open Sans" w:hAnsi="Open Sans" w:cs="Open Sans"/>
          <w:sz w:val="24"/>
          <w:szCs w:val="24"/>
        </w:rPr>
        <w:t>‘</w:t>
      </w:r>
      <w:r w:rsidR="00B5549E" w:rsidRPr="00436BA2">
        <w:rPr>
          <w:rFonts w:ascii="Open Sans" w:hAnsi="Open Sans" w:cs="Open Sans"/>
          <w:sz w:val="24"/>
          <w:szCs w:val="24"/>
        </w:rPr>
        <w:t xml:space="preserve">respeitado o limite mínimo de trinta minutos para jornadas superiores </w:t>
      </w:r>
      <w:proofErr w:type="gramStart"/>
      <w:r w:rsidR="00B5549E" w:rsidRPr="00436BA2">
        <w:rPr>
          <w:rFonts w:ascii="Open Sans" w:hAnsi="Open Sans" w:cs="Open Sans"/>
          <w:sz w:val="24"/>
          <w:szCs w:val="24"/>
        </w:rPr>
        <w:t>a</w:t>
      </w:r>
      <w:proofErr w:type="gramEnd"/>
      <w:r w:rsidR="00B5549E" w:rsidRPr="00436BA2">
        <w:rPr>
          <w:rFonts w:ascii="Open Sans" w:hAnsi="Open Sans" w:cs="Open Sans"/>
          <w:sz w:val="24"/>
          <w:szCs w:val="24"/>
        </w:rPr>
        <w:t xml:space="preserve"> seis horas</w:t>
      </w:r>
      <w:r w:rsidR="00361128">
        <w:rPr>
          <w:rFonts w:ascii="Open Sans" w:hAnsi="Open Sans" w:cs="Open Sans"/>
          <w:sz w:val="24"/>
          <w:szCs w:val="24"/>
        </w:rPr>
        <w:t>’</w:t>
      </w:r>
      <w:r w:rsidR="00B5549E" w:rsidRPr="00436BA2">
        <w:rPr>
          <w:rFonts w:ascii="Open Sans" w:hAnsi="Open Sans" w:cs="Open Sans"/>
          <w:sz w:val="24"/>
          <w:szCs w:val="24"/>
        </w:rPr>
        <w:t xml:space="preserve">. Ao aplicarmos a técnica do </w:t>
      </w:r>
      <w:proofErr w:type="spellStart"/>
      <w:r w:rsidR="00B5549E" w:rsidRPr="00361128">
        <w:rPr>
          <w:rFonts w:ascii="Open Sans" w:hAnsi="Open Sans" w:cs="Open Sans"/>
          <w:i/>
          <w:sz w:val="24"/>
          <w:szCs w:val="24"/>
        </w:rPr>
        <w:t>distinguishing</w:t>
      </w:r>
      <w:proofErr w:type="spellEnd"/>
      <w:r w:rsidR="00B5549E" w:rsidRPr="00436BA2">
        <w:rPr>
          <w:rFonts w:ascii="Open Sans" w:hAnsi="Open Sans" w:cs="Open Sans"/>
          <w:sz w:val="24"/>
          <w:szCs w:val="24"/>
        </w:rPr>
        <w:t xml:space="preserve"> em relação ao precedente vinculante do STF (Tema 1046), observa-se que a Suprema Corte ressalvou os direitos absolutamente indisponíveis. No caso do intervalo intrajornada, a indisponibilidade é duplamente qualificada, por um prisma constitucional, por se tratar de norma de saúde e segurança do trabalho, essencial à recomposição física e mental do trabalhador e à redução dos riscos de acidentes; e legal, porque o próprio texto da Reforma Trabalhista de 2017 (art. 611-B, XVII, da CLT) veda expressamente a supressão ou redução de normas de saúde e segurança, permitindo a </w:t>
      </w:r>
      <w:proofErr w:type="gramStart"/>
      <w:r w:rsidR="00B5549E" w:rsidRPr="00436BA2">
        <w:rPr>
          <w:rFonts w:ascii="Open Sans" w:hAnsi="Open Sans" w:cs="Open Sans"/>
          <w:sz w:val="24"/>
          <w:szCs w:val="24"/>
        </w:rPr>
        <w:t>flexibilização</w:t>
      </w:r>
      <w:proofErr w:type="gramEnd"/>
      <w:r w:rsidR="00B5549E" w:rsidRPr="00436BA2">
        <w:rPr>
          <w:rFonts w:ascii="Open Sans" w:hAnsi="Open Sans" w:cs="Open Sans"/>
          <w:sz w:val="24"/>
          <w:szCs w:val="24"/>
        </w:rPr>
        <w:t xml:space="preserve"> do intervalo apenas dentro da baliza dos 30 minutos (Art. 611-A, III, da CLT). Portanto, em regra, qualquer tratativa coletiva que tenda a suprimir de forma hermética o intervalo para descanso e alimentação padece de nulidade absoluta por vício de objeto, pois </w:t>
      </w:r>
      <w:proofErr w:type="spellStart"/>
      <w:r w:rsidR="00B5549E" w:rsidRPr="00436BA2">
        <w:rPr>
          <w:rFonts w:ascii="Open Sans" w:hAnsi="Open Sans" w:cs="Open Sans"/>
          <w:sz w:val="24"/>
          <w:szCs w:val="24"/>
        </w:rPr>
        <w:t>transgride</w:t>
      </w:r>
      <w:proofErr w:type="spellEnd"/>
      <w:r w:rsidR="00B5549E" w:rsidRPr="00436BA2">
        <w:rPr>
          <w:rFonts w:ascii="Open Sans" w:hAnsi="Open Sans" w:cs="Open Sans"/>
          <w:sz w:val="24"/>
          <w:szCs w:val="24"/>
        </w:rPr>
        <w:t xml:space="preserve"> o patamar mínimo civilizatório e a proibição legal expressa. Neste cenário, a tutela inibitória revela-se o instrumento processual vocacionado a impedir que os sindicatos demandados, sob o pretexto de exercerem a autonomia coletiva, instituam normas que coloquem em risco a integridade dos trabalhadores. </w:t>
      </w:r>
      <w:r w:rsidR="00B5549E" w:rsidRPr="00436BA2">
        <w:rPr>
          <w:rFonts w:ascii="Open Sans" w:hAnsi="Open Sans" w:cs="Open Sans"/>
          <w:bCs/>
          <w:sz w:val="24"/>
          <w:szCs w:val="24"/>
        </w:rPr>
        <w:t xml:space="preserve">VII. </w:t>
      </w:r>
      <w:r w:rsidR="00B5549E" w:rsidRPr="00436BA2">
        <w:rPr>
          <w:rFonts w:ascii="Open Sans" w:hAnsi="Open Sans" w:cs="Open Sans"/>
          <w:sz w:val="24"/>
          <w:szCs w:val="24"/>
        </w:rPr>
        <w:t>No que se refere</w:t>
      </w:r>
      <w:r w:rsidR="00B5549E" w:rsidRPr="00436BA2">
        <w:rPr>
          <w:rFonts w:ascii="Open Sans" w:hAnsi="Open Sans" w:cs="Open Sans"/>
          <w:bCs/>
          <w:sz w:val="24"/>
          <w:szCs w:val="24"/>
        </w:rPr>
        <w:t xml:space="preserve"> </w:t>
      </w:r>
      <w:proofErr w:type="gramStart"/>
      <w:r w:rsidR="00B5549E" w:rsidRPr="00436BA2">
        <w:rPr>
          <w:rFonts w:ascii="Open Sans" w:hAnsi="Open Sans" w:cs="Open Sans"/>
          <w:sz w:val="24"/>
          <w:szCs w:val="24"/>
        </w:rPr>
        <w:t>a</w:t>
      </w:r>
      <w:proofErr w:type="gramEnd"/>
      <w:r w:rsidR="00B5549E" w:rsidRPr="00436BA2">
        <w:rPr>
          <w:rFonts w:ascii="Open Sans" w:hAnsi="Open Sans" w:cs="Open Sans"/>
          <w:sz w:val="24"/>
          <w:szCs w:val="24"/>
        </w:rPr>
        <w:t xml:space="preserve"> cláusula que estabelece o custeio da entidade sindical obreira por meio de aportes financeiros diretos da categoria econômica (empregadores), a despeito da controvérsia acerca da validade de cláusulas que estipulam o aporte de recursos patronais em favor de entidades sindicais obreiras, a pretensão de tutela inibitória formulada pelo parquet, consistente na proibição abstrata e futura de inserção de tais dispositivos, encontra óbices constitucionais intransponíveis. A Constituição da República de 1988, em seu art. 8º, I, ao vedar ao Poder Público a interferência e a intervenção na organização sindical, estabeleceu um </w:t>
      </w:r>
      <w:r w:rsidR="00361128">
        <w:rPr>
          <w:rFonts w:ascii="Open Sans" w:hAnsi="Open Sans" w:cs="Open Sans"/>
          <w:sz w:val="24"/>
          <w:szCs w:val="24"/>
        </w:rPr>
        <w:t>‘</w:t>
      </w:r>
      <w:r w:rsidR="00B5549E" w:rsidRPr="00436BA2">
        <w:rPr>
          <w:rFonts w:ascii="Open Sans" w:hAnsi="Open Sans" w:cs="Open Sans"/>
          <w:sz w:val="24"/>
          <w:szCs w:val="24"/>
        </w:rPr>
        <w:t>espaço de reserva</w:t>
      </w:r>
      <w:r w:rsidR="00361128">
        <w:rPr>
          <w:rFonts w:ascii="Open Sans" w:hAnsi="Open Sans" w:cs="Open Sans"/>
          <w:sz w:val="24"/>
          <w:szCs w:val="24"/>
        </w:rPr>
        <w:t>’</w:t>
      </w:r>
      <w:r w:rsidR="00B5549E" w:rsidRPr="00436BA2">
        <w:rPr>
          <w:rFonts w:ascii="Open Sans" w:hAnsi="Open Sans" w:cs="Open Sans"/>
          <w:sz w:val="24"/>
          <w:szCs w:val="24"/>
        </w:rPr>
        <w:t xml:space="preserve"> para a atuação dos entes coletivos. A imposição de uma obrigação de não fazer que impeça, de antemão, a discussão e a inclusão de matérias em instrumentos normativos configura uma intervenção estatal precoce na dinâmica da negociação coletiva. É fundamental distinguir o controle repressivo do controle preventivo, nos seguintes moldes: a) controle repressivo (</w:t>
      </w:r>
      <w:proofErr w:type="spellStart"/>
      <w:r w:rsidR="00B5549E" w:rsidRPr="00DA361E">
        <w:rPr>
          <w:rFonts w:ascii="Open Sans" w:hAnsi="Open Sans" w:cs="Open Sans"/>
          <w:i/>
          <w:sz w:val="24"/>
          <w:szCs w:val="24"/>
        </w:rPr>
        <w:t>ex</w:t>
      </w:r>
      <w:proofErr w:type="spellEnd"/>
      <w:r w:rsidR="00B5549E" w:rsidRPr="00DA361E">
        <w:rPr>
          <w:rFonts w:ascii="Open Sans" w:hAnsi="Open Sans" w:cs="Open Sans"/>
          <w:i/>
          <w:sz w:val="24"/>
          <w:szCs w:val="24"/>
        </w:rPr>
        <w:t xml:space="preserve"> post</w:t>
      </w:r>
      <w:r w:rsidR="00B5549E" w:rsidRPr="00436BA2">
        <w:rPr>
          <w:rFonts w:ascii="Open Sans" w:hAnsi="Open Sans" w:cs="Open Sans"/>
          <w:sz w:val="24"/>
          <w:szCs w:val="24"/>
        </w:rPr>
        <w:t xml:space="preserve">): eventuais ilegalidades ou atos de </w:t>
      </w:r>
      <w:proofErr w:type="gramStart"/>
      <w:r w:rsidR="00B5549E" w:rsidRPr="00436BA2">
        <w:rPr>
          <w:rFonts w:ascii="Open Sans" w:hAnsi="Open Sans" w:cs="Open Sans"/>
          <w:sz w:val="24"/>
          <w:szCs w:val="24"/>
        </w:rPr>
        <w:t>ingerência comprovados em cláusulas já firmadas</w:t>
      </w:r>
      <w:proofErr w:type="gramEnd"/>
      <w:r w:rsidR="00B5549E" w:rsidRPr="00436BA2">
        <w:rPr>
          <w:rFonts w:ascii="Open Sans" w:hAnsi="Open Sans" w:cs="Open Sans"/>
          <w:sz w:val="24"/>
          <w:szCs w:val="24"/>
        </w:rPr>
        <w:t xml:space="preserve"> podem e devem ser alvo de anulação pelo Poder Judiciário, quando provocado em casos concretos. b) controle preventivo (</w:t>
      </w:r>
      <w:proofErr w:type="spellStart"/>
      <w:r w:rsidR="00B5549E" w:rsidRPr="00DF6AFF">
        <w:rPr>
          <w:rFonts w:ascii="Open Sans" w:hAnsi="Open Sans" w:cs="Open Sans"/>
          <w:i/>
          <w:sz w:val="24"/>
          <w:szCs w:val="24"/>
        </w:rPr>
        <w:t>ex</w:t>
      </w:r>
      <w:proofErr w:type="spellEnd"/>
      <w:r w:rsidR="00B5549E" w:rsidRPr="00DF6AFF">
        <w:rPr>
          <w:rFonts w:ascii="Open Sans" w:hAnsi="Open Sans" w:cs="Open Sans"/>
          <w:i/>
          <w:sz w:val="24"/>
          <w:szCs w:val="24"/>
        </w:rPr>
        <w:t xml:space="preserve"> ante</w:t>
      </w:r>
      <w:r w:rsidR="00B5549E" w:rsidRPr="00436BA2">
        <w:rPr>
          <w:rFonts w:ascii="Open Sans" w:hAnsi="Open Sans" w:cs="Open Sans"/>
          <w:sz w:val="24"/>
          <w:szCs w:val="24"/>
        </w:rPr>
        <w:t xml:space="preserve">): a concessão de tutela inibitória para proibir negociações futuras sobre o tema traduz-se em flagrante violação do art. 7º, XXVI, da Constituição da República, naquilo que o Tema 1046 exaltou, pois inibe o próprio exercício da autonomia privada coletiva.  À míngua de prova de que o repasse de valores resulte em efetiva submissão ou perda de independência do sindicato profissional, fato este que não se presume, não se justifica a medida extrema da inibitória. A propósito, o art. 2º, itens </w:t>
      </w:r>
      <w:proofErr w:type="gramStart"/>
      <w:r w:rsidR="00B5549E" w:rsidRPr="00436BA2">
        <w:rPr>
          <w:rFonts w:ascii="Open Sans" w:hAnsi="Open Sans" w:cs="Open Sans"/>
          <w:sz w:val="24"/>
          <w:szCs w:val="24"/>
        </w:rPr>
        <w:t>1</w:t>
      </w:r>
      <w:proofErr w:type="gramEnd"/>
      <w:r w:rsidR="00B5549E" w:rsidRPr="00436BA2">
        <w:rPr>
          <w:rFonts w:ascii="Open Sans" w:hAnsi="Open Sans" w:cs="Open Sans"/>
          <w:sz w:val="24"/>
          <w:szCs w:val="24"/>
        </w:rPr>
        <w:t xml:space="preserve"> e 2, da Convenção 98 da OIT,  ratificada pelo Brasil, estabelece que o financiamento patronal de entidade sindical obreira é objetivamente identificado como meio de colocar as organizações de trabalhadores sob o controle de um empregador ou organização de empregadores. Esta vedação objetiva não está condicionada à prova de efetiva dominação no caso concreto, mas visa garantir o próprio pilar da democracia e da autonomia sindical. Revela-se claro, pois, que tal norma supralegal, detém caráter restritivo a atos de ingerência nas atividades sindicais, mas o financiamento do sindicato não se mostra ofensivo </w:t>
      </w:r>
      <w:proofErr w:type="gramStart"/>
      <w:r w:rsidR="00B5549E" w:rsidRPr="00436BA2">
        <w:rPr>
          <w:rFonts w:ascii="Open Sans" w:hAnsi="Open Sans" w:cs="Open Sans"/>
          <w:sz w:val="24"/>
          <w:szCs w:val="24"/>
        </w:rPr>
        <w:t>a</w:t>
      </w:r>
      <w:proofErr w:type="gramEnd"/>
      <w:r w:rsidR="00B5549E" w:rsidRPr="00436BA2">
        <w:rPr>
          <w:rFonts w:ascii="Open Sans" w:hAnsi="Open Sans" w:cs="Open Sans"/>
          <w:sz w:val="24"/>
          <w:szCs w:val="24"/>
        </w:rPr>
        <w:t xml:space="preserve"> legitimidade do ente coletivo para negociar, afastando-se da ideia do </w:t>
      </w:r>
      <w:r w:rsidR="00361128">
        <w:rPr>
          <w:rFonts w:ascii="Open Sans" w:hAnsi="Open Sans" w:cs="Open Sans"/>
          <w:sz w:val="24"/>
          <w:szCs w:val="24"/>
        </w:rPr>
        <w:lastRenderedPageBreak/>
        <w:t>‘</w:t>
      </w:r>
      <w:r w:rsidR="00B5549E" w:rsidRPr="00436BA2">
        <w:rPr>
          <w:rFonts w:ascii="Open Sans" w:hAnsi="Open Sans" w:cs="Open Sans"/>
          <w:sz w:val="24"/>
          <w:szCs w:val="24"/>
        </w:rPr>
        <w:t>Sindicato Amarelo</w:t>
      </w:r>
      <w:r w:rsidR="00361128">
        <w:rPr>
          <w:rFonts w:ascii="Open Sans" w:hAnsi="Open Sans" w:cs="Open Sans"/>
          <w:sz w:val="24"/>
          <w:szCs w:val="24"/>
        </w:rPr>
        <w:t>’</w:t>
      </w:r>
      <w:r w:rsidR="00B5549E" w:rsidRPr="00436BA2">
        <w:rPr>
          <w:rFonts w:ascii="Open Sans" w:hAnsi="Open Sans" w:cs="Open Sans"/>
          <w:sz w:val="24"/>
          <w:szCs w:val="24"/>
        </w:rPr>
        <w:t xml:space="preserve"> (</w:t>
      </w:r>
      <w:proofErr w:type="spellStart"/>
      <w:r w:rsidR="00B5549E" w:rsidRPr="00DA361E">
        <w:rPr>
          <w:rFonts w:ascii="Open Sans" w:hAnsi="Open Sans" w:cs="Open Sans"/>
          <w:i/>
          <w:sz w:val="24"/>
          <w:szCs w:val="24"/>
        </w:rPr>
        <w:t>Yellow</w:t>
      </w:r>
      <w:proofErr w:type="spellEnd"/>
      <w:r w:rsidR="00B5549E" w:rsidRPr="00DA361E">
        <w:rPr>
          <w:rFonts w:ascii="Open Sans" w:hAnsi="Open Sans" w:cs="Open Sans"/>
          <w:i/>
          <w:sz w:val="24"/>
          <w:szCs w:val="24"/>
        </w:rPr>
        <w:t xml:space="preserve"> Union</w:t>
      </w:r>
      <w:r w:rsidR="00B5549E" w:rsidRPr="00436BA2">
        <w:rPr>
          <w:rFonts w:ascii="Open Sans" w:hAnsi="Open Sans" w:cs="Open Sans"/>
          <w:sz w:val="24"/>
          <w:szCs w:val="24"/>
        </w:rPr>
        <w:t xml:space="preserve">), destituído de força de embate, porquanto, como visto, não cabe deduzir, sem qualquer outro elemento fático específico, que tal tratativa pretenda amarrar as iniciativas sindicais em defesa dos seus sindicalizados. Pelo exposto, não obstante o zelo do Ministério Público do Trabalho, entendo que a pretensão inibitória desse </w:t>
      </w:r>
      <w:proofErr w:type="gramStart"/>
      <w:r w:rsidR="00B5549E" w:rsidRPr="00436BA2">
        <w:rPr>
          <w:rFonts w:ascii="Open Sans" w:hAnsi="Open Sans" w:cs="Open Sans"/>
          <w:sz w:val="24"/>
          <w:szCs w:val="24"/>
        </w:rPr>
        <w:t>jaez</w:t>
      </w:r>
      <w:proofErr w:type="gramEnd"/>
      <w:r w:rsidR="00B5549E" w:rsidRPr="00436BA2">
        <w:rPr>
          <w:rFonts w:ascii="Open Sans" w:hAnsi="Open Sans" w:cs="Open Sans"/>
          <w:sz w:val="24"/>
          <w:szCs w:val="24"/>
        </w:rPr>
        <w:t xml:space="preserve"> configura uma restrição indevida à liberdade de negociação. </w:t>
      </w:r>
      <w:r w:rsidR="00B5549E" w:rsidRPr="00436BA2">
        <w:rPr>
          <w:rFonts w:ascii="Open Sans" w:hAnsi="Open Sans" w:cs="Open Sans"/>
          <w:bCs/>
          <w:sz w:val="24"/>
          <w:szCs w:val="24"/>
        </w:rPr>
        <w:t xml:space="preserve">VIII. </w:t>
      </w:r>
      <w:r w:rsidR="00B5549E" w:rsidRPr="00436BA2">
        <w:rPr>
          <w:rFonts w:ascii="Open Sans" w:hAnsi="Open Sans" w:cs="Open Sans"/>
          <w:sz w:val="24"/>
          <w:szCs w:val="24"/>
        </w:rPr>
        <w:t>Também no que toca a</w:t>
      </w:r>
      <w:r w:rsidR="00B5549E" w:rsidRPr="00436BA2">
        <w:rPr>
          <w:rFonts w:ascii="Open Sans" w:hAnsi="Open Sans" w:cs="Open Sans"/>
          <w:bCs/>
          <w:sz w:val="24"/>
          <w:szCs w:val="24"/>
        </w:rPr>
        <w:t xml:space="preserve"> </w:t>
      </w:r>
      <w:r w:rsidR="00B5549E" w:rsidRPr="00436BA2">
        <w:rPr>
          <w:rFonts w:ascii="Open Sans" w:hAnsi="Open Sans" w:cs="Open Sans"/>
          <w:sz w:val="24"/>
          <w:szCs w:val="24"/>
        </w:rPr>
        <w:t xml:space="preserve">norma coletiva que estabelece a substituição da estabilidade provisória do empregado em serviço militar pela liberação dos depósitos do FGTS e o pagamento de um salário adicional, além do aviso prévio, o Ministério Público do Trabalho sustenta que tal conversão afronta o art. 472 da CLT. Segundo o referido dispositivo, </w:t>
      </w:r>
      <w:r w:rsidR="00361128" w:rsidRPr="00D46998">
        <w:rPr>
          <w:rFonts w:ascii="Open Sans" w:hAnsi="Open Sans" w:cs="Open Sans"/>
          <w:iCs/>
          <w:sz w:val="24"/>
          <w:szCs w:val="24"/>
        </w:rPr>
        <w:t>‘</w:t>
      </w:r>
      <w:r w:rsidR="00B5549E" w:rsidRPr="00D46998">
        <w:rPr>
          <w:rFonts w:ascii="Open Sans" w:hAnsi="Open Sans" w:cs="Open Sans"/>
          <w:iCs/>
          <w:sz w:val="24"/>
          <w:szCs w:val="24"/>
        </w:rPr>
        <w:t>o afastamento do empregado em virtude das exigências do serviço militar, ou de outro encargo público, não constituirá motivo para alteração ou rescisão do contrato de trabalho por parte do empregador</w:t>
      </w:r>
      <w:r w:rsidR="00361128" w:rsidRPr="00D46998">
        <w:rPr>
          <w:rFonts w:ascii="Open Sans" w:hAnsi="Open Sans" w:cs="Open Sans"/>
          <w:iCs/>
          <w:sz w:val="24"/>
          <w:szCs w:val="24"/>
        </w:rPr>
        <w:t>’</w:t>
      </w:r>
      <w:r w:rsidR="00B5549E" w:rsidRPr="00436BA2">
        <w:rPr>
          <w:rFonts w:ascii="Open Sans" w:hAnsi="Open Sans" w:cs="Open Sans"/>
          <w:sz w:val="24"/>
          <w:szCs w:val="24"/>
        </w:rPr>
        <w:t xml:space="preserve">. Assegurar, assim, o retorno ao emprego, estipulando uma indenização substitutiva superior aos parâmetros legais não configura, por si só, uma afronta ao patamar civilizatório mínimo. No âmbito do Direito Coletivo, as partes podem entender que, para determinada categoria ou realidade econômica, a compensação financeira imediata é mais benéfica ou adequada aos interesses dos trabalhadores do que a manutenção forçada do vínculo. A garantia de emprego do conscrito, embora relevante, não integra o rol de direitos absolutamente indisponíveis taxativamente elencados ou interpretados como tal pelo STF. Tratando-se de direito de cunho eminentemente patrimonial e laboral, incide a tese da prevalência do negociado sobre o legislado. Se o STF autoriza a limitação de direitos mediante concessões recíprocas, a escolha das entidades sindicais pela monetização de uma garantia de estabilidade, conferindo ao trabalhador um aporte financeiro no momento de sua desmobilização militar, deve ser respeitada como expressão da vontade coletiva. Tal como fundamentado em relação à Cláusula 79ª, a concessão de tutela inibitória para impedir que os réus sequer discutam ou prevejam tal substituição em futuras normas coletivas configura indevida ingerência estatal na autonomia sindical (art. 8º, I, da Constituição da República). </w:t>
      </w:r>
      <w:r w:rsidR="00B5549E" w:rsidRPr="00436BA2">
        <w:rPr>
          <w:rFonts w:ascii="Open Sans" w:hAnsi="Open Sans" w:cs="Open Sans"/>
          <w:bCs/>
          <w:sz w:val="24"/>
          <w:szCs w:val="24"/>
        </w:rPr>
        <w:t xml:space="preserve">IX. </w:t>
      </w:r>
      <w:proofErr w:type="gramStart"/>
      <w:r w:rsidR="00B5549E" w:rsidRPr="00436BA2">
        <w:rPr>
          <w:rFonts w:ascii="Open Sans" w:hAnsi="Open Sans" w:cs="Open Sans"/>
          <w:bCs/>
          <w:sz w:val="24"/>
          <w:szCs w:val="24"/>
        </w:rPr>
        <w:t>Recurso de revista de que se conhece e a que se dá parcial provimento.”</w:t>
      </w:r>
      <w:proofErr w:type="gramEnd"/>
      <w:r w:rsidR="00B5549E" w:rsidRPr="00436BA2">
        <w:rPr>
          <w:rFonts w:ascii="Open Sans" w:hAnsi="Open Sans" w:cs="Open Sans"/>
          <w:bCs/>
          <w:sz w:val="24"/>
          <w:szCs w:val="24"/>
        </w:rPr>
        <w:t xml:space="preserve"> </w:t>
      </w:r>
      <w:r w:rsidR="00B5549E" w:rsidRPr="00436BA2">
        <w:rPr>
          <w:rFonts w:ascii="Open Sans" w:hAnsi="Open Sans" w:cs="Open Sans"/>
          <w:sz w:val="24"/>
          <w:szCs w:val="24"/>
        </w:rPr>
        <w:t>(</w:t>
      </w:r>
      <w:hyperlink r:id="rId37" w:history="1">
        <w:r w:rsidR="00B5549E" w:rsidRPr="00B95782">
          <w:rPr>
            <w:rStyle w:val="Hyperlink"/>
            <w:rFonts w:ascii="Open Sans" w:hAnsi="Open Sans" w:cs="Open Sans"/>
            <w:bCs/>
            <w:sz w:val="24"/>
            <w:szCs w:val="24"/>
          </w:rPr>
          <w:t>TST-RR - 683900-65.2009.5.09.0024</w:t>
        </w:r>
        <w:r w:rsidR="00B5549E" w:rsidRPr="00B95782">
          <w:rPr>
            <w:rStyle w:val="Hyperlink"/>
            <w:rFonts w:ascii="Open Sans" w:hAnsi="Open Sans" w:cs="Open Sans"/>
            <w:sz w:val="24"/>
            <w:szCs w:val="24"/>
          </w:rPr>
          <w:t>,</w:t>
        </w:r>
        <w:r w:rsidRPr="00B95782">
          <w:rPr>
            <w:rStyle w:val="Hyperlink"/>
            <w:rFonts w:ascii="Open Sans" w:hAnsi="Open Sans" w:cs="Open Sans"/>
            <w:sz w:val="24"/>
            <w:szCs w:val="24"/>
          </w:rPr>
          <w:t xml:space="preserve"> 8ª Turma, Rel. Min. Evandro Pereira Valadão Lopes, julgado em 15/4/2026</w:t>
        </w:r>
      </w:hyperlink>
      <w:r>
        <w:rPr>
          <w:rFonts w:ascii="Open Sans" w:hAnsi="Open Sans" w:cs="Open Sans"/>
          <w:sz w:val="24"/>
          <w:szCs w:val="24"/>
        </w:rPr>
        <w:t>)</w:t>
      </w:r>
    </w:p>
    <w:p w:rsidR="00B73EEB" w:rsidRDefault="00B73EEB" w:rsidP="00B5549E">
      <w:pPr>
        <w:widowControl w:val="0"/>
        <w:suppressAutoHyphens/>
        <w:ind w:left="-255" w:right="340"/>
        <w:jc w:val="both"/>
        <w:rPr>
          <w:rFonts w:ascii="Open Sans" w:hAnsi="Open Sans" w:cs="Open Sans"/>
          <w:sz w:val="24"/>
          <w:szCs w:val="24"/>
        </w:rPr>
      </w:pPr>
    </w:p>
    <w:p w:rsidR="00B73EEB" w:rsidRDefault="00B73EEB" w:rsidP="00B5549E">
      <w:pPr>
        <w:widowControl w:val="0"/>
        <w:suppressAutoHyphens/>
        <w:ind w:left="-255" w:right="340"/>
        <w:jc w:val="both"/>
        <w:rPr>
          <w:rFonts w:ascii="Open Sans" w:hAnsi="Open Sans" w:cs="Open Sans"/>
          <w:sz w:val="24"/>
          <w:szCs w:val="24"/>
        </w:rPr>
      </w:pPr>
      <w:r>
        <w:rPr>
          <w:rFonts w:ascii="Open Sans" w:hAnsi="Open Sans" w:cs="Open Sans"/>
          <w:sz w:val="24"/>
          <w:szCs w:val="24"/>
        </w:rPr>
        <w:t>“</w:t>
      </w:r>
      <w:r w:rsidR="004B6AFE" w:rsidRPr="004B6AFE">
        <w:rPr>
          <w:rFonts w:ascii="Open Sans" w:hAnsi="Open Sans" w:cs="Open Sans"/>
          <w:sz w:val="24"/>
          <w:szCs w:val="24"/>
        </w:rPr>
        <w:t xml:space="preserve">RECURSO DE REVISTA INTERPOSTO PELO MINISTÉRIO PÚBLICO DO TRABALHO NA VIGÊNCIA DA LEI N° 13.467/2017. AÇÃO CIVIL PÚBLICA. COTA DE APRENDIZAGEM. BASE DE CÁLCULO. EXCLUSÃO DA CATEGORIA DOS VIGILANTES. PREVISÃO EM NORMA COLETIVA. IMPOSSIBILIDADE. ART. 429, CAPUT, DA CLT. TRANSCENDÊNCIA POLÍTICA CONSTATADA. Nos termos do artigo 429 da CLT e do artigo 10, § 2º, do Decreto nº 5.598/2005, a base de cálculo da cota de aprendizes deve considerar todas as funções que demandem formação profissional constantes da Classificação Brasileira de Ocupações, independentemente de serem proibidas para menores de 18 anos. A jurisprudência desta Corte Superior firmou-se no sentido de que a função de vigilante integra a base de cálculo da aprendizagem, cabendo à empresa compatibilizar a exigência legal contratando aprendizes na faixa etária adequada (21 a 24 anos), conforme a restrição de idade imposta pela Lei nº 7.102/1983. Julgados. </w:t>
      </w:r>
      <w:proofErr w:type="gramStart"/>
      <w:r w:rsidR="004B6AFE" w:rsidRPr="004B6AFE">
        <w:rPr>
          <w:rFonts w:ascii="Open Sans" w:hAnsi="Open Sans" w:cs="Open Sans"/>
          <w:sz w:val="24"/>
          <w:szCs w:val="24"/>
        </w:rPr>
        <w:t>Outrossim</w:t>
      </w:r>
      <w:proofErr w:type="gramEnd"/>
      <w:r w:rsidR="004B6AFE" w:rsidRPr="004B6AFE">
        <w:rPr>
          <w:rFonts w:ascii="Open Sans" w:hAnsi="Open Sans" w:cs="Open Sans"/>
          <w:sz w:val="24"/>
          <w:szCs w:val="24"/>
        </w:rPr>
        <w:t xml:space="preserve">, embora o Supremo Tribunal Federal, no julgamento do Tema 1.046 da Tabela de Repercussão Geral, tenha prestigiado a validade das normas coletivas que limitam ou </w:t>
      </w:r>
      <w:r w:rsidR="004B6AFE" w:rsidRPr="004B6AFE">
        <w:rPr>
          <w:rFonts w:ascii="Open Sans" w:hAnsi="Open Sans" w:cs="Open Sans"/>
          <w:sz w:val="24"/>
          <w:szCs w:val="24"/>
        </w:rPr>
        <w:lastRenderedPageBreak/>
        <w:t>afastam direitos trabalhistas, ressalvou expressamente o patamar civilizatório mínimo consubstanciado nos direitos absolutamente indisponíveis. Nesse sentido, prevalece na SDC deste TST o entendimento de que a alteração da base de cálculo da cota de aprendizagem não pode ser objeto de supressão ou redução normativa, por envolver interesse difuso, o que afasta a legitimidade sindical para transacionar sobre a matéria. No caso, o Regional julgou improcedente a ação civil pública ao validar cláusula de convenção coletiva que excluía os vigilantes da base de cálculo para a contratação de aprendizes da empresa reclamada. Recurso de revista de que se conhece e a que se dá provimento.</w:t>
      </w:r>
      <w:r w:rsidR="004B6AFE">
        <w:rPr>
          <w:rFonts w:ascii="Open Sans" w:hAnsi="Open Sans" w:cs="Open Sans"/>
          <w:sz w:val="24"/>
          <w:szCs w:val="24"/>
        </w:rPr>
        <w:t>”</w:t>
      </w:r>
      <w:r w:rsidRPr="00B73EEB">
        <w:rPr>
          <w:rFonts w:ascii="Open Sans" w:hAnsi="Open Sans" w:cs="Open Sans"/>
          <w:sz w:val="24"/>
          <w:szCs w:val="24"/>
        </w:rPr>
        <w:t xml:space="preserve"> (</w:t>
      </w:r>
      <w:hyperlink r:id="rId38" w:history="1">
        <w:r w:rsidR="004B6AFE">
          <w:rPr>
            <w:rStyle w:val="Hyperlink"/>
            <w:rFonts w:ascii="Open Sans" w:hAnsi="Open Sans" w:cs="Open Sans"/>
            <w:sz w:val="24"/>
            <w:szCs w:val="24"/>
          </w:rPr>
          <w:t>TST-</w:t>
        </w:r>
        <w:r w:rsidR="004B6AFE" w:rsidRPr="004B6AFE">
          <w:t xml:space="preserve"> </w:t>
        </w:r>
        <w:r w:rsidR="004B6AFE" w:rsidRPr="004B6AFE">
          <w:rPr>
            <w:rStyle w:val="Hyperlink"/>
            <w:rFonts w:ascii="Open Sans" w:hAnsi="Open Sans" w:cs="Open Sans"/>
            <w:sz w:val="24"/>
            <w:szCs w:val="24"/>
          </w:rPr>
          <w:t>RR - 921-86.2022.5.17.0131</w:t>
        </w:r>
        <w:r w:rsidRPr="00B73EEB">
          <w:rPr>
            <w:rStyle w:val="Hyperlink"/>
            <w:rFonts w:ascii="Open Sans" w:hAnsi="Open Sans" w:cs="Open Sans"/>
            <w:sz w:val="24"/>
            <w:szCs w:val="24"/>
          </w:rPr>
          <w:t>, 8ª Turma, Rel. Min. Ser</w:t>
        </w:r>
        <w:r w:rsidR="00EA0D21">
          <w:rPr>
            <w:rStyle w:val="Hyperlink"/>
            <w:rFonts w:ascii="Open Sans" w:hAnsi="Open Sans" w:cs="Open Sans"/>
            <w:sz w:val="24"/>
            <w:szCs w:val="24"/>
          </w:rPr>
          <w:t>gio Pinto Martins, julgado em 24/</w:t>
        </w:r>
        <w:r w:rsidRPr="00B73EEB">
          <w:rPr>
            <w:rStyle w:val="Hyperlink"/>
            <w:rFonts w:ascii="Open Sans" w:hAnsi="Open Sans" w:cs="Open Sans"/>
            <w:sz w:val="24"/>
            <w:szCs w:val="24"/>
          </w:rPr>
          <w:t>4/2026</w:t>
        </w:r>
        <w:proofErr w:type="gramStart"/>
      </w:hyperlink>
      <w:r w:rsidR="00250F52">
        <w:rPr>
          <w:rFonts w:ascii="Open Sans" w:hAnsi="Open Sans" w:cs="Open Sans"/>
          <w:sz w:val="24"/>
          <w:szCs w:val="24"/>
        </w:rPr>
        <w:t>)</w:t>
      </w:r>
      <w:proofErr w:type="gramEnd"/>
    </w:p>
    <w:p w:rsidR="00B73EEB" w:rsidRDefault="00B73EEB" w:rsidP="00B5549E">
      <w:pPr>
        <w:widowControl w:val="0"/>
        <w:suppressAutoHyphens/>
        <w:ind w:left="-255" w:right="340"/>
        <w:jc w:val="both"/>
        <w:rPr>
          <w:rFonts w:ascii="Open Sans" w:hAnsi="Open Sans" w:cs="Open Sans"/>
          <w:sz w:val="24"/>
          <w:szCs w:val="24"/>
        </w:rPr>
      </w:pPr>
    </w:p>
    <w:p w:rsidR="00B73EEB" w:rsidRPr="00436BA2" w:rsidRDefault="000500CD" w:rsidP="00B5549E">
      <w:pPr>
        <w:widowControl w:val="0"/>
        <w:suppressAutoHyphens/>
        <w:ind w:left="-255" w:right="340"/>
        <w:jc w:val="both"/>
        <w:rPr>
          <w:rFonts w:ascii="Open Sans" w:hAnsi="Open Sans" w:cs="Open Sans"/>
          <w:sz w:val="24"/>
          <w:szCs w:val="24"/>
        </w:rPr>
      </w:pPr>
      <w:r>
        <w:rPr>
          <w:rFonts w:ascii="Open Sans" w:hAnsi="Open Sans" w:cs="Open Sans"/>
          <w:sz w:val="24"/>
          <w:szCs w:val="24"/>
        </w:rPr>
        <w:t xml:space="preserve">“[...] </w:t>
      </w:r>
      <w:r w:rsidRPr="000500CD">
        <w:rPr>
          <w:rFonts w:ascii="Open Sans" w:hAnsi="Open Sans" w:cs="Open Sans"/>
          <w:sz w:val="24"/>
          <w:szCs w:val="24"/>
        </w:rPr>
        <w:t>RECURSO DE REVISTA. ASSISTÊNCIA JUDICIÁRIA GRATUITA. PRESTAÇÃO DE SERVIÇOS ÀS PESSOAS IDOSAS. ESTATUTO DA PESSOA IDOSA. TRANSCENDÊNCIA RECONHECIDA. De modo geral, a concessão da justiça gratuita a pessoa jurídica depende de comprovação inequívoca da hipossuficiência econômica, nos termos do art. 790, § 4º, da CLT e</w:t>
      </w:r>
      <w:r>
        <w:rPr>
          <w:rFonts w:ascii="Open Sans" w:hAnsi="Open Sans" w:cs="Open Sans"/>
          <w:sz w:val="24"/>
          <w:szCs w:val="24"/>
        </w:rPr>
        <w:t xml:space="preserve"> da Súmula nº 463, II, do TST - </w:t>
      </w:r>
      <w:r w:rsidRPr="000500CD">
        <w:rPr>
          <w:rFonts w:ascii="Open Sans" w:hAnsi="Open Sans" w:cs="Open Sans"/>
          <w:sz w:val="24"/>
          <w:szCs w:val="24"/>
        </w:rPr>
        <w:t xml:space="preserve">independentemente de finalidade lucrativa. Contudo, </w:t>
      </w:r>
      <w:proofErr w:type="gramStart"/>
      <w:r w:rsidRPr="000500CD">
        <w:rPr>
          <w:rFonts w:ascii="Open Sans" w:hAnsi="Open Sans" w:cs="Open Sans"/>
          <w:sz w:val="24"/>
          <w:szCs w:val="24"/>
        </w:rPr>
        <w:t>há expressa</w:t>
      </w:r>
      <w:proofErr w:type="gramEnd"/>
      <w:r w:rsidRPr="000500CD">
        <w:rPr>
          <w:rFonts w:ascii="Open Sans" w:hAnsi="Open Sans" w:cs="Open Sans"/>
          <w:sz w:val="24"/>
          <w:szCs w:val="24"/>
        </w:rPr>
        <w:t xml:space="preserve"> previsão no art. 51 da Lei nº 10.741/2003, que, em observância ao princípio da especialidade, afasta a regra geral </w:t>
      </w:r>
      <w:proofErr w:type="spellStart"/>
      <w:r w:rsidRPr="000500CD">
        <w:rPr>
          <w:rFonts w:ascii="Open Sans" w:hAnsi="Open Sans" w:cs="Open Sans"/>
          <w:sz w:val="24"/>
          <w:szCs w:val="24"/>
        </w:rPr>
        <w:t>suso</w:t>
      </w:r>
      <w:proofErr w:type="spellEnd"/>
      <w:r w:rsidR="00732178">
        <w:rPr>
          <w:rFonts w:ascii="Open Sans" w:hAnsi="Open Sans" w:cs="Open Sans"/>
          <w:sz w:val="24"/>
          <w:szCs w:val="24"/>
        </w:rPr>
        <w:t xml:space="preserve"> </w:t>
      </w:r>
      <w:r w:rsidRPr="000500CD">
        <w:rPr>
          <w:rFonts w:ascii="Open Sans" w:hAnsi="Open Sans" w:cs="Open Sans"/>
          <w:sz w:val="24"/>
          <w:szCs w:val="24"/>
        </w:rPr>
        <w:t>mencionada. Com efeito, observa-se que a parte recorrente é organização social que presta serviços à população idosa. Apesar desse fato notó</w:t>
      </w:r>
      <w:r>
        <w:rPr>
          <w:rFonts w:ascii="Open Sans" w:hAnsi="Open Sans" w:cs="Open Sans"/>
          <w:sz w:val="24"/>
          <w:szCs w:val="24"/>
        </w:rPr>
        <w:t>rio, o Regional consignou ser ‘</w:t>
      </w:r>
      <w:r w:rsidRPr="000500CD">
        <w:rPr>
          <w:rFonts w:ascii="Open Sans" w:hAnsi="Open Sans" w:cs="Open Sans"/>
          <w:sz w:val="24"/>
          <w:szCs w:val="24"/>
        </w:rPr>
        <w:t>insuficiente para este fim o simples fato de a ora agravante ser Organização Social, reconhecidamente pelo Poder competente, sem fins lucrativos, que preste serviços à comunidade e/ou assistência à pessoa idosa, por</w:t>
      </w:r>
      <w:r>
        <w:rPr>
          <w:rFonts w:ascii="Open Sans" w:hAnsi="Open Sans" w:cs="Open Sans"/>
          <w:sz w:val="24"/>
          <w:szCs w:val="24"/>
        </w:rPr>
        <w:t xml:space="preserve"> não haver legal nesse sentido’</w:t>
      </w:r>
      <w:r w:rsidRPr="000500CD">
        <w:rPr>
          <w:rFonts w:ascii="Open Sans" w:hAnsi="Open Sans" w:cs="Open Sans"/>
          <w:sz w:val="24"/>
          <w:szCs w:val="24"/>
        </w:rPr>
        <w:t>. Logo, tem-se que a decisão do Tribunal Regional, ao indeferir a concessão de assistência judiciária gratuita, foi proferida com violação literal de disposição de lei federal, cujo cabimento do recurso em sede extraordinária está am</w:t>
      </w:r>
      <w:r>
        <w:rPr>
          <w:rFonts w:ascii="Open Sans" w:hAnsi="Open Sans" w:cs="Open Sans"/>
          <w:sz w:val="24"/>
          <w:szCs w:val="24"/>
        </w:rPr>
        <w:t>parado nos termos do art. 896, ‘c’</w:t>
      </w:r>
      <w:r w:rsidRPr="000500CD">
        <w:rPr>
          <w:rFonts w:ascii="Open Sans" w:hAnsi="Open Sans" w:cs="Open Sans"/>
          <w:sz w:val="24"/>
          <w:szCs w:val="24"/>
        </w:rPr>
        <w:t>, da CLT. Recurso de revista conhecido e provido.</w:t>
      </w:r>
      <w:r w:rsidR="00333A2E">
        <w:rPr>
          <w:rFonts w:ascii="Open Sans" w:hAnsi="Open Sans" w:cs="Open Sans"/>
          <w:sz w:val="24"/>
          <w:szCs w:val="24"/>
        </w:rPr>
        <w:t>”</w:t>
      </w:r>
      <w:r>
        <w:rPr>
          <w:rFonts w:ascii="Open Sans" w:hAnsi="Open Sans" w:cs="Open Sans"/>
          <w:sz w:val="24"/>
          <w:szCs w:val="24"/>
        </w:rPr>
        <w:t xml:space="preserve"> </w:t>
      </w:r>
      <w:r w:rsidRPr="000500CD">
        <w:rPr>
          <w:rFonts w:ascii="Open Sans" w:hAnsi="Open Sans" w:cs="Open Sans"/>
          <w:sz w:val="24"/>
          <w:szCs w:val="24"/>
        </w:rPr>
        <w:t>(</w:t>
      </w:r>
      <w:hyperlink r:id="rId39" w:anchor="2547c11" w:history="1">
        <w:r w:rsidRPr="00C27DD8">
          <w:rPr>
            <w:rStyle w:val="Hyperlink"/>
            <w:rFonts w:ascii="Open Sans" w:hAnsi="Open Sans" w:cs="Open Sans"/>
            <w:sz w:val="24"/>
            <w:szCs w:val="24"/>
          </w:rPr>
          <w:t xml:space="preserve">TST-RR-0000892-08.2023.5.08.0113, 8ª Turma, Rel. Des. </w:t>
        </w:r>
        <w:proofErr w:type="spellStart"/>
        <w:r w:rsidRPr="00C27DD8">
          <w:rPr>
            <w:rStyle w:val="Hyperlink"/>
            <w:rFonts w:ascii="Open Sans" w:hAnsi="Open Sans" w:cs="Open Sans"/>
            <w:sz w:val="24"/>
            <w:szCs w:val="24"/>
          </w:rPr>
          <w:t>Conv</w:t>
        </w:r>
        <w:proofErr w:type="spellEnd"/>
        <w:r w:rsidRPr="00C27DD8">
          <w:rPr>
            <w:rStyle w:val="Hyperlink"/>
            <w:rFonts w:ascii="Open Sans" w:hAnsi="Open Sans" w:cs="Open Sans"/>
            <w:sz w:val="24"/>
            <w:szCs w:val="24"/>
          </w:rPr>
          <w:t xml:space="preserve">. João Pedro </w:t>
        </w:r>
        <w:proofErr w:type="spellStart"/>
        <w:r w:rsidRPr="00C27DD8">
          <w:rPr>
            <w:rStyle w:val="Hyperlink"/>
            <w:rFonts w:ascii="Open Sans" w:hAnsi="Open Sans" w:cs="Open Sans"/>
            <w:sz w:val="24"/>
            <w:szCs w:val="24"/>
          </w:rPr>
          <w:t>Silvestrin</w:t>
        </w:r>
        <w:proofErr w:type="spellEnd"/>
        <w:r w:rsidRPr="00C27DD8">
          <w:rPr>
            <w:rStyle w:val="Hyperlink"/>
            <w:rFonts w:ascii="Open Sans" w:hAnsi="Open Sans" w:cs="Open Sans"/>
            <w:sz w:val="24"/>
            <w:szCs w:val="24"/>
          </w:rPr>
          <w:t>, julgado em 29/4/2026</w:t>
        </w:r>
      </w:hyperlink>
      <w:bookmarkStart w:id="0" w:name="_GoBack"/>
      <w:bookmarkEnd w:id="0"/>
      <w:r w:rsidR="00732178">
        <w:rPr>
          <w:rFonts w:ascii="Open Sans" w:hAnsi="Open Sans" w:cs="Open Sans"/>
          <w:sz w:val="24"/>
          <w:szCs w:val="24"/>
        </w:rPr>
        <w:t>)</w:t>
      </w:r>
    </w:p>
    <w:p w:rsidR="00E07A0C" w:rsidRDefault="00E07A0C" w:rsidP="00EC6C60">
      <w:pPr>
        <w:widowControl w:val="0"/>
        <w:suppressAutoHyphens/>
        <w:ind w:left="-255" w:right="340"/>
        <w:jc w:val="both"/>
        <w:rPr>
          <w:rFonts w:ascii="Open Sans" w:hAnsi="Open Sans" w:cs="Open Sans"/>
          <w:sz w:val="24"/>
          <w:szCs w:val="24"/>
        </w:rPr>
      </w:pPr>
    </w:p>
    <w:p w:rsidR="00C27DD8" w:rsidRDefault="00C27DD8" w:rsidP="00EC6C60">
      <w:pPr>
        <w:widowControl w:val="0"/>
        <w:suppressAutoHyphens/>
        <w:ind w:left="-255" w:right="340"/>
        <w:jc w:val="both"/>
        <w:rPr>
          <w:rFonts w:ascii="Open Sans" w:hAnsi="Open Sans" w:cs="Open Sans"/>
          <w:sz w:val="24"/>
          <w:szCs w:val="24"/>
        </w:rPr>
      </w:pPr>
    </w:p>
    <w:p w:rsidR="00435BDD" w:rsidRDefault="00435BDD" w:rsidP="00EC6C60">
      <w:pPr>
        <w:widowControl w:val="0"/>
        <w:suppressAutoHyphens/>
        <w:ind w:left="-255" w:right="340"/>
        <w:jc w:val="both"/>
        <w:rPr>
          <w:rFonts w:ascii="Open Sans" w:hAnsi="Open Sans" w:cs="Open Sans"/>
          <w:sz w:val="24"/>
          <w:szCs w:val="24"/>
        </w:rPr>
      </w:pPr>
    </w:p>
    <w:p w:rsidR="00435BDD" w:rsidRDefault="00435BDD" w:rsidP="00EC6C60">
      <w:pPr>
        <w:widowControl w:val="0"/>
        <w:suppressAutoHyphens/>
        <w:ind w:left="-255" w:right="340"/>
        <w:jc w:val="both"/>
        <w:rPr>
          <w:rFonts w:ascii="Open Sans" w:hAnsi="Open Sans" w:cs="Open Sans"/>
          <w:sz w:val="24"/>
          <w:szCs w:val="24"/>
        </w:rPr>
      </w:pPr>
    </w:p>
    <w:p w:rsidR="001A7589" w:rsidRPr="003509A3" w:rsidRDefault="001A7589" w:rsidP="009E652F">
      <w:pPr>
        <w:pStyle w:val="Corpodetexto"/>
        <w:pBdr>
          <w:top w:val="single" w:sz="4" w:space="1" w:color="auto"/>
          <w:left w:val="single" w:sz="4" w:space="6" w:color="auto"/>
          <w:bottom w:val="single" w:sz="4" w:space="1" w:color="auto"/>
          <w:right w:val="single" w:sz="4" w:space="1" w:color="auto"/>
        </w:pBdr>
        <w:shd w:val="clear" w:color="auto" w:fill="B8CCE4"/>
        <w:ind w:left="-142" w:right="368" w:firstLine="142"/>
        <w:outlineLvl w:val="0"/>
        <w:rPr>
          <w:rFonts w:ascii="Open Sans" w:hAnsi="Open Sans" w:cs="Open Sans"/>
          <w:b w:val="0"/>
          <w:bCs w:val="0"/>
          <w:snapToGrid w:val="0"/>
          <w:sz w:val="24"/>
          <w:szCs w:val="24"/>
        </w:rPr>
      </w:pPr>
      <w:r w:rsidRPr="003509A3">
        <w:rPr>
          <w:rFonts w:ascii="Open Sans" w:hAnsi="Open Sans" w:cs="Open Sans"/>
          <w:b w:val="0"/>
          <w:bCs w:val="0"/>
          <w:snapToGrid w:val="0"/>
          <w:sz w:val="24"/>
          <w:szCs w:val="24"/>
        </w:rPr>
        <w:t xml:space="preserve">O Informativo TST é mantido pela </w:t>
      </w:r>
    </w:p>
    <w:p w:rsidR="001A7589" w:rsidRPr="003509A3" w:rsidRDefault="001A7589" w:rsidP="009E652F">
      <w:pPr>
        <w:pStyle w:val="Corpodetexto"/>
        <w:pBdr>
          <w:top w:val="single" w:sz="4" w:space="1" w:color="auto"/>
          <w:left w:val="single" w:sz="4" w:space="6" w:color="auto"/>
          <w:bottom w:val="single" w:sz="4" w:space="1" w:color="auto"/>
          <w:right w:val="single" w:sz="4" w:space="1" w:color="auto"/>
        </w:pBdr>
        <w:shd w:val="clear" w:color="auto" w:fill="B8CCE4"/>
        <w:ind w:left="-142" w:right="368" w:firstLine="142"/>
        <w:rPr>
          <w:rFonts w:ascii="Open Sans" w:hAnsi="Open Sans" w:cs="Open Sans"/>
          <w:b w:val="0"/>
          <w:bCs w:val="0"/>
          <w:snapToGrid w:val="0"/>
          <w:sz w:val="24"/>
          <w:szCs w:val="24"/>
        </w:rPr>
      </w:pPr>
      <w:r w:rsidRPr="003509A3">
        <w:rPr>
          <w:rFonts w:ascii="Open Sans" w:hAnsi="Open Sans" w:cs="Open Sans"/>
          <w:b w:val="0"/>
          <w:bCs w:val="0"/>
          <w:snapToGrid w:val="0"/>
          <w:sz w:val="24"/>
          <w:szCs w:val="24"/>
        </w:rPr>
        <w:t>Coordenadoria de Jurisprudência – CJUR.</w:t>
      </w:r>
    </w:p>
    <w:p w:rsidR="001A7589" w:rsidRPr="003509A3" w:rsidRDefault="001A7589" w:rsidP="009E652F">
      <w:pPr>
        <w:pBdr>
          <w:top w:val="single" w:sz="4" w:space="1" w:color="auto"/>
          <w:left w:val="single" w:sz="4" w:space="6" w:color="auto"/>
          <w:bottom w:val="single" w:sz="4" w:space="1" w:color="auto"/>
          <w:right w:val="single" w:sz="4" w:space="1" w:color="auto"/>
        </w:pBdr>
        <w:shd w:val="clear" w:color="auto" w:fill="B8CCE4"/>
        <w:ind w:left="-142" w:right="368" w:firstLine="142"/>
        <w:jc w:val="center"/>
        <w:rPr>
          <w:rFonts w:ascii="Open Sans" w:hAnsi="Open Sans" w:cs="Open Sans"/>
          <w:snapToGrid w:val="0"/>
          <w:sz w:val="24"/>
          <w:szCs w:val="24"/>
        </w:rPr>
      </w:pPr>
    </w:p>
    <w:p w:rsidR="001A7589" w:rsidRPr="003509A3" w:rsidRDefault="005807AB" w:rsidP="009E652F">
      <w:pPr>
        <w:pBdr>
          <w:top w:val="single" w:sz="4" w:space="1" w:color="auto"/>
          <w:left w:val="single" w:sz="4" w:space="6" w:color="auto"/>
          <w:bottom w:val="single" w:sz="4" w:space="1" w:color="auto"/>
          <w:right w:val="single" w:sz="4" w:space="1" w:color="auto"/>
        </w:pBdr>
        <w:shd w:val="clear" w:color="auto" w:fill="B8CCE4"/>
        <w:ind w:left="-142" w:right="368" w:firstLine="142"/>
        <w:jc w:val="center"/>
        <w:rPr>
          <w:rFonts w:ascii="Open Sans" w:hAnsi="Open Sans" w:cs="Open Sans"/>
          <w:snapToGrid w:val="0"/>
          <w:sz w:val="24"/>
          <w:szCs w:val="24"/>
        </w:rPr>
      </w:pPr>
      <w:r>
        <w:rPr>
          <w:rFonts w:ascii="Open Sans" w:hAnsi="Open Sans" w:cs="Open Sans"/>
          <w:snapToGrid w:val="0"/>
          <w:sz w:val="24"/>
          <w:szCs w:val="24"/>
        </w:rPr>
        <w:t>Informações, sugestões ou c</w:t>
      </w:r>
      <w:r w:rsidR="001A7589" w:rsidRPr="003509A3">
        <w:rPr>
          <w:rFonts w:ascii="Open Sans" w:hAnsi="Open Sans" w:cs="Open Sans"/>
          <w:snapToGrid w:val="0"/>
          <w:sz w:val="24"/>
          <w:szCs w:val="24"/>
        </w:rPr>
        <w:t xml:space="preserve">ríticas: (61)3043-4612 ou </w:t>
      </w:r>
      <w:hyperlink r:id="rId40" w:history="1">
        <w:r w:rsidR="001A7589" w:rsidRPr="003509A3">
          <w:rPr>
            <w:rStyle w:val="Hyperlink"/>
            <w:rFonts w:ascii="Open Sans" w:hAnsi="Open Sans" w:cs="Open Sans"/>
            <w:snapToGrid w:val="0"/>
            <w:sz w:val="24"/>
            <w:szCs w:val="24"/>
          </w:rPr>
          <w:t>cjur@tst.jus.br</w:t>
        </w:r>
      </w:hyperlink>
    </w:p>
    <w:p w:rsidR="001A7589" w:rsidRPr="003509A3" w:rsidRDefault="001A7589" w:rsidP="009E652F">
      <w:pPr>
        <w:pBdr>
          <w:top w:val="single" w:sz="4" w:space="1" w:color="auto"/>
          <w:left w:val="single" w:sz="4" w:space="6" w:color="auto"/>
          <w:bottom w:val="single" w:sz="4" w:space="1" w:color="auto"/>
          <w:right w:val="single" w:sz="4" w:space="1" w:color="auto"/>
        </w:pBdr>
        <w:shd w:val="clear" w:color="auto" w:fill="B8CCE4"/>
        <w:ind w:left="-142" w:right="368" w:firstLine="142"/>
        <w:jc w:val="center"/>
        <w:rPr>
          <w:rFonts w:ascii="Open Sans" w:hAnsi="Open Sans" w:cs="Open Sans"/>
          <w:snapToGrid w:val="0"/>
          <w:sz w:val="24"/>
          <w:szCs w:val="24"/>
        </w:rPr>
      </w:pPr>
    </w:p>
    <w:p w:rsidR="001A7589" w:rsidRPr="003509A3" w:rsidRDefault="001A7589" w:rsidP="009E652F">
      <w:pPr>
        <w:pBdr>
          <w:top w:val="single" w:sz="4" w:space="1" w:color="auto"/>
          <w:left w:val="single" w:sz="4" w:space="6" w:color="auto"/>
          <w:bottom w:val="single" w:sz="4" w:space="1" w:color="auto"/>
          <w:right w:val="single" w:sz="4" w:space="1" w:color="auto"/>
        </w:pBdr>
        <w:shd w:val="clear" w:color="auto" w:fill="B8CCE4"/>
        <w:ind w:left="-142" w:right="368" w:firstLine="142"/>
        <w:jc w:val="center"/>
        <w:rPr>
          <w:rFonts w:ascii="Open Sans" w:hAnsi="Open Sans" w:cs="Open Sans"/>
          <w:snapToGrid w:val="0"/>
          <w:sz w:val="24"/>
          <w:szCs w:val="24"/>
        </w:rPr>
      </w:pPr>
      <w:r w:rsidRPr="003509A3">
        <w:rPr>
          <w:rFonts w:ascii="Open Sans" w:hAnsi="Open Sans" w:cs="Open Sans"/>
          <w:snapToGrid w:val="0"/>
          <w:sz w:val="24"/>
          <w:szCs w:val="24"/>
        </w:rPr>
        <w:t xml:space="preserve">Para acessar todas as edições: </w:t>
      </w:r>
      <w:hyperlink r:id="rId41" w:history="1">
        <w:r w:rsidRPr="003509A3">
          <w:rPr>
            <w:rStyle w:val="Hyperlink"/>
            <w:rFonts w:ascii="Open Sans" w:hAnsi="Open Sans" w:cs="Open Sans"/>
            <w:snapToGrid w:val="0"/>
            <w:sz w:val="24"/>
            <w:szCs w:val="24"/>
          </w:rPr>
          <w:t>http://www.tst.jus.br/web/guest/informativo-tst</w:t>
        </w:r>
      </w:hyperlink>
    </w:p>
    <w:p w:rsidR="001A7589" w:rsidRPr="003509A3" w:rsidRDefault="001A7589" w:rsidP="009E652F">
      <w:pPr>
        <w:pBdr>
          <w:top w:val="single" w:sz="4" w:space="1" w:color="auto"/>
          <w:left w:val="single" w:sz="4" w:space="6" w:color="auto"/>
          <w:bottom w:val="single" w:sz="4" w:space="1" w:color="auto"/>
          <w:right w:val="single" w:sz="4" w:space="1" w:color="auto"/>
        </w:pBdr>
        <w:shd w:val="clear" w:color="auto" w:fill="B8CCE4"/>
        <w:ind w:left="-142" w:right="368" w:firstLine="142"/>
        <w:jc w:val="center"/>
        <w:rPr>
          <w:rFonts w:ascii="Open Sans" w:hAnsi="Open Sans" w:cs="Open Sans"/>
          <w:snapToGrid w:val="0"/>
          <w:sz w:val="24"/>
          <w:szCs w:val="24"/>
        </w:rPr>
      </w:pPr>
    </w:p>
    <w:p w:rsidR="001A7589" w:rsidRPr="003509A3" w:rsidRDefault="001A7589" w:rsidP="009E652F">
      <w:pPr>
        <w:pBdr>
          <w:top w:val="single" w:sz="4" w:space="1" w:color="auto"/>
          <w:left w:val="single" w:sz="4" w:space="6" w:color="auto"/>
          <w:bottom w:val="single" w:sz="4" w:space="1" w:color="auto"/>
          <w:right w:val="single" w:sz="4" w:space="1" w:color="auto"/>
        </w:pBdr>
        <w:shd w:val="clear" w:color="auto" w:fill="B8CCE4"/>
        <w:ind w:left="-142" w:right="368" w:firstLine="142"/>
        <w:jc w:val="center"/>
        <w:rPr>
          <w:rFonts w:ascii="Open Sans" w:hAnsi="Open Sans" w:cs="Open Sans"/>
          <w:snapToGrid w:val="0"/>
          <w:sz w:val="24"/>
          <w:szCs w:val="24"/>
        </w:rPr>
      </w:pPr>
      <w:r w:rsidRPr="003509A3">
        <w:rPr>
          <w:rFonts w:ascii="Open Sans" w:hAnsi="Open Sans" w:cs="Open Sans"/>
          <w:snapToGrid w:val="0"/>
          <w:sz w:val="24"/>
          <w:szCs w:val="24"/>
        </w:rPr>
        <w:t xml:space="preserve">Para receber via </w:t>
      </w:r>
      <w:r w:rsidRPr="003509A3">
        <w:rPr>
          <w:rFonts w:ascii="Open Sans" w:hAnsi="Open Sans" w:cs="Open Sans"/>
          <w:i/>
          <w:snapToGrid w:val="0"/>
          <w:sz w:val="24"/>
          <w:szCs w:val="24"/>
        </w:rPr>
        <w:t>e-mail</w:t>
      </w:r>
      <w:r w:rsidRPr="003509A3">
        <w:rPr>
          <w:rFonts w:ascii="Open Sans" w:hAnsi="Open Sans" w:cs="Open Sans"/>
          <w:snapToGrid w:val="0"/>
          <w:sz w:val="24"/>
          <w:szCs w:val="24"/>
        </w:rPr>
        <w:t xml:space="preserve">: </w:t>
      </w:r>
      <w:hyperlink r:id="rId42" w:history="1">
        <w:r w:rsidRPr="003509A3">
          <w:rPr>
            <w:rStyle w:val="Hyperlink"/>
            <w:rFonts w:ascii="Open Sans" w:hAnsi="Open Sans" w:cs="Open Sans"/>
            <w:snapToGrid w:val="0"/>
            <w:sz w:val="24"/>
            <w:szCs w:val="24"/>
          </w:rPr>
          <w:t>http://www.tst.jus.br/push</w:t>
        </w:r>
      </w:hyperlink>
    </w:p>
    <w:p w:rsidR="00ED73E7" w:rsidRDefault="001A7589" w:rsidP="009E652F">
      <w:pPr>
        <w:ind w:left="-284"/>
      </w:pPr>
      <w:r>
        <w:tab/>
      </w:r>
    </w:p>
    <w:p w:rsidR="007735BF" w:rsidRDefault="007735BF" w:rsidP="009E652F">
      <w:pPr>
        <w:ind w:left="-284"/>
      </w:pPr>
    </w:p>
    <w:p w:rsidR="007735BF" w:rsidRPr="00ED73E7" w:rsidRDefault="007735BF" w:rsidP="009E652F">
      <w:pPr>
        <w:ind w:left="-284"/>
      </w:pPr>
    </w:p>
    <w:sectPr w:rsidR="007735BF" w:rsidRPr="00ED73E7" w:rsidSect="009F61FA">
      <w:footerReference w:type="default" r:id="rId43"/>
      <w:headerReference w:type="first" r:id="rId44"/>
      <w:footerReference w:type="first" r:id="rId45"/>
      <w:pgSz w:w="11906" w:h="16838"/>
      <w:pgMar w:top="183" w:right="567" w:bottom="851" w:left="147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EEB" w:rsidRDefault="00B73EEB" w:rsidP="001A7589">
      <w:r>
        <w:separator/>
      </w:r>
    </w:p>
  </w:endnote>
  <w:endnote w:type="continuationSeparator" w:id="0">
    <w:p w:rsidR="00B73EEB" w:rsidRDefault="00B73EEB" w:rsidP="001A7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altName w:val="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357856"/>
      <w:docPartObj>
        <w:docPartGallery w:val="Page Numbers (Bottom of Page)"/>
        <w:docPartUnique/>
      </w:docPartObj>
    </w:sdtPr>
    <w:sdtEndPr/>
    <w:sdtContent>
      <w:sdt>
        <w:sdtPr>
          <w:id w:val="-292905539"/>
          <w:docPartObj>
            <w:docPartGallery w:val="Page Numbers (Bottom of Page)"/>
            <w:docPartUnique/>
          </w:docPartObj>
        </w:sdtPr>
        <w:sdtEndPr/>
        <w:sdtContent>
          <w:p w:rsidR="00B73EEB" w:rsidRDefault="00B73EEB" w:rsidP="00ED73E7">
            <w:pPr>
              <w:pStyle w:val="Rodap"/>
              <w:pBdr>
                <w:top w:val="single" w:sz="4" w:space="1" w:color="auto"/>
              </w:pBdr>
              <w:ind w:left="-284" w:right="367"/>
              <w:jc w:val="right"/>
            </w:pPr>
            <w:r>
              <w:fldChar w:fldCharType="begin"/>
            </w:r>
            <w:r>
              <w:instrText>PAGE   \* MERGEFORMAT</w:instrText>
            </w:r>
            <w:r>
              <w:fldChar w:fldCharType="separate"/>
            </w:r>
            <w:r w:rsidR="00F97453">
              <w:rPr>
                <w:noProof/>
              </w:rPr>
              <w:t>48</w:t>
            </w:r>
            <w:r>
              <w:fldChar w:fldCharType="end"/>
            </w:r>
          </w:p>
        </w:sdtContent>
      </w:sdt>
      <w:p w:rsidR="00B73EEB" w:rsidRDefault="00F97453" w:rsidP="00ED73E7">
        <w:pPr>
          <w:pStyle w:val="Rodap"/>
          <w:jc w:val="right"/>
        </w:pPr>
      </w:p>
    </w:sdtContent>
  </w:sdt>
  <w:p w:rsidR="00B73EEB" w:rsidRDefault="00B73EEB" w:rsidP="00ED73E7">
    <w:pPr>
      <w:pStyle w:val="Rodap"/>
      <w:ind w:left="-284" w:right="36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6021691"/>
      <w:docPartObj>
        <w:docPartGallery w:val="Page Numbers (Bottom of Page)"/>
        <w:docPartUnique/>
      </w:docPartObj>
    </w:sdtPr>
    <w:sdtEndPr/>
    <w:sdtContent>
      <w:p w:rsidR="00B73EEB" w:rsidRDefault="00B73EEB" w:rsidP="00ED73E7">
        <w:pPr>
          <w:pStyle w:val="Rodap"/>
          <w:pBdr>
            <w:top w:val="single" w:sz="4" w:space="1" w:color="auto"/>
          </w:pBdr>
          <w:ind w:left="-284" w:right="367"/>
          <w:jc w:val="right"/>
        </w:pPr>
        <w:r>
          <w:fldChar w:fldCharType="begin"/>
        </w:r>
        <w:r>
          <w:instrText>PAGE   \* MERGEFORMAT</w:instrText>
        </w:r>
        <w:r>
          <w:fldChar w:fldCharType="separate"/>
        </w:r>
        <w:r w:rsidR="00F779EF">
          <w:rPr>
            <w:noProof/>
          </w:rPr>
          <w:t>1</w:t>
        </w:r>
        <w:r>
          <w:fldChar w:fldCharType="end"/>
        </w:r>
      </w:p>
    </w:sdtContent>
  </w:sdt>
  <w:p w:rsidR="00B73EEB" w:rsidRDefault="00B73EE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EEB" w:rsidRDefault="00B73EEB" w:rsidP="001A7589">
      <w:r>
        <w:separator/>
      </w:r>
    </w:p>
  </w:footnote>
  <w:footnote w:type="continuationSeparator" w:id="0">
    <w:p w:rsidR="00B73EEB" w:rsidRDefault="00B73EEB" w:rsidP="001A75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EEB" w:rsidRDefault="00B73EEB" w:rsidP="001A7589">
    <w:pPr>
      <w:pStyle w:val="Cabealho"/>
    </w:pPr>
    <w:r>
      <w:rPr>
        <w:noProof/>
      </w:rPr>
      <mc:AlternateContent>
        <mc:Choice Requires="wps">
          <w:drawing>
            <wp:anchor distT="0" distB="0" distL="114300" distR="114300" simplePos="0" relativeHeight="251661312" behindDoc="0" locked="0" layoutInCell="0" allowOverlap="1" wp14:anchorId="221EB0B1" wp14:editId="0E6D3BB0">
              <wp:simplePos x="0" y="0"/>
              <wp:positionH relativeFrom="column">
                <wp:posOffset>1193800</wp:posOffset>
              </wp:positionH>
              <wp:positionV relativeFrom="paragraph">
                <wp:posOffset>290830</wp:posOffset>
              </wp:positionV>
              <wp:extent cx="2422525" cy="755650"/>
              <wp:effectExtent l="0" t="0" r="0" b="6350"/>
              <wp:wrapNone/>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2525" cy="755650"/>
                      </a:xfrm>
                      <a:prstGeom prst="rect">
                        <a:avLst/>
                      </a:prstGeom>
                      <a:noFill/>
                      <a:ln>
                        <a:noFill/>
                      </a:ln>
                    </wps:spPr>
                    <wps:txbx>
                      <w:txbxContent>
                        <w:p w:rsidR="00B73EEB" w:rsidRPr="00B633EE" w:rsidRDefault="00B73EEB" w:rsidP="001A7589">
                          <w:pPr>
                            <w:rPr>
                              <w:rFonts w:ascii="Open Sans" w:hAnsi="Open Sans" w:cs="Open Sans"/>
                              <w:color w:val="365F91" w:themeColor="accent1" w:themeShade="BF"/>
                              <w:sz w:val="24"/>
                              <w:szCs w:val="24"/>
                            </w:rPr>
                          </w:pPr>
                          <w:r w:rsidRPr="00B633EE">
                            <w:rPr>
                              <w:rFonts w:ascii="Open Sans" w:hAnsi="Open Sans" w:cs="Open Sans"/>
                              <w:color w:val="365F91" w:themeColor="accent1" w:themeShade="BF"/>
                              <w:sz w:val="24"/>
                              <w:szCs w:val="24"/>
                            </w:rPr>
                            <w:t>Poder Judiciário</w:t>
                          </w:r>
                          <w:r w:rsidRPr="00B633EE">
                            <w:rPr>
                              <w:rFonts w:ascii="Open Sans" w:hAnsi="Open Sans" w:cs="Open Sans"/>
                              <w:color w:val="365F91" w:themeColor="accent1" w:themeShade="BF"/>
                              <w:sz w:val="24"/>
                              <w:szCs w:val="24"/>
                            </w:rPr>
                            <w:br/>
                            <w:t>Justiça do Trabalho</w:t>
                          </w:r>
                          <w:r w:rsidRPr="00B633EE">
                            <w:rPr>
                              <w:rFonts w:ascii="Open Sans" w:hAnsi="Open Sans" w:cs="Open Sans"/>
                              <w:color w:val="365F91" w:themeColor="accent1" w:themeShade="BF"/>
                              <w:sz w:val="24"/>
                              <w:szCs w:val="24"/>
                            </w:rPr>
                            <w:br/>
                            <w:t>Tribunal Superior do Trabalho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94pt;margin-top:22.9pt;width:190.75pt;height: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" o:allowincell="f" filled="f" stroked="f">
              <v:textbox>
                <w:txbxContent>
                  <w:p w:rsidR="00B73EEB" w:rsidRPr="00B633EE" w:rsidRDefault="00B73EEB" w:rsidP="001A7589">
                    <w:pPr>
                      <w:rPr>
                        <w:rFonts w:ascii="Open Sans" w:hAnsi="Open Sans" w:cs="Open Sans"/>
                        <w:color w:val="365F91" w:themeColor="accent1" w:themeShade="BF"/>
                        <w:sz w:val="24"/>
                        <w:szCs w:val="24"/>
                      </w:rPr>
                    </w:pPr>
                    <w:r w:rsidRPr="00B633EE">
                      <w:rPr>
                        <w:rFonts w:ascii="Open Sans" w:hAnsi="Open Sans" w:cs="Open Sans"/>
                        <w:color w:val="365F91" w:themeColor="accent1" w:themeShade="BF"/>
                        <w:sz w:val="24"/>
                        <w:szCs w:val="24"/>
                      </w:rPr>
                      <w:t>Poder Judiciário</w:t>
                    </w:r>
                    <w:r w:rsidRPr="00B633EE">
                      <w:rPr>
                        <w:rFonts w:ascii="Open Sans" w:hAnsi="Open Sans" w:cs="Open Sans"/>
                        <w:color w:val="365F91" w:themeColor="accent1" w:themeShade="BF"/>
                        <w:sz w:val="24"/>
                        <w:szCs w:val="24"/>
                      </w:rPr>
                      <w:br/>
                      <w:t>Justiça do Trabalho</w:t>
                    </w:r>
                    <w:r w:rsidRPr="00B633EE">
                      <w:rPr>
                        <w:rFonts w:ascii="Open Sans" w:hAnsi="Open Sans" w:cs="Open Sans"/>
                        <w:color w:val="365F91" w:themeColor="accent1" w:themeShade="BF"/>
                        <w:sz w:val="24"/>
                        <w:szCs w:val="24"/>
                      </w:rPr>
                      <w:br/>
                      <w:t>Tribunal Superior do Trabalho</w:t>
                    </w:r>
                  </w:p>
                </w:txbxContent>
              </v:textbox>
            </v:shape>
          </w:pict>
        </mc:Fallback>
      </mc:AlternateContent>
    </w:r>
    <w:r>
      <w:rPr>
        <w:noProof/>
      </w:rPr>
      <w:drawing>
        <wp:inline distT="0" distB="0" distL="0" distR="0" wp14:anchorId="0F978A0F" wp14:editId="439820FD">
          <wp:extent cx="1219200" cy="1219200"/>
          <wp:effectExtent l="0" t="0" r="0" b="0"/>
          <wp:docPr id="3" name="Imagem 3" descr="Desenho das Armas Nacionais, também conhecido como Brasão da República. que conforme a Lei nº 5.700/1971, é assim composto:&#10;O escudo redondo será constituído em campo azul-celeste, contendo cinco estrelas de prata, dispostas na forma da constelação Cruzeiro do sul, com a bordadura do campo perfilada de ouro, carregada de estrelas de prata em número igual ao das estrelas existentes na Bandeira Nacional. O escudo ficará pousado numa estrela partida-gironada, de dez peças de sinopla e ouro, bordada de duas  tiras, a interior de goles e a exterior de ouro. O todo brocante sobre uma espada, em pala, empunhada de ouro, guardas de blau, salvo a parte do centro, que é de goles e contendo uma estrela de prata, figurará sobre uma coroa formada de um ramo de café frutificado, à destra, e de outro de fumo florido, à sinistra, ambos da própria cor, atados de blau, ficando o conjunto sobre um resplendor de ouro, cujos contornos formam uma estrela de vinte pontas. Em listel de blau, brocante sobre os punhos da espada, inscrever-se-á, em ouro, a legenda República Federativa do Brasil, no centro, e ainda as expressões &quot;15 de novembro&quot;, na extremidade destra, e as expressões &quot;de 1889&quot;, na sinistra." title="Imagem das Armas Nacion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gov.br/planalto/pt-br/conheca-a-presidencia/acervo/simbolos-nacionais/brasao-da-republica/brasao-versao-ofici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rsidR="00B73EEB" w:rsidRDefault="00B73EEB" w:rsidP="001A7589">
    <w:pPr>
      <w:pStyle w:val="Cabealho"/>
    </w:pPr>
    <w:r w:rsidRPr="00B633EE">
      <w:rPr>
        <w:rFonts w:ascii="Open Sans" w:hAnsi="Open Sans" w:cs="Open Sans"/>
        <w:noProof/>
        <w:color w:val="006699"/>
        <w:sz w:val="30"/>
      </w:rPr>
      <w:drawing>
        <wp:inline distT="0" distB="0" distL="0" distR="0" wp14:anchorId="0EEB745B" wp14:editId="79DB7C54">
          <wp:extent cx="6124575" cy="895350"/>
          <wp:effectExtent l="0" t="0" r="9525" b="0"/>
          <wp:docPr id="7" name="Imagem 7" descr="Informativo TST escrito em letras azuis com fundo branco. " title="Informativo T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48086" cy="898787"/>
                  </a:xfrm>
                  <a:prstGeom prst="rect">
                    <a:avLst/>
                  </a:prstGeom>
                  <a:noFill/>
                  <a:ln>
                    <a:noFill/>
                  </a:ln>
                </pic:spPr>
              </pic:pic>
            </a:graphicData>
          </a:graphic>
        </wp:inline>
      </w:drawing>
    </w:r>
  </w:p>
  <w:p w:rsidR="00B73EEB" w:rsidRDefault="00B73EEB" w:rsidP="001A7589">
    <w:pPr>
      <w:pStyle w:val="Cabealho"/>
    </w:pPr>
  </w:p>
  <w:p w:rsidR="00B73EEB" w:rsidRPr="00CE124A" w:rsidRDefault="00B73EEB" w:rsidP="001A7589">
    <w:pPr>
      <w:pStyle w:val="Cabealho"/>
      <w:tabs>
        <w:tab w:val="clear" w:pos="4419"/>
        <w:tab w:val="clear" w:pos="8838"/>
        <w:tab w:val="left" w:pos="2793"/>
      </w:tabs>
      <w:ind w:right="510"/>
      <w:jc w:val="right"/>
      <w:rPr>
        <w:rFonts w:ascii="Open Sans" w:hAnsi="Open Sans" w:cs="Open Sans"/>
        <w:i/>
        <w:iCs/>
        <w:color w:val="005DA2"/>
        <w:sz w:val="32"/>
        <w:szCs w:val="32"/>
      </w:rPr>
    </w:pPr>
    <w:r>
      <w:tab/>
    </w:r>
    <w:r>
      <w:tab/>
    </w:r>
    <w:r>
      <w:tab/>
    </w:r>
    <w:r>
      <w:tab/>
    </w:r>
    <w:r>
      <w:tab/>
    </w:r>
    <w:r>
      <w:tab/>
    </w:r>
    <w:r w:rsidRPr="00CE124A">
      <w:rPr>
        <w:rFonts w:ascii="Open Sans" w:hAnsi="Open Sans" w:cs="Open Sans"/>
        <w:b/>
        <w:color w:val="005DA2"/>
        <w:sz w:val="32"/>
        <w:szCs w:val="32"/>
      </w:rPr>
      <w:t xml:space="preserve">Nº </w:t>
    </w:r>
    <w:r>
      <w:rPr>
        <w:rFonts w:ascii="Open Sans" w:hAnsi="Open Sans" w:cs="Open Sans"/>
        <w:b/>
        <w:color w:val="005DA2"/>
        <w:sz w:val="32"/>
        <w:szCs w:val="32"/>
      </w:rPr>
      <w:t>312</w:t>
    </w:r>
  </w:p>
  <w:p w:rsidR="00B73EEB" w:rsidRDefault="00B73EEB" w:rsidP="001A7589">
    <w:pPr>
      <w:pStyle w:val="Cabealho"/>
      <w:ind w:right="510"/>
      <w:jc w:val="right"/>
    </w:pPr>
    <w:r w:rsidRPr="00AF45B3">
      <w:rPr>
        <w:rFonts w:ascii="Open Sans" w:hAnsi="Open Sans" w:cs="Open Sans"/>
        <w:i/>
        <w:iCs/>
        <w:color w:val="005DA2"/>
        <w:sz w:val="22"/>
        <w:szCs w:val="22"/>
      </w:rPr>
      <w:t xml:space="preserve">Período: </w:t>
    </w:r>
    <w:r>
      <w:rPr>
        <w:rFonts w:ascii="Open Sans" w:hAnsi="Open Sans" w:cs="Open Sans"/>
        <w:i/>
        <w:iCs/>
        <w:color w:val="005DA2"/>
        <w:sz w:val="22"/>
        <w:szCs w:val="22"/>
      </w:rPr>
      <w:t>14 a 30 de abril de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589"/>
    <w:rsid w:val="00000BB1"/>
    <w:rsid w:val="00004957"/>
    <w:rsid w:val="00004B16"/>
    <w:rsid w:val="00014DFA"/>
    <w:rsid w:val="00016339"/>
    <w:rsid w:val="00016719"/>
    <w:rsid w:val="000301C5"/>
    <w:rsid w:val="000340BD"/>
    <w:rsid w:val="00035B14"/>
    <w:rsid w:val="0003645C"/>
    <w:rsid w:val="00037FEE"/>
    <w:rsid w:val="0004289A"/>
    <w:rsid w:val="00042BD5"/>
    <w:rsid w:val="00045436"/>
    <w:rsid w:val="000500CD"/>
    <w:rsid w:val="00055C90"/>
    <w:rsid w:val="0005696D"/>
    <w:rsid w:val="000637B7"/>
    <w:rsid w:val="00064BB8"/>
    <w:rsid w:val="0006559C"/>
    <w:rsid w:val="00066B8C"/>
    <w:rsid w:val="00067B05"/>
    <w:rsid w:val="00072788"/>
    <w:rsid w:val="00076D8A"/>
    <w:rsid w:val="00082861"/>
    <w:rsid w:val="000837C0"/>
    <w:rsid w:val="00085BB6"/>
    <w:rsid w:val="00086044"/>
    <w:rsid w:val="00090D71"/>
    <w:rsid w:val="000922BC"/>
    <w:rsid w:val="0009661B"/>
    <w:rsid w:val="00096D37"/>
    <w:rsid w:val="000A3B93"/>
    <w:rsid w:val="000A58E6"/>
    <w:rsid w:val="000B172C"/>
    <w:rsid w:val="000B3D6B"/>
    <w:rsid w:val="000B6DB3"/>
    <w:rsid w:val="000C0774"/>
    <w:rsid w:val="000C2178"/>
    <w:rsid w:val="000C21D5"/>
    <w:rsid w:val="000C37F3"/>
    <w:rsid w:val="000C44DD"/>
    <w:rsid w:val="000C77BC"/>
    <w:rsid w:val="000D3C39"/>
    <w:rsid w:val="000D462E"/>
    <w:rsid w:val="000E1C6B"/>
    <w:rsid w:val="000E29E3"/>
    <w:rsid w:val="000E2D64"/>
    <w:rsid w:val="000E4F43"/>
    <w:rsid w:val="000E6679"/>
    <w:rsid w:val="000F444B"/>
    <w:rsid w:val="000F7C2E"/>
    <w:rsid w:val="0010138E"/>
    <w:rsid w:val="00103CAC"/>
    <w:rsid w:val="001062B9"/>
    <w:rsid w:val="00106806"/>
    <w:rsid w:val="00106C2C"/>
    <w:rsid w:val="00114F4C"/>
    <w:rsid w:val="001156D8"/>
    <w:rsid w:val="001166FE"/>
    <w:rsid w:val="0012678F"/>
    <w:rsid w:val="001318FE"/>
    <w:rsid w:val="00131F9C"/>
    <w:rsid w:val="001322F7"/>
    <w:rsid w:val="0013315D"/>
    <w:rsid w:val="00134DC4"/>
    <w:rsid w:val="00135363"/>
    <w:rsid w:val="00137A01"/>
    <w:rsid w:val="00142554"/>
    <w:rsid w:val="0014414D"/>
    <w:rsid w:val="00146F88"/>
    <w:rsid w:val="001513F9"/>
    <w:rsid w:val="00156E92"/>
    <w:rsid w:val="0016077F"/>
    <w:rsid w:val="00164FF2"/>
    <w:rsid w:val="0016751E"/>
    <w:rsid w:val="00170288"/>
    <w:rsid w:val="00171217"/>
    <w:rsid w:val="001713A9"/>
    <w:rsid w:val="00172CF3"/>
    <w:rsid w:val="00173A81"/>
    <w:rsid w:val="00176218"/>
    <w:rsid w:val="00180352"/>
    <w:rsid w:val="00181F26"/>
    <w:rsid w:val="00183EE2"/>
    <w:rsid w:val="0018757E"/>
    <w:rsid w:val="001904EB"/>
    <w:rsid w:val="001961FB"/>
    <w:rsid w:val="001A3FF7"/>
    <w:rsid w:val="001A7589"/>
    <w:rsid w:val="001B6191"/>
    <w:rsid w:val="001C20AD"/>
    <w:rsid w:val="001C29C4"/>
    <w:rsid w:val="001C3304"/>
    <w:rsid w:val="001D0011"/>
    <w:rsid w:val="001D461C"/>
    <w:rsid w:val="001D519A"/>
    <w:rsid w:val="001E21EC"/>
    <w:rsid w:val="001E3E7E"/>
    <w:rsid w:val="001E6344"/>
    <w:rsid w:val="001E7785"/>
    <w:rsid w:val="001F1A7C"/>
    <w:rsid w:val="001F5536"/>
    <w:rsid w:val="001F6666"/>
    <w:rsid w:val="00203886"/>
    <w:rsid w:val="0021002F"/>
    <w:rsid w:val="0021199D"/>
    <w:rsid w:val="00215C92"/>
    <w:rsid w:val="0021767E"/>
    <w:rsid w:val="00223D8D"/>
    <w:rsid w:val="002268E0"/>
    <w:rsid w:val="00231F58"/>
    <w:rsid w:val="00235EB9"/>
    <w:rsid w:val="00237A5F"/>
    <w:rsid w:val="00240564"/>
    <w:rsid w:val="0024595B"/>
    <w:rsid w:val="00245EF1"/>
    <w:rsid w:val="002464CE"/>
    <w:rsid w:val="00246F7F"/>
    <w:rsid w:val="00250CDB"/>
    <w:rsid w:val="00250F52"/>
    <w:rsid w:val="002512E6"/>
    <w:rsid w:val="00251787"/>
    <w:rsid w:val="002518B4"/>
    <w:rsid w:val="00255D91"/>
    <w:rsid w:val="00257FBB"/>
    <w:rsid w:val="00262683"/>
    <w:rsid w:val="00262B17"/>
    <w:rsid w:val="00262CD0"/>
    <w:rsid w:val="002719B4"/>
    <w:rsid w:val="00280560"/>
    <w:rsid w:val="00280871"/>
    <w:rsid w:val="00280A49"/>
    <w:rsid w:val="00281490"/>
    <w:rsid w:val="00282AD1"/>
    <w:rsid w:val="002852B3"/>
    <w:rsid w:val="00285E17"/>
    <w:rsid w:val="002876E4"/>
    <w:rsid w:val="002877B4"/>
    <w:rsid w:val="00291D0D"/>
    <w:rsid w:val="00293D61"/>
    <w:rsid w:val="00294D07"/>
    <w:rsid w:val="00294E8B"/>
    <w:rsid w:val="00295692"/>
    <w:rsid w:val="002A1CCF"/>
    <w:rsid w:val="002B2BD4"/>
    <w:rsid w:val="002B334B"/>
    <w:rsid w:val="002B4615"/>
    <w:rsid w:val="002C2503"/>
    <w:rsid w:val="002C3F19"/>
    <w:rsid w:val="002C41BC"/>
    <w:rsid w:val="002C5DA6"/>
    <w:rsid w:val="002D1938"/>
    <w:rsid w:val="002D4C32"/>
    <w:rsid w:val="002D7D01"/>
    <w:rsid w:val="002E1C3D"/>
    <w:rsid w:val="002E2E74"/>
    <w:rsid w:val="002F02CD"/>
    <w:rsid w:val="002F055A"/>
    <w:rsid w:val="002F28B3"/>
    <w:rsid w:val="002F78D5"/>
    <w:rsid w:val="00300979"/>
    <w:rsid w:val="00310BEC"/>
    <w:rsid w:val="00311CF2"/>
    <w:rsid w:val="00313109"/>
    <w:rsid w:val="0031496C"/>
    <w:rsid w:val="00317807"/>
    <w:rsid w:val="00320235"/>
    <w:rsid w:val="00320CE8"/>
    <w:rsid w:val="00321CD5"/>
    <w:rsid w:val="00326D77"/>
    <w:rsid w:val="00332EFB"/>
    <w:rsid w:val="00333A2E"/>
    <w:rsid w:val="00340D59"/>
    <w:rsid w:val="00342621"/>
    <w:rsid w:val="00343CB5"/>
    <w:rsid w:val="003478B1"/>
    <w:rsid w:val="00347BD1"/>
    <w:rsid w:val="00353D9A"/>
    <w:rsid w:val="00354BE0"/>
    <w:rsid w:val="0035656C"/>
    <w:rsid w:val="00361128"/>
    <w:rsid w:val="003678F0"/>
    <w:rsid w:val="0037067C"/>
    <w:rsid w:val="00371263"/>
    <w:rsid w:val="00371644"/>
    <w:rsid w:val="003740B9"/>
    <w:rsid w:val="003768A8"/>
    <w:rsid w:val="00380720"/>
    <w:rsid w:val="003867EB"/>
    <w:rsid w:val="00394ECA"/>
    <w:rsid w:val="003A3D6C"/>
    <w:rsid w:val="003A4C1E"/>
    <w:rsid w:val="003A69B5"/>
    <w:rsid w:val="003A77C1"/>
    <w:rsid w:val="003B0821"/>
    <w:rsid w:val="003B0A79"/>
    <w:rsid w:val="003D6DC7"/>
    <w:rsid w:val="003E0A73"/>
    <w:rsid w:val="003E1FBB"/>
    <w:rsid w:val="003E6A55"/>
    <w:rsid w:val="003F0194"/>
    <w:rsid w:val="003F2BCB"/>
    <w:rsid w:val="003F4985"/>
    <w:rsid w:val="0040490D"/>
    <w:rsid w:val="004107C1"/>
    <w:rsid w:val="0041300F"/>
    <w:rsid w:val="00415D0E"/>
    <w:rsid w:val="0042161D"/>
    <w:rsid w:val="004233D6"/>
    <w:rsid w:val="004274E9"/>
    <w:rsid w:val="00427D2B"/>
    <w:rsid w:val="00427EBD"/>
    <w:rsid w:val="00430366"/>
    <w:rsid w:val="00431574"/>
    <w:rsid w:val="00433D57"/>
    <w:rsid w:val="00435BDD"/>
    <w:rsid w:val="00436BA2"/>
    <w:rsid w:val="004429BB"/>
    <w:rsid w:val="004456F7"/>
    <w:rsid w:val="00445BB6"/>
    <w:rsid w:val="00446797"/>
    <w:rsid w:val="00447418"/>
    <w:rsid w:val="00451BCE"/>
    <w:rsid w:val="004544E4"/>
    <w:rsid w:val="0045604E"/>
    <w:rsid w:val="00456DEF"/>
    <w:rsid w:val="00460460"/>
    <w:rsid w:val="004615D9"/>
    <w:rsid w:val="004617FC"/>
    <w:rsid w:val="00461965"/>
    <w:rsid w:val="00471ED1"/>
    <w:rsid w:val="004745A9"/>
    <w:rsid w:val="00474BD9"/>
    <w:rsid w:val="00476458"/>
    <w:rsid w:val="004812E4"/>
    <w:rsid w:val="00482565"/>
    <w:rsid w:val="004905F5"/>
    <w:rsid w:val="0049386A"/>
    <w:rsid w:val="004940C3"/>
    <w:rsid w:val="00495413"/>
    <w:rsid w:val="004A06A2"/>
    <w:rsid w:val="004A5213"/>
    <w:rsid w:val="004B0522"/>
    <w:rsid w:val="004B3707"/>
    <w:rsid w:val="004B476A"/>
    <w:rsid w:val="004B6AFE"/>
    <w:rsid w:val="004C0791"/>
    <w:rsid w:val="004C0BBB"/>
    <w:rsid w:val="004C54B7"/>
    <w:rsid w:val="004C577A"/>
    <w:rsid w:val="004D0108"/>
    <w:rsid w:val="004D3C38"/>
    <w:rsid w:val="004D3ED0"/>
    <w:rsid w:val="004D60C8"/>
    <w:rsid w:val="004E0730"/>
    <w:rsid w:val="004E0F60"/>
    <w:rsid w:val="004E3278"/>
    <w:rsid w:val="004F09CB"/>
    <w:rsid w:val="004F628A"/>
    <w:rsid w:val="00502B21"/>
    <w:rsid w:val="00503CE4"/>
    <w:rsid w:val="00504EB7"/>
    <w:rsid w:val="00505CBE"/>
    <w:rsid w:val="00511162"/>
    <w:rsid w:val="00511AC6"/>
    <w:rsid w:val="00512B91"/>
    <w:rsid w:val="00512E29"/>
    <w:rsid w:val="005165CF"/>
    <w:rsid w:val="0051797D"/>
    <w:rsid w:val="00524F55"/>
    <w:rsid w:val="00531C77"/>
    <w:rsid w:val="00536974"/>
    <w:rsid w:val="005404C4"/>
    <w:rsid w:val="005413E9"/>
    <w:rsid w:val="00542B5E"/>
    <w:rsid w:val="0054365D"/>
    <w:rsid w:val="0054596D"/>
    <w:rsid w:val="00555C98"/>
    <w:rsid w:val="00561573"/>
    <w:rsid w:val="00563331"/>
    <w:rsid w:val="005738A6"/>
    <w:rsid w:val="00573A79"/>
    <w:rsid w:val="00574FEA"/>
    <w:rsid w:val="00577BB7"/>
    <w:rsid w:val="005801C7"/>
    <w:rsid w:val="005807AB"/>
    <w:rsid w:val="0058165C"/>
    <w:rsid w:val="00583964"/>
    <w:rsid w:val="00585786"/>
    <w:rsid w:val="00587464"/>
    <w:rsid w:val="0059043B"/>
    <w:rsid w:val="00594623"/>
    <w:rsid w:val="00594C10"/>
    <w:rsid w:val="00594C7E"/>
    <w:rsid w:val="00594E3A"/>
    <w:rsid w:val="00596C42"/>
    <w:rsid w:val="00597A67"/>
    <w:rsid w:val="005A0431"/>
    <w:rsid w:val="005A577E"/>
    <w:rsid w:val="005A7FEF"/>
    <w:rsid w:val="005B2783"/>
    <w:rsid w:val="005B493C"/>
    <w:rsid w:val="005C1A90"/>
    <w:rsid w:val="005C3140"/>
    <w:rsid w:val="005C3C03"/>
    <w:rsid w:val="005C3FC5"/>
    <w:rsid w:val="005C4479"/>
    <w:rsid w:val="005C6BFD"/>
    <w:rsid w:val="005D17A9"/>
    <w:rsid w:val="005D4D89"/>
    <w:rsid w:val="005D5097"/>
    <w:rsid w:val="005E0406"/>
    <w:rsid w:val="005E19ED"/>
    <w:rsid w:val="005F0E81"/>
    <w:rsid w:val="005F24CB"/>
    <w:rsid w:val="005F32D7"/>
    <w:rsid w:val="005F6040"/>
    <w:rsid w:val="005F75EF"/>
    <w:rsid w:val="00601995"/>
    <w:rsid w:val="006138BD"/>
    <w:rsid w:val="006147BF"/>
    <w:rsid w:val="00617EBD"/>
    <w:rsid w:val="0062330B"/>
    <w:rsid w:val="00624645"/>
    <w:rsid w:val="0062785D"/>
    <w:rsid w:val="00627A13"/>
    <w:rsid w:val="00633D10"/>
    <w:rsid w:val="006345F0"/>
    <w:rsid w:val="00637F0B"/>
    <w:rsid w:val="006509B7"/>
    <w:rsid w:val="00653716"/>
    <w:rsid w:val="0065438B"/>
    <w:rsid w:val="00656156"/>
    <w:rsid w:val="00656F36"/>
    <w:rsid w:val="00661EDC"/>
    <w:rsid w:val="0066327B"/>
    <w:rsid w:val="00663580"/>
    <w:rsid w:val="0067201D"/>
    <w:rsid w:val="00674581"/>
    <w:rsid w:val="0067675E"/>
    <w:rsid w:val="00677297"/>
    <w:rsid w:val="00682B13"/>
    <w:rsid w:val="00684F96"/>
    <w:rsid w:val="00685B2E"/>
    <w:rsid w:val="00687208"/>
    <w:rsid w:val="00692828"/>
    <w:rsid w:val="0069547A"/>
    <w:rsid w:val="006A0617"/>
    <w:rsid w:val="006A076F"/>
    <w:rsid w:val="006A42A2"/>
    <w:rsid w:val="006A505E"/>
    <w:rsid w:val="006A5536"/>
    <w:rsid w:val="006A7107"/>
    <w:rsid w:val="006A7DF8"/>
    <w:rsid w:val="006B4181"/>
    <w:rsid w:val="006C0750"/>
    <w:rsid w:val="006C3E29"/>
    <w:rsid w:val="006C7F26"/>
    <w:rsid w:val="006F120B"/>
    <w:rsid w:val="006F740B"/>
    <w:rsid w:val="0070112B"/>
    <w:rsid w:val="00703193"/>
    <w:rsid w:val="007111F0"/>
    <w:rsid w:val="0071255F"/>
    <w:rsid w:val="0071299B"/>
    <w:rsid w:val="00732178"/>
    <w:rsid w:val="007329E1"/>
    <w:rsid w:val="00732DD2"/>
    <w:rsid w:val="00735DA3"/>
    <w:rsid w:val="007366BE"/>
    <w:rsid w:val="00740114"/>
    <w:rsid w:val="00740B90"/>
    <w:rsid w:val="00741DD3"/>
    <w:rsid w:val="007444E4"/>
    <w:rsid w:val="00745AA3"/>
    <w:rsid w:val="007460BA"/>
    <w:rsid w:val="007518DE"/>
    <w:rsid w:val="0075505C"/>
    <w:rsid w:val="0076325D"/>
    <w:rsid w:val="00763295"/>
    <w:rsid w:val="00763A6A"/>
    <w:rsid w:val="00763E7C"/>
    <w:rsid w:val="0077119A"/>
    <w:rsid w:val="007735BF"/>
    <w:rsid w:val="007748AD"/>
    <w:rsid w:val="00792B21"/>
    <w:rsid w:val="007931B0"/>
    <w:rsid w:val="00795832"/>
    <w:rsid w:val="00796FF2"/>
    <w:rsid w:val="007A54E0"/>
    <w:rsid w:val="007A5D37"/>
    <w:rsid w:val="007A6F3D"/>
    <w:rsid w:val="007B3344"/>
    <w:rsid w:val="007B3876"/>
    <w:rsid w:val="007B5241"/>
    <w:rsid w:val="007B60F5"/>
    <w:rsid w:val="007B7AA7"/>
    <w:rsid w:val="007C0D3B"/>
    <w:rsid w:val="007C58F7"/>
    <w:rsid w:val="007C66DC"/>
    <w:rsid w:val="007D2039"/>
    <w:rsid w:val="007D719F"/>
    <w:rsid w:val="007D7B17"/>
    <w:rsid w:val="007E13EF"/>
    <w:rsid w:val="007E21B3"/>
    <w:rsid w:val="007E45A3"/>
    <w:rsid w:val="007F0C78"/>
    <w:rsid w:val="007F282A"/>
    <w:rsid w:val="007F6006"/>
    <w:rsid w:val="007F6BF3"/>
    <w:rsid w:val="00807C6C"/>
    <w:rsid w:val="008121C0"/>
    <w:rsid w:val="008151CB"/>
    <w:rsid w:val="00821E1E"/>
    <w:rsid w:val="0082253E"/>
    <w:rsid w:val="00823B0F"/>
    <w:rsid w:val="0082546C"/>
    <w:rsid w:val="008263A9"/>
    <w:rsid w:val="00827423"/>
    <w:rsid w:val="00827EB6"/>
    <w:rsid w:val="0083339E"/>
    <w:rsid w:val="008373CF"/>
    <w:rsid w:val="00842C03"/>
    <w:rsid w:val="0084301A"/>
    <w:rsid w:val="00844256"/>
    <w:rsid w:val="0084527C"/>
    <w:rsid w:val="00845474"/>
    <w:rsid w:val="00850952"/>
    <w:rsid w:val="00851DF3"/>
    <w:rsid w:val="00853A78"/>
    <w:rsid w:val="008552CE"/>
    <w:rsid w:val="008552EC"/>
    <w:rsid w:val="00856B62"/>
    <w:rsid w:val="00863CF5"/>
    <w:rsid w:val="008643FF"/>
    <w:rsid w:val="0087058E"/>
    <w:rsid w:val="00872DBD"/>
    <w:rsid w:val="00873148"/>
    <w:rsid w:val="008739F8"/>
    <w:rsid w:val="00875812"/>
    <w:rsid w:val="00875E0F"/>
    <w:rsid w:val="0087739E"/>
    <w:rsid w:val="0088121C"/>
    <w:rsid w:val="00881CF7"/>
    <w:rsid w:val="00883DC8"/>
    <w:rsid w:val="00885592"/>
    <w:rsid w:val="00887EAD"/>
    <w:rsid w:val="00891020"/>
    <w:rsid w:val="0089113D"/>
    <w:rsid w:val="0089520A"/>
    <w:rsid w:val="0089579F"/>
    <w:rsid w:val="00895B39"/>
    <w:rsid w:val="008A62DE"/>
    <w:rsid w:val="008A68C2"/>
    <w:rsid w:val="008B1C36"/>
    <w:rsid w:val="008B30D3"/>
    <w:rsid w:val="008C1348"/>
    <w:rsid w:val="008C2553"/>
    <w:rsid w:val="008D14BE"/>
    <w:rsid w:val="008D4A04"/>
    <w:rsid w:val="008E3B7F"/>
    <w:rsid w:val="008E4FE6"/>
    <w:rsid w:val="008E59D6"/>
    <w:rsid w:val="008E70A7"/>
    <w:rsid w:val="008E7429"/>
    <w:rsid w:val="008E7827"/>
    <w:rsid w:val="008F57B0"/>
    <w:rsid w:val="008F663D"/>
    <w:rsid w:val="009030EF"/>
    <w:rsid w:val="009062A0"/>
    <w:rsid w:val="009167E8"/>
    <w:rsid w:val="0092151A"/>
    <w:rsid w:val="00925A03"/>
    <w:rsid w:val="009264C4"/>
    <w:rsid w:val="00937FBD"/>
    <w:rsid w:val="00940D61"/>
    <w:rsid w:val="00941256"/>
    <w:rsid w:val="00943FEC"/>
    <w:rsid w:val="00952B60"/>
    <w:rsid w:val="0095443F"/>
    <w:rsid w:val="00962746"/>
    <w:rsid w:val="00970485"/>
    <w:rsid w:val="00977B79"/>
    <w:rsid w:val="00981037"/>
    <w:rsid w:val="009815E8"/>
    <w:rsid w:val="009822F7"/>
    <w:rsid w:val="009860AC"/>
    <w:rsid w:val="00986EB9"/>
    <w:rsid w:val="00991EE6"/>
    <w:rsid w:val="00997897"/>
    <w:rsid w:val="009979CE"/>
    <w:rsid w:val="009A44F3"/>
    <w:rsid w:val="009A5BF7"/>
    <w:rsid w:val="009B143E"/>
    <w:rsid w:val="009B38E5"/>
    <w:rsid w:val="009B3E70"/>
    <w:rsid w:val="009B4A12"/>
    <w:rsid w:val="009B4BF1"/>
    <w:rsid w:val="009C05FB"/>
    <w:rsid w:val="009C0782"/>
    <w:rsid w:val="009C13C8"/>
    <w:rsid w:val="009C1677"/>
    <w:rsid w:val="009C2D07"/>
    <w:rsid w:val="009C5842"/>
    <w:rsid w:val="009D0B41"/>
    <w:rsid w:val="009D1EE9"/>
    <w:rsid w:val="009D34DF"/>
    <w:rsid w:val="009D3D1F"/>
    <w:rsid w:val="009D50B7"/>
    <w:rsid w:val="009D7E0B"/>
    <w:rsid w:val="009E2049"/>
    <w:rsid w:val="009E2226"/>
    <w:rsid w:val="009E3BA5"/>
    <w:rsid w:val="009E63E6"/>
    <w:rsid w:val="009E652F"/>
    <w:rsid w:val="009E694E"/>
    <w:rsid w:val="009E6B1D"/>
    <w:rsid w:val="009E7449"/>
    <w:rsid w:val="009F0605"/>
    <w:rsid w:val="009F08E0"/>
    <w:rsid w:val="009F4739"/>
    <w:rsid w:val="009F5D38"/>
    <w:rsid w:val="009F61FA"/>
    <w:rsid w:val="009F71CE"/>
    <w:rsid w:val="00A00EEF"/>
    <w:rsid w:val="00A0105A"/>
    <w:rsid w:val="00A021E2"/>
    <w:rsid w:val="00A04260"/>
    <w:rsid w:val="00A11644"/>
    <w:rsid w:val="00A12AFC"/>
    <w:rsid w:val="00A2004B"/>
    <w:rsid w:val="00A24FC6"/>
    <w:rsid w:val="00A3374D"/>
    <w:rsid w:val="00A35CD6"/>
    <w:rsid w:val="00A36419"/>
    <w:rsid w:val="00A371D8"/>
    <w:rsid w:val="00A41B46"/>
    <w:rsid w:val="00A43D24"/>
    <w:rsid w:val="00A5179E"/>
    <w:rsid w:val="00A611B2"/>
    <w:rsid w:val="00A7347D"/>
    <w:rsid w:val="00A73BE6"/>
    <w:rsid w:val="00A740DA"/>
    <w:rsid w:val="00A75B0F"/>
    <w:rsid w:val="00A76E0D"/>
    <w:rsid w:val="00A83CB0"/>
    <w:rsid w:val="00A94A89"/>
    <w:rsid w:val="00A96246"/>
    <w:rsid w:val="00A97E08"/>
    <w:rsid w:val="00AA242D"/>
    <w:rsid w:val="00AA4DA7"/>
    <w:rsid w:val="00AA640A"/>
    <w:rsid w:val="00AA6E6E"/>
    <w:rsid w:val="00AB0EAA"/>
    <w:rsid w:val="00AB4AE2"/>
    <w:rsid w:val="00AB6214"/>
    <w:rsid w:val="00AC140D"/>
    <w:rsid w:val="00AC3E92"/>
    <w:rsid w:val="00AC4BB6"/>
    <w:rsid w:val="00AC6BBE"/>
    <w:rsid w:val="00AD04D3"/>
    <w:rsid w:val="00AD3504"/>
    <w:rsid w:val="00AE185B"/>
    <w:rsid w:val="00AE287B"/>
    <w:rsid w:val="00AE361E"/>
    <w:rsid w:val="00AE5242"/>
    <w:rsid w:val="00AE6942"/>
    <w:rsid w:val="00AF468A"/>
    <w:rsid w:val="00AF5410"/>
    <w:rsid w:val="00B01F5D"/>
    <w:rsid w:val="00B038B0"/>
    <w:rsid w:val="00B045AE"/>
    <w:rsid w:val="00B0613A"/>
    <w:rsid w:val="00B13FE9"/>
    <w:rsid w:val="00B15844"/>
    <w:rsid w:val="00B241CD"/>
    <w:rsid w:val="00B25269"/>
    <w:rsid w:val="00B2685A"/>
    <w:rsid w:val="00B35579"/>
    <w:rsid w:val="00B41217"/>
    <w:rsid w:val="00B41292"/>
    <w:rsid w:val="00B46A8C"/>
    <w:rsid w:val="00B5118E"/>
    <w:rsid w:val="00B5325B"/>
    <w:rsid w:val="00B536A1"/>
    <w:rsid w:val="00B5549E"/>
    <w:rsid w:val="00B57AF6"/>
    <w:rsid w:val="00B60BCE"/>
    <w:rsid w:val="00B626A2"/>
    <w:rsid w:val="00B633EE"/>
    <w:rsid w:val="00B64B49"/>
    <w:rsid w:val="00B6548A"/>
    <w:rsid w:val="00B67BCD"/>
    <w:rsid w:val="00B7122E"/>
    <w:rsid w:val="00B7134C"/>
    <w:rsid w:val="00B7357E"/>
    <w:rsid w:val="00B73EEB"/>
    <w:rsid w:val="00B756B5"/>
    <w:rsid w:val="00B81C9F"/>
    <w:rsid w:val="00B912A8"/>
    <w:rsid w:val="00B934FF"/>
    <w:rsid w:val="00B95782"/>
    <w:rsid w:val="00BA1F40"/>
    <w:rsid w:val="00BA4F43"/>
    <w:rsid w:val="00BA5DB6"/>
    <w:rsid w:val="00BB35C6"/>
    <w:rsid w:val="00BB5AA3"/>
    <w:rsid w:val="00BB5C87"/>
    <w:rsid w:val="00BB6F16"/>
    <w:rsid w:val="00BD4A61"/>
    <w:rsid w:val="00BD5A62"/>
    <w:rsid w:val="00BE0DEA"/>
    <w:rsid w:val="00BE672B"/>
    <w:rsid w:val="00BF042C"/>
    <w:rsid w:val="00BF2226"/>
    <w:rsid w:val="00BF25EA"/>
    <w:rsid w:val="00BF6A96"/>
    <w:rsid w:val="00C03292"/>
    <w:rsid w:val="00C039AB"/>
    <w:rsid w:val="00C03CB2"/>
    <w:rsid w:val="00C04B59"/>
    <w:rsid w:val="00C12B10"/>
    <w:rsid w:val="00C160C2"/>
    <w:rsid w:val="00C212CD"/>
    <w:rsid w:val="00C214FC"/>
    <w:rsid w:val="00C26DAC"/>
    <w:rsid w:val="00C27DD8"/>
    <w:rsid w:val="00C3084A"/>
    <w:rsid w:val="00C30D75"/>
    <w:rsid w:val="00C338C4"/>
    <w:rsid w:val="00C36D64"/>
    <w:rsid w:val="00C36D74"/>
    <w:rsid w:val="00C372B5"/>
    <w:rsid w:val="00C4141C"/>
    <w:rsid w:val="00C41E08"/>
    <w:rsid w:val="00C4274C"/>
    <w:rsid w:val="00C42E83"/>
    <w:rsid w:val="00C44134"/>
    <w:rsid w:val="00C51181"/>
    <w:rsid w:val="00C55778"/>
    <w:rsid w:val="00C64F1C"/>
    <w:rsid w:val="00C74A9B"/>
    <w:rsid w:val="00C75C56"/>
    <w:rsid w:val="00C765ED"/>
    <w:rsid w:val="00C81F83"/>
    <w:rsid w:val="00C90BB4"/>
    <w:rsid w:val="00C92A96"/>
    <w:rsid w:val="00C97DBA"/>
    <w:rsid w:val="00C97FEB"/>
    <w:rsid w:val="00CA179A"/>
    <w:rsid w:val="00CA2242"/>
    <w:rsid w:val="00CA4103"/>
    <w:rsid w:val="00CA6498"/>
    <w:rsid w:val="00CB5DBB"/>
    <w:rsid w:val="00CC1AFF"/>
    <w:rsid w:val="00CC280B"/>
    <w:rsid w:val="00CC41D1"/>
    <w:rsid w:val="00CC4BAD"/>
    <w:rsid w:val="00CC6157"/>
    <w:rsid w:val="00CD66F1"/>
    <w:rsid w:val="00CE065E"/>
    <w:rsid w:val="00CE54D5"/>
    <w:rsid w:val="00CE6BD9"/>
    <w:rsid w:val="00CE6E6F"/>
    <w:rsid w:val="00CE7320"/>
    <w:rsid w:val="00CF2448"/>
    <w:rsid w:val="00CF2934"/>
    <w:rsid w:val="00CF4D72"/>
    <w:rsid w:val="00D0112D"/>
    <w:rsid w:val="00D023DA"/>
    <w:rsid w:val="00D0747D"/>
    <w:rsid w:val="00D1137E"/>
    <w:rsid w:val="00D127E1"/>
    <w:rsid w:val="00D12BDF"/>
    <w:rsid w:val="00D143F7"/>
    <w:rsid w:val="00D22DE6"/>
    <w:rsid w:val="00D26F9A"/>
    <w:rsid w:val="00D300B5"/>
    <w:rsid w:val="00D350E5"/>
    <w:rsid w:val="00D35CE0"/>
    <w:rsid w:val="00D46998"/>
    <w:rsid w:val="00D555D9"/>
    <w:rsid w:val="00D561F2"/>
    <w:rsid w:val="00D662C3"/>
    <w:rsid w:val="00D663E7"/>
    <w:rsid w:val="00D709DC"/>
    <w:rsid w:val="00D74537"/>
    <w:rsid w:val="00D74BAB"/>
    <w:rsid w:val="00D75606"/>
    <w:rsid w:val="00D77E3E"/>
    <w:rsid w:val="00D83CB4"/>
    <w:rsid w:val="00D85761"/>
    <w:rsid w:val="00D85FD1"/>
    <w:rsid w:val="00D86C5B"/>
    <w:rsid w:val="00D87BE6"/>
    <w:rsid w:val="00D90898"/>
    <w:rsid w:val="00D94ECB"/>
    <w:rsid w:val="00D976D9"/>
    <w:rsid w:val="00DA083D"/>
    <w:rsid w:val="00DA0B0B"/>
    <w:rsid w:val="00DA361E"/>
    <w:rsid w:val="00DA3DF1"/>
    <w:rsid w:val="00DA4BEA"/>
    <w:rsid w:val="00DA7D6D"/>
    <w:rsid w:val="00DB05F2"/>
    <w:rsid w:val="00DB144C"/>
    <w:rsid w:val="00DB19E6"/>
    <w:rsid w:val="00DB2B3D"/>
    <w:rsid w:val="00DB5220"/>
    <w:rsid w:val="00DC2435"/>
    <w:rsid w:val="00DD0123"/>
    <w:rsid w:val="00DD204E"/>
    <w:rsid w:val="00DD2B6B"/>
    <w:rsid w:val="00DD436E"/>
    <w:rsid w:val="00DD695C"/>
    <w:rsid w:val="00DE3761"/>
    <w:rsid w:val="00DE3D59"/>
    <w:rsid w:val="00DE57D0"/>
    <w:rsid w:val="00DE776E"/>
    <w:rsid w:val="00DF1C73"/>
    <w:rsid w:val="00DF24D9"/>
    <w:rsid w:val="00DF3A76"/>
    <w:rsid w:val="00DF6AFF"/>
    <w:rsid w:val="00E02D7D"/>
    <w:rsid w:val="00E07A0C"/>
    <w:rsid w:val="00E102B1"/>
    <w:rsid w:val="00E106B5"/>
    <w:rsid w:val="00E11FBC"/>
    <w:rsid w:val="00E14F2C"/>
    <w:rsid w:val="00E207EA"/>
    <w:rsid w:val="00E22673"/>
    <w:rsid w:val="00E22B3E"/>
    <w:rsid w:val="00E36293"/>
    <w:rsid w:val="00E372CB"/>
    <w:rsid w:val="00E53125"/>
    <w:rsid w:val="00E63FD2"/>
    <w:rsid w:val="00E64DCD"/>
    <w:rsid w:val="00E6597D"/>
    <w:rsid w:val="00E665C2"/>
    <w:rsid w:val="00E75448"/>
    <w:rsid w:val="00E77808"/>
    <w:rsid w:val="00E87A1B"/>
    <w:rsid w:val="00E912AC"/>
    <w:rsid w:val="00E92CD7"/>
    <w:rsid w:val="00E9494F"/>
    <w:rsid w:val="00E957B7"/>
    <w:rsid w:val="00E96517"/>
    <w:rsid w:val="00E977A5"/>
    <w:rsid w:val="00EA0D21"/>
    <w:rsid w:val="00EA413A"/>
    <w:rsid w:val="00EA4ED2"/>
    <w:rsid w:val="00EA4ED7"/>
    <w:rsid w:val="00EB097C"/>
    <w:rsid w:val="00EB297D"/>
    <w:rsid w:val="00EB2F2E"/>
    <w:rsid w:val="00EB39A5"/>
    <w:rsid w:val="00EB4683"/>
    <w:rsid w:val="00EB4BEA"/>
    <w:rsid w:val="00EB4C33"/>
    <w:rsid w:val="00EB57E7"/>
    <w:rsid w:val="00EB7BC8"/>
    <w:rsid w:val="00EC0215"/>
    <w:rsid w:val="00EC6C60"/>
    <w:rsid w:val="00ED0FB7"/>
    <w:rsid w:val="00ED375D"/>
    <w:rsid w:val="00ED73E7"/>
    <w:rsid w:val="00EE3A41"/>
    <w:rsid w:val="00EE5BE5"/>
    <w:rsid w:val="00EF1553"/>
    <w:rsid w:val="00EF2084"/>
    <w:rsid w:val="00EF5B62"/>
    <w:rsid w:val="00F05AA0"/>
    <w:rsid w:val="00F12FB9"/>
    <w:rsid w:val="00F16E75"/>
    <w:rsid w:val="00F272B3"/>
    <w:rsid w:val="00F2760B"/>
    <w:rsid w:val="00F301C2"/>
    <w:rsid w:val="00F4049E"/>
    <w:rsid w:val="00F41C4B"/>
    <w:rsid w:val="00F46F60"/>
    <w:rsid w:val="00F5282A"/>
    <w:rsid w:val="00F5750F"/>
    <w:rsid w:val="00F63C22"/>
    <w:rsid w:val="00F6607E"/>
    <w:rsid w:val="00F66BA7"/>
    <w:rsid w:val="00F677A7"/>
    <w:rsid w:val="00F707E9"/>
    <w:rsid w:val="00F70933"/>
    <w:rsid w:val="00F7294C"/>
    <w:rsid w:val="00F75436"/>
    <w:rsid w:val="00F7659A"/>
    <w:rsid w:val="00F76EEB"/>
    <w:rsid w:val="00F779EF"/>
    <w:rsid w:val="00F80616"/>
    <w:rsid w:val="00F80CC6"/>
    <w:rsid w:val="00F83C58"/>
    <w:rsid w:val="00F86842"/>
    <w:rsid w:val="00F87F88"/>
    <w:rsid w:val="00F97453"/>
    <w:rsid w:val="00FB4CC9"/>
    <w:rsid w:val="00FB5898"/>
    <w:rsid w:val="00FC015B"/>
    <w:rsid w:val="00FC2EDC"/>
    <w:rsid w:val="00FC7F9A"/>
    <w:rsid w:val="00FD0282"/>
    <w:rsid w:val="00FD1367"/>
    <w:rsid w:val="00FD5906"/>
    <w:rsid w:val="00FD73C8"/>
    <w:rsid w:val="00FE041C"/>
    <w:rsid w:val="00FE5A68"/>
    <w:rsid w:val="00FF13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pen Sans" w:eastAsiaTheme="minorHAnsi" w:hAnsi="Open Sans" w:cs="Open Sans"/>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589"/>
    <w:pPr>
      <w:autoSpaceDE w:val="0"/>
      <w:autoSpaceDN w:val="0"/>
      <w:spacing w:after="0" w:line="240" w:lineRule="auto"/>
    </w:pPr>
    <w:rPr>
      <w:rFonts w:ascii="Times New Roman" w:eastAsia="Times New Roman" w:hAnsi="Times New Roman" w:cs="Times New Roman"/>
      <w:sz w:val="20"/>
      <w:szCs w:val="20"/>
      <w:lang w:eastAsia="pt-BR"/>
    </w:rPr>
  </w:style>
  <w:style w:type="paragraph" w:styleId="Ttulo1">
    <w:name w:val="heading 1"/>
    <w:aliases w:val="Órgão"/>
    <w:basedOn w:val="Normal"/>
    <w:next w:val="Normal"/>
    <w:link w:val="Ttulo1Char"/>
    <w:uiPriority w:val="9"/>
    <w:qFormat/>
    <w:rsid w:val="006138BD"/>
    <w:pPr>
      <w:keepNext/>
      <w:keepLines/>
      <w:pBdr>
        <w:top w:val="single" w:sz="4" w:space="1" w:color="auto"/>
        <w:left w:val="single" w:sz="4" w:space="4" w:color="auto"/>
        <w:bottom w:val="single" w:sz="4" w:space="1" w:color="auto"/>
        <w:right w:val="single" w:sz="4" w:space="4" w:color="auto"/>
      </w:pBdr>
      <w:shd w:val="clear" w:color="auto" w:fill="B8CCE4" w:themeFill="accent1" w:themeFillTint="66"/>
      <w:spacing w:before="480"/>
      <w:jc w:val="center"/>
      <w:outlineLvl w:val="0"/>
    </w:pPr>
    <w:rPr>
      <w:rFonts w:ascii="Open Sans" w:eastAsiaTheme="majorEastAsia" w:hAnsi="Open Sans" w:cstheme="majorBidi"/>
      <w:b/>
      <w:bCs/>
      <w:sz w:val="28"/>
      <w:szCs w:val="28"/>
    </w:rPr>
  </w:style>
  <w:style w:type="paragraph" w:styleId="Ttulo2">
    <w:name w:val="heading 2"/>
    <w:basedOn w:val="Normal"/>
    <w:next w:val="Normal"/>
    <w:link w:val="Ttulo2Char"/>
    <w:uiPriority w:val="9"/>
    <w:semiHidden/>
    <w:unhideWhenUsed/>
    <w:qFormat/>
    <w:rsid w:val="008D4A0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1A7589"/>
    <w:pPr>
      <w:tabs>
        <w:tab w:val="center" w:pos="4419"/>
        <w:tab w:val="right" w:pos="8838"/>
      </w:tabs>
    </w:pPr>
  </w:style>
  <w:style w:type="character" w:customStyle="1" w:styleId="CabealhoChar">
    <w:name w:val="Cabeçalho Char"/>
    <w:basedOn w:val="Fontepargpadro"/>
    <w:link w:val="Cabealho"/>
    <w:uiPriority w:val="99"/>
    <w:rsid w:val="001A7589"/>
    <w:rPr>
      <w:rFonts w:ascii="Times New Roman" w:eastAsia="Times New Roman" w:hAnsi="Times New Roman" w:cs="Times New Roman"/>
      <w:sz w:val="20"/>
      <w:szCs w:val="20"/>
      <w:lang w:eastAsia="pt-BR"/>
    </w:rPr>
  </w:style>
  <w:style w:type="paragraph" w:customStyle="1" w:styleId="Identificao">
    <w:name w:val="Identificação"/>
    <w:basedOn w:val="Normal"/>
    <w:link w:val="IdentificaoChar"/>
    <w:uiPriority w:val="99"/>
    <w:rsid w:val="001A7589"/>
    <w:pPr>
      <w:jc w:val="both"/>
    </w:pPr>
    <w:rPr>
      <w:rFonts w:ascii="Courier New" w:hAnsi="Courier New" w:cs="Courier New"/>
      <w:color w:val="000000"/>
      <w:sz w:val="24"/>
      <w:szCs w:val="24"/>
      <w:lang w:val="en-US"/>
    </w:rPr>
  </w:style>
  <w:style w:type="paragraph" w:customStyle="1" w:styleId="Corpo">
    <w:name w:val="Corpo"/>
    <w:aliases w:val="Relatório + Courier,Negrito,corpoRelatório + Courier,tr,tro,Corpo1,tex,trelatório + Courier"/>
    <w:link w:val="CorpoChar"/>
    <w:qFormat/>
    <w:rsid w:val="001A7589"/>
    <w:pPr>
      <w:autoSpaceDE w:val="0"/>
      <w:autoSpaceDN w:val="0"/>
      <w:spacing w:after="0" w:line="360" w:lineRule="atLeast"/>
      <w:ind w:firstLine="2551"/>
      <w:jc w:val="both"/>
    </w:pPr>
    <w:rPr>
      <w:rFonts w:ascii="Courier New" w:eastAsia="Times New Roman" w:hAnsi="Courier New" w:cs="Courier New"/>
      <w:color w:val="000000"/>
      <w:sz w:val="24"/>
      <w:szCs w:val="24"/>
      <w:lang w:val="en-US" w:eastAsia="pt-BR"/>
    </w:rPr>
  </w:style>
  <w:style w:type="character" w:customStyle="1" w:styleId="CorpoChar">
    <w:name w:val="Corpo Char"/>
    <w:link w:val="Corpo"/>
    <w:locked/>
    <w:rsid w:val="001A7589"/>
    <w:rPr>
      <w:rFonts w:ascii="Courier New" w:eastAsia="Times New Roman" w:hAnsi="Courier New" w:cs="Courier New"/>
      <w:color w:val="000000"/>
      <w:sz w:val="24"/>
      <w:szCs w:val="24"/>
      <w:lang w:val="en-US" w:eastAsia="pt-BR"/>
    </w:rPr>
  </w:style>
  <w:style w:type="character" w:customStyle="1" w:styleId="IdentificaoChar">
    <w:name w:val="Identificação Char"/>
    <w:link w:val="Identificao"/>
    <w:uiPriority w:val="99"/>
    <w:locked/>
    <w:rsid w:val="001A7589"/>
    <w:rPr>
      <w:rFonts w:ascii="Courier New" w:eastAsia="Times New Roman" w:hAnsi="Courier New" w:cs="Courier New"/>
      <w:color w:val="000000"/>
      <w:sz w:val="24"/>
      <w:szCs w:val="24"/>
      <w:lang w:val="en-US" w:eastAsia="pt-BR"/>
    </w:rPr>
  </w:style>
  <w:style w:type="paragraph" w:styleId="Corpodetexto">
    <w:name w:val="Body Text"/>
    <w:basedOn w:val="Normal"/>
    <w:link w:val="CorpodetextoChar"/>
    <w:uiPriority w:val="99"/>
    <w:rsid w:val="001A7589"/>
    <w:pPr>
      <w:jc w:val="center"/>
    </w:pPr>
    <w:rPr>
      <w:b/>
      <w:bCs/>
      <w:sz w:val="26"/>
      <w:szCs w:val="26"/>
    </w:rPr>
  </w:style>
  <w:style w:type="character" w:customStyle="1" w:styleId="CorpodetextoChar">
    <w:name w:val="Corpo de texto Char"/>
    <w:basedOn w:val="Fontepargpadro"/>
    <w:link w:val="Corpodetexto"/>
    <w:uiPriority w:val="99"/>
    <w:rsid w:val="001A7589"/>
    <w:rPr>
      <w:rFonts w:ascii="Times New Roman" w:eastAsia="Times New Roman" w:hAnsi="Times New Roman" w:cs="Times New Roman"/>
      <w:b/>
      <w:bCs/>
      <w:sz w:val="26"/>
      <w:szCs w:val="26"/>
      <w:lang w:eastAsia="pt-BR"/>
    </w:rPr>
  </w:style>
  <w:style w:type="character" w:styleId="Hyperlink">
    <w:name w:val="Hyperlink"/>
    <w:uiPriority w:val="99"/>
    <w:rsid w:val="001A7589"/>
    <w:rPr>
      <w:rFonts w:cs="Times New Roman"/>
      <w:color w:val="0000FF"/>
      <w:u w:val="single"/>
    </w:rPr>
  </w:style>
  <w:style w:type="paragraph" w:styleId="Rodap">
    <w:name w:val="footer"/>
    <w:basedOn w:val="Normal"/>
    <w:link w:val="RodapChar"/>
    <w:uiPriority w:val="99"/>
    <w:unhideWhenUsed/>
    <w:rsid w:val="001A7589"/>
    <w:pPr>
      <w:tabs>
        <w:tab w:val="center" w:pos="4252"/>
        <w:tab w:val="right" w:pos="8504"/>
      </w:tabs>
    </w:pPr>
  </w:style>
  <w:style w:type="character" w:customStyle="1" w:styleId="RodapChar">
    <w:name w:val="Rodapé Char"/>
    <w:basedOn w:val="Fontepargpadro"/>
    <w:link w:val="Rodap"/>
    <w:uiPriority w:val="99"/>
    <w:rsid w:val="001A7589"/>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1A7589"/>
    <w:rPr>
      <w:rFonts w:ascii="Tahoma" w:hAnsi="Tahoma" w:cs="Tahoma"/>
      <w:sz w:val="16"/>
      <w:szCs w:val="16"/>
    </w:rPr>
  </w:style>
  <w:style w:type="character" w:customStyle="1" w:styleId="TextodebaloChar">
    <w:name w:val="Texto de balão Char"/>
    <w:basedOn w:val="Fontepargpadro"/>
    <w:link w:val="Textodebalo"/>
    <w:uiPriority w:val="99"/>
    <w:semiHidden/>
    <w:rsid w:val="001A7589"/>
    <w:rPr>
      <w:rFonts w:ascii="Tahoma" w:eastAsia="Times New Roman" w:hAnsi="Tahoma" w:cs="Tahoma"/>
      <w:sz w:val="16"/>
      <w:szCs w:val="16"/>
      <w:lang w:eastAsia="pt-BR"/>
    </w:rPr>
  </w:style>
  <w:style w:type="character" w:customStyle="1" w:styleId="Ttulo1Char">
    <w:name w:val="Título 1 Char"/>
    <w:aliases w:val="Órgão Char"/>
    <w:basedOn w:val="Fontepargpadro"/>
    <w:link w:val="Ttulo1"/>
    <w:uiPriority w:val="9"/>
    <w:rsid w:val="006138BD"/>
    <w:rPr>
      <w:rFonts w:eastAsiaTheme="majorEastAsia" w:cstheme="majorBidi"/>
      <w:b/>
      <w:bCs/>
      <w:sz w:val="28"/>
      <w:szCs w:val="28"/>
      <w:shd w:val="clear" w:color="auto" w:fill="B8CCE4" w:themeFill="accent1" w:themeFillTint="66"/>
      <w:lang w:eastAsia="pt-BR"/>
    </w:rPr>
  </w:style>
  <w:style w:type="character" w:customStyle="1" w:styleId="fontepargpadro0">
    <w:name w:val="fontepargpadro"/>
    <w:basedOn w:val="Fontepargpadro"/>
    <w:rsid w:val="009E652F"/>
  </w:style>
  <w:style w:type="character" w:customStyle="1" w:styleId="fontepargpadro-000002">
    <w:name w:val="fontepargpadro-000002"/>
    <w:basedOn w:val="Fontepargpadro"/>
    <w:rsid w:val="009E652F"/>
  </w:style>
  <w:style w:type="character" w:customStyle="1" w:styleId="fontepargpadro-000004">
    <w:name w:val="fontepargpadro-000004"/>
    <w:basedOn w:val="Fontepargpadro"/>
    <w:rsid w:val="009E652F"/>
  </w:style>
  <w:style w:type="character" w:customStyle="1" w:styleId="fontepargpadro-000003">
    <w:name w:val="fontepargpadro-000003"/>
    <w:basedOn w:val="Fontepargpadro"/>
    <w:rsid w:val="009E652F"/>
  </w:style>
  <w:style w:type="character" w:customStyle="1" w:styleId="fontepargpadro-000005">
    <w:name w:val="fontepargpadro-000005"/>
    <w:basedOn w:val="Fontepargpadro"/>
    <w:rsid w:val="009E652F"/>
  </w:style>
  <w:style w:type="character" w:customStyle="1" w:styleId="fontepargpadro-000006">
    <w:name w:val="fontepargpadro-000006"/>
    <w:basedOn w:val="Fontepargpadro"/>
    <w:rsid w:val="009E652F"/>
  </w:style>
  <w:style w:type="character" w:customStyle="1" w:styleId="fontepargpadro-000007">
    <w:name w:val="fontepargpadro-000007"/>
    <w:basedOn w:val="Fontepargpadro"/>
    <w:rsid w:val="009E652F"/>
  </w:style>
  <w:style w:type="character" w:customStyle="1" w:styleId="fontepargpadro-000008">
    <w:name w:val="fontepargpadro-000008"/>
    <w:basedOn w:val="Fontepargpadro"/>
    <w:rsid w:val="009E652F"/>
  </w:style>
  <w:style w:type="character" w:customStyle="1" w:styleId="fontepargpadro-000009">
    <w:name w:val="fontepargpadro-000009"/>
    <w:basedOn w:val="Fontepargpadro"/>
    <w:rsid w:val="009E652F"/>
  </w:style>
  <w:style w:type="character" w:customStyle="1" w:styleId="fontepargpadro-000010">
    <w:name w:val="fontepargpadro-000010"/>
    <w:basedOn w:val="Fontepargpadro"/>
    <w:rsid w:val="009E652F"/>
  </w:style>
  <w:style w:type="character" w:customStyle="1" w:styleId="fontepargpadro-000011">
    <w:name w:val="fontepargpadro-000011"/>
    <w:basedOn w:val="Fontepargpadro"/>
    <w:rsid w:val="009E652F"/>
  </w:style>
  <w:style w:type="character" w:customStyle="1" w:styleId="fontepargpadro-000012">
    <w:name w:val="fontepargpadro-000012"/>
    <w:basedOn w:val="Fontepargpadro"/>
    <w:rsid w:val="009E652F"/>
  </w:style>
  <w:style w:type="character" w:customStyle="1" w:styleId="fontepargpadro-000013">
    <w:name w:val="fontepargpadro-000013"/>
    <w:basedOn w:val="Fontepargpadro"/>
    <w:rsid w:val="009E652F"/>
  </w:style>
  <w:style w:type="paragraph" w:customStyle="1" w:styleId="ementa">
    <w:name w:val="ementa"/>
    <w:basedOn w:val="Normal"/>
    <w:rsid w:val="002F78D5"/>
    <w:pPr>
      <w:autoSpaceDE/>
      <w:autoSpaceDN/>
      <w:spacing w:before="100" w:beforeAutospacing="1" w:after="100" w:afterAutospacing="1"/>
    </w:pPr>
    <w:rPr>
      <w:sz w:val="24"/>
      <w:szCs w:val="24"/>
    </w:rPr>
  </w:style>
  <w:style w:type="paragraph" w:customStyle="1" w:styleId="Ementa0">
    <w:name w:val="Ementa"/>
    <w:basedOn w:val="Normal"/>
    <w:link w:val="EmentaChar1"/>
    <w:uiPriority w:val="99"/>
    <w:qFormat/>
    <w:rsid w:val="007444E4"/>
    <w:pPr>
      <w:suppressAutoHyphens/>
      <w:autoSpaceDE/>
      <w:autoSpaceDN/>
      <w:ind w:left="4536"/>
      <w:jc w:val="both"/>
    </w:pPr>
    <w:rPr>
      <w:rFonts w:ascii="Open Sans" w:eastAsiaTheme="minorEastAsia" w:hAnsi="Open Sans" w:cs="Courier New"/>
      <w:color w:val="000000"/>
      <w:sz w:val="24"/>
      <w:szCs w:val="24"/>
    </w:rPr>
  </w:style>
  <w:style w:type="character" w:customStyle="1" w:styleId="EmentaChar1">
    <w:name w:val="Ementa Char1"/>
    <w:link w:val="Ementa0"/>
    <w:uiPriority w:val="99"/>
    <w:locked/>
    <w:rsid w:val="00891020"/>
    <w:rPr>
      <w:rFonts w:eastAsiaTheme="minorEastAsia" w:cs="Courier New"/>
      <w:color w:val="000000"/>
      <w:sz w:val="24"/>
      <w:szCs w:val="24"/>
      <w:lang w:eastAsia="pt-BR"/>
    </w:rPr>
  </w:style>
  <w:style w:type="character" w:styleId="HiperlinkVisitado">
    <w:name w:val="FollowedHyperlink"/>
    <w:basedOn w:val="Fontepargpadro"/>
    <w:uiPriority w:val="99"/>
    <w:semiHidden/>
    <w:unhideWhenUsed/>
    <w:rsid w:val="009E63E6"/>
    <w:rPr>
      <w:color w:val="800080" w:themeColor="followedHyperlink"/>
      <w:u w:val="single"/>
    </w:rPr>
  </w:style>
  <w:style w:type="paragraph" w:styleId="NormalWeb">
    <w:name w:val="Normal (Web)"/>
    <w:basedOn w:val="Normal"/>
    <w:uiPriority w:val="99"/>
    <w:unhideWhenUsed/>
    <w:rsid w:val="00AC6BBE"/>
    <w:pPr>
      <w:autoSpaceDE/>
      <w:autoSpaceDN/>
      <w:spacing w:before="100" w:beforeAutospacing="1" w:after="100" w:afterAutospacing="1"/>
    </w:pPr>
    <w:rPr>
      <w:sz w:val="24"/>
      <w:szCs w:val="24"/>
    </w:rPr>
  </w:style>
  <w:style w:type="character" w:customStyle="1" w:styleId="Ttulo2Char">
    <w:name w:val="Título 2 Char"/>
    <w:basedOn w:val="Fontepargpadro"/>
    <w:link w:val="Ttulo2"/>
    <w:uiPriority w:val="9"/>
    <w:semiHidden/>
    <w:rsid w:val="008D4A04"/>
    <w:rPr>
      <w:rFonts w:asciiTheme="majorHAnsi" w:eastAsiaTheme="majorEastAsia" w:hAnsiTheme="majorHAnsi" w:cstheme="majorBidi"/>
      <w:b/>
      <w:bCs/>
      <w:color w:val="4F81BD" w:themeColor="accent1"/>
      <w:sz w:val="26"/>
      <w:szCs w:val="26"/>
      <w:lang w:eastAsia="pt-BR"/>
    </w:rPr>
  </w:style>
  <w:style w:type="character" w:styleId="Forte">
    <w:name w:val="Strong"/>
    <w:basedOn w:val="Fontepargpadro"/>
    <w:uiPriority w:val="22"/>
    <w:qFormat/>
    <w:rsid w:val="00E11FB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Open Sans" w:eastAsiaTheme="minorHAnsi" w:hAnsi="Open Sans" w:cs="Open Sans"/>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589"/>
    <w:pPr>
      <w:autoSpaceDE w:val="0"/>
      <w:autoSpaceDN w:val="0"/>
      <w:spacing w:after="0" w:line="240" w:lineRule="auto"/>
    </w:pPr>
    <w:rPr>
      <w:rFonts w:ascii="Times New Roman" w:eastAsia="Times New Roman" w:hAnsi="Times New Roman" w:cs="Times New Roman"/>
      <w:sz w:val="20"/>
      <w:szCs w:val="20"/>
      <w:lang w:eastAsia="pt-BR"/>
    </w:rPr>
  </w:style>
  <w:style w:type="paragraph" w:styleId="Ttulo1">
    <w:name w:val="heading 1"/>
    <w:aliases w:val="Órgão"/>
    <w:basedOn w:val="Normal"/>
    <w:next w:val="Normal"/>
    <w:link w:val="Ttulo1Char"/>
    <w:uiPriority w:val="9"/>
    <w:qFormat/>
    <w:rsid w:val="006138BD"/>
    <w:pPr>
      <w:keepNext/>
      <w:keepLines/>
      <w:pBdr>
        <w:top w:val="single" w:sz="4" w:space="1" w:color="auto"/>
        <w:left w:val="single" w:sz="4" w:space="4" w:color="auto"/>
        <w:bottom w:val="single" w:sz="4" w:space="1" w:color="auto"/>
        <w:right w:val="single" w:sz="4" w:space="4" w:color="auto"/>
      </w:pBdr>
      <w:shd w:val="clear" w:color="auto" w:fill="B8CCE4" w:themeFill="accent1" w:themeFillTint="66"/>
      <w:spacing w:before="480"/>
      <w:jc w:val="center"/>
      <w:outlineLvl w:val="0"/>
    </w:pPr>
    <w:rPr>
      <w:rFonts w:ascii="Open Sans" w:eastAsiaTheme="majorEastAsia" w:hAnsi="Open Sans" w:cstheme="majorBidi"/>
      <w:b/>
      <w:bCs/>
      <w:sz w:val="28"/>
      <w:szCs w:val="28"/>
    </w:rPr>
  </w:style>
  <w:style w:type="paragraph" w:styleId="Ttulo2">
    <w:name w:val="heading 2"/>
    <w:basedOn w:val="Normal"/>
    <w:next w:val="Normal"/>
    <w:link w:val="Ttulo2Char"/>
    <w:uiPriority w:val="9"/>
    <w:semiHidden/>
    <w:unhideWhenUsed/>
    <w:qFormat/>
    <w:rsid w:val="008D4A0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1A7589"/>
    <w:pPr>
      <w:tabs>
        <w:tab w:val="center" w:pos="4419"/>
        <w:tab w:val="right" w:pos="8838"/>
      </w:tabs>
    </w:pPr>
  </w:style>
  <w:style w:type="character" w:customStyle="1" w:styleId="CabealhoChar">
    <w:name w:val="Cabeçalho Char"/>
    <w:basedOn w:val="Fontepargpadro"/>
    <w:link w:val="Cabealho"/>
    <w:uiPriority w:val="99"/>
    <w:rsid w:val="001A7589"/>
    <w:rPr>
      <w:rFonts w:ascii="Times New Roman" w:eastAsia="Times New Roman" w:hAnsi="Times New Roman" w:cs="Times New Roman"/>
      <w:sz w:val="20"/>
      <w:szCs w:val="20"/>
      <w:lang w:eastAsia="pt-BR"/>
    </w:rPr>
  </w:style>
  <w:style w:type="paragraph" w:customStyle="1" w:styleId="Identificao">
    <w:name w:val="Identificação"/>
    <w:basedOn w:val="Normal"/>
    <w:link w:val="IdentificaoChar"/>
    <w:uiPriority w:val="99"/>
    <w:rsid w:val="001A7589"/>
    <w:pPr>
      <w:jc w:val="both"/>
    </w:pPr>
    <w:rPr>
      <w:rFonts w:ascii="Courier New" w:hAnsi="Courier New" w:cs="Courier New"/>
      <w:color w:val="000000"/>
      <w:sz w:val="24"/>
      <w:szCs w:val="24"/>
      <w:lang w:val="en-US"/>
    </w:rPr>
  </w:style>
  <w:style w:type="paragraph" w:customStyle="1" w:styleId="Corpo">
    <w:name w:val="Corpo"/>
    <w:aliases w:val="Relatório + Courier,Negrito,corpoRelatório + Courier,tr,tro,Corpo1,tex,trelatório + Courier"/>
    <w:link w:val="CorpoChar"/>
    <w:qFormat/>
    <w:rsid w:val="001A7589"/>
    <w:pPr>
      <w:autoSpaceDE w:val="0"/>
      <w:autoSpaceDN w:val="0"/>
      <w:spacing w:after="0" w:line="360" w:lineRule="atLeast"/>
      <w:ind w:firstLine="2551"/>
      <w:jc w:val="both"/>
    </w:pPr>
    <w:rPr>
      <w:rFonts w:ascii="Courier New" w:eastAsia="Times New Roman" w:hAnsi="Courier New" w:cs="Courier New"/>
      <w:color w:val="000000"/>
      <w:sz w:val="24"/>
      <w:szCs w:val="24"/>
      <w:lang w:val="en-US" w:eastAsia="pt-BR"/>
    </w:rPr>
  </w:style>
  <w:style w:type="character" w:customStyle="1" w:styleId="CorpoChar">
    <w:name w:val="Corpo Char"/>
    <w:link w:val="Corpo"/>
    <w:locked/>
    <w:rsid w:val="001A7589"/>
    <w:rPr>
      <w:rFonts w:ascii="Courier New" w:eastAsia="Times New Roman" w:hAnsi="Courier New" w:cs="Courier New"/>
      <w:color w:val="000000"/>
      <w:sz w:val="24"/>
      <w:szCs w:val="24"/>
      <w:lang w:val="en-US" w:eastAsia="pt-BR"/>
    </w:rPr>
  </w:style>
  <w:style w:type="character" w:customStyle="1" w:styleId="IdentificaoChar">
    <w:name w:val="Identificação Char"/>
    <w:link w:val="Identificao"/>
    <w:uiPriority w:val="99"/>
    <w:locked/>
    <w:rsid w:val="001A7589"/>
    <w:rPr>
      <w:rFonts w:ascii="Courier New" w:eastAsia="Times New Roman" w:hAnsi="Courier New" w:cs="Courier New"/>
      <w:color w:val="000000"/>
      <w:sz w:val="24"/>
      <w:szCs w:val="24"/>
      <w:lang w:val="en-US" w:eastAsia="pt-BR"/>
    </w:rPr>
  </w:style>
  <w:style w:type="paragraph" w:styleId="Corpodetexto">
    <w:name w:val="Body Text"/>
    <w:basedOn w:val="Normal"/>
    <w:link w:val="CorpodetextoChar"/>
    <w:uiPriority w:val="99"/>
    <w:rsid w:val="001A7589"/>
    <w:pPr>
      <w:jc w:val="center"/>
    </w:pPr>
    <w:rPr>
      <w:b/>
      <w:bCs/>
      <w:sz w:val="26"/>
      <w:szCs w:val="26"/>
    </w:rPr>
  </w:style>
  <w:style w:type="character" w:customStyle="1" w:styleId="CorpodetextoChar">
    <w:name w:val="Corpo de texto Char"/>
    <w:basedOn w:val="Fontepargpadro"/>
    <w:link w:val="Corpodetexto"/>
    <w:uiPriority w:val="99"/>
    <w:rsid w:val="001A7589"/>
    <w:rPr>
      <w:rFonts w:ascii="Times New Roman" w:eastAsia="Times New Roman" w:hAnsi="Times New Roman" w:cs="Times New Roman"/>
      <w:b/>
      <w:bCs/>
      <w:sz w:val="26"/>
      <w:szCs w:val="26"/>
      <w:lang w:eastAsia="pt-BR"/>
    </w:rPr>
  </w:style>
  <w:style w:type="character" w:styleId="Hyperlink">
    <w:name w:val="Hyperlink"/>
    <w:uiPriority w:val="99"/>
    <w:rsid w:val="001A7589"/>
    <w:rPr>
      <w:rFonts w:cs="Times New Roman"/>
      <w:color w:val="0000FF"/>
      <w:u w:val="single"/>
    </w:rPr>
  </w:style>
  <w:style w:type="paragraph" w:styleId="Rodap">
    <w:name w:val="footer"/>
    <w:basedOn w:val="Normal"/>
    <w:link w:val="RodapChar"/>
    <w:uiPriority w:val="99"/>
    <w:unhideWhenUsed/>
    <w:rsid w:val="001A7589"/>
    <w:pPr>
      <w:tabs>
        <w:tab w:val="center" w:pos="4252"/>
        <w:tab w:val="right" w:pos="8504"/>
      </w:tabs>
    </w:pPr>
  </w:style>
  <w:style w:type="character" w:customStyle="1" w:styleId="RodapChar">
    <w:name w:val="Rodapé Char"/>
    <w:basedOn w:val="Fontepargpadro"/>
    <w:link w:val="Rodap"/>
    <w:uiPriority w:val="99"/>
    <w:rsid w:val="001A7589"/>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1A7589"/>
    <w:rPr>
      <w:rFonts w:ascii="Tahoma" w:hAnsi="Tahoma" w:cs="Tahoma"/>
      <w:sz w:val="16"/>
      <w:szCs w:val="16"/>
    </w:rPr>
  </w:style>
  <w:style w:type="character" w:customStyle="1" w:styleId="TextodebaloChar">
    <w:name w:val="Texto de balão Char"/>
    <w:basedOn w:val="Fontepargpadro"/>
    <w:link w:val="Textodebalo"/>
    <w:uiPriority w:val="99"/>
    <w:semiHidden/>
    <w:rsid w:val="001A7589"/>
    <w:rPr>
      <w:rFonts w:ascii="Tahoma" w:eastAsia="Times New Roman" w:hAnsi="Tahoma" w:cs="Tahoma"/>
      <w:sz w:val="16"/>
      <w:szCs w:val="16"/>
      <w:lang w:eastAsia="pt-BR"/>
    </w:rPr>
  </w:style>
  <w:style w:type="character" w:customStyle="1" w:styleId="Ttulo1Char">
    <w:name w:val="Título 1 Char"/>
    <w:aliases w:val="Órgão Char"/>
    <w:basedOn w:val="Fontepargpadro"/>
    <w:link w:val="Ttulo1"/>
    <w:uiPriority w:val="9"/>
    <w:rsid w:val="006138BD"/>
    <w:rPr>
      <w:rFonts w:eastAsiaTheme="majorEastAsia" w:cstheme="majorBidi"/>
      <w:b/>
      <w:bCs/>
      <w:sz w:val="28"/>
      <w:szCs w:val="28"/>
      <w:shd w:val="clear" w:color="auto" w:fill="B8CCE4" w:themeFill="accent1" w:themeFillTint="66"/>
      <w:lang w:eastAsia="pt-BR"/>
    </w:rPr>
  </w:style>
  <w:style w:type="character" w:customStyle="1" w:styleId="fontepargpadro0">
    <w:name w:val="fontepargpadro"/>
    <w:basedOn w:val="Fontepargpadro"/>
    <w:rsid w:val="009E652F"/>
  </w:style>
  <w:style w:type="character" w:customStyle="1" w:styleId="fontepargpadro-000002">
    <w:name w:val="fontepargpadro-000002"/>
    <w:basedOn w:val="Fontepargpadro"/>
    <w:rsid w:val="009E652F"/>
  </w:style>
  <w:style w:type="character" w:customStyle="1" w:styleId="fontepargpadro-000004">
    <w:name w:val="fontepargpadro-000004"/>
    <w:basedOn w:val="Fontepargpadro"/>
    <w:rsid w:val="009E652F"/>
  </w:style>
  <w:style w:type="character" w:customStyle="1" w:styleId="fontepargpadro-000003">
    <w:name w:val="fontepargpadro-000003"/>
    <w:basedOn w:val="Fontepargpadro"/>
    <w:rsid w:val="009E652F"/>
  </w:style>
  <w:style w:type="character" w:customStyle="1" w:styleId="fontepargpadro-000005">
    <w:name w:val="fontepargpadro-000005"/>
    <w:basedOn w:val="Fontepargpadro"/>
    <w:rsid w:val="009E652F"/>
  </w:style>
  <w:style w:type="character" w:customStyle="1" w:styleId="fontepargpadro-000006">
    <w:name w:val="fontepargpadro-000006"/>
    <w:basedOn w:val="Fontepargpadro"/>
    <w:rsid w:val="009E652F"/>
  </w:style>
  <w:style w:type="character" w:customStyle="1" w:styleId="fontepargpadro-000007">
    <w:name w:val="fontepargpadro-000007"/>
    <w:basedOn w:val="Fontepargpadro"/>
    <w:rsid w:val="009E652F"/>
  </w:style>
  <w:style w:type="character" w:customStyle="1" w:styleId="fontepargpadro-000008">
    <w:name w:val="fontepargpadro-000008"/>
    <w:basedOn w:val="Fontepargpadro"/>
    <w:rsid w:val="009E652F"/>
  </w:style>
  <w:style w:type="character" w:customStyle="1" w:styleId="fontepargpadro-000009">
    <w:name w:val="fontepargpadro-000009"/>
    <w:basedOn w:val="Fontepargpadro"/>
    <w:rsid w:val="009E652F"/>
  </w:style>
  <w:style w:type="character" w:customStyle="1" w:styleId="fontepargpadro-000010">
    <w:name w:val="fontepargpadro-000010"/>
    <w:basedOn w:val="Fontepargpadro"/>
    <w:rsid w:val="009E652F"/>
  </w:style>
  <w:style w:type="character" w:customStyle="1" w:styleId="fontepargpadro-000011">
    <w:name w:val="fontepargpadro-000011"/>
    <w:basedOn w:val="Fontepargpadro"/>
    <w:rsid w:val="009E652F"/>
  </w:style>
  <w:style w:type="character" w:customStyle="1" w:styleId="fontepargpadro-000012">
    <w:name w:val="fontepargpadro-000012"/>
    <w:basedOn w:val="Fontepargpadro"/>
    <w:rsid w:val="009E652F"/>
  </w:style>
  <w:style w:type="character" w:customStyle="1" w:styleId="fontepargpadro-000013">
    <w:name w:val="fontepargpadro-000013"/>
    <w:basedOn w:val="Fontepargpadro"/>
    <w:rsid w:val="009E652F"/>
  </w:style>
  <w:style w:type="paragraph" w:customStyle="1" w:styleId="ementa">
    <w:name w:val="ementa"/>
    <w:basedOn w:val="Normal"/>
    <w:rsid w:val="002F78D5"/>
    <w:pPr>
      <w:autoSpaceDE/>
      <w:autoSpaceDN/>
      <w:spacing w:before="100" w:beforeAutospacing="1" w:after="100" w:afterAutospacing="1"/>
    </w:pPr>
    <w:rPr>
      <w:sz w:val="24"/>
      <w:szCs w:val="24"/>
    </w:rPr>
  </w:style>
  <w:style w:type="paragraph" w:customStyle="1" w:styleId="Ementa0">
    <w:name w:val="Ementa"/>
    <w:basedOn w:val="Normal"/>
    <w:link w:val="EmentaChar1"/>
    <w:uiPriority w:val="99"/>
    <w:qFormat/>
    <w:rsid w:val="007444E4"/>
    <w:pPr>
      <w:suppressAutoHyphens/>
      <w:autoSpaceDE/>
      <w:autoSpaceDN/>
      <w:ind w:left="4536"/>
      <w:jc w:val="both"/>
    </w:pPr>
    <w:rPr>
      <w:rFonts w:ascii="Open Sans" w:eastAsiaTheme="minorEastAsia" w:hAnsi="Open Sans" w:cs="Courier New"/>
      <w:color w:val="000000"/>
      <w:sz w:val="24"/>
      <w:szCs w:val="24"/>
    </w:rPr>
  </w:style>
  <w:style w:type="character" w:customStyle="1" w:styleId="EmentaChar1">
    <w:name w:val="Ementa Char1"/>
    <w:link w:val="Ementa0"/>
    <w:uiPriority w:val="99"/>
    <w:locked/>
    <w:rsid w:val="00891020"/>
    <w:rPr>
      <w:rFonts w:eastAsiaTheme="minorEastAsia" w:cs="Courier New"/>
      <w:color w:val="000000"/>
      <w:sz w:val="24"/>
      <w:szCs w:val="24"/>
      <w:lang w:eastAsia="pt-BR"/>
    </w:rPr>
  </w:style>
  <w:style w:type="character" w:styleId="HiperlinkVisitado">
    <w:name w:val="FollowedHyperlink"/>
    <w:basedOn w:val="Fontepargpadro"/>
    <w:uiPriority w:val="99"/>
    <w:semiHidden/>
    <w:unhideWhenUsed/>
    <w:rsid w:val="009E63E6"/>
    <w:rPr>
      <w:color w:val="800080" w:themeColor="followedHyperlink"/>
      <w:u w:val="single"/>
    </w:rPr>
  </w:style>
  <w:style w:type="paragraph" w:styleId="NormalWeb">
    <w:name w:val="Normal (Web)"/>
    <w:basedOn w:val="Normal"/>
    <w:uiPriority w:val="99"/>
    <w:unhideWhenUsed/>
    <w:rsid w:val="00AC6BBE"/>
    <w:pPr>
      <w:autoSpaceDE/>
      <w:autoSpaceDN/>
      <w:spacing w:before="100" w:beforeAutospacing="1" w:after="100" w:afterAutospacing="1"/>
    </w:pPr>
    <w:rPr>
      <w:sz w:val="24"/>
      <w:szCs w:val="24"/>
    </w:rPr>
  </w:style>
  <w:style w:type="character" w:customStyle="1" w:styleId="Ttulo2Char">
    <w:name w:val="Título 2 Char"/>
    <w:basedOn w:val="Fontepargpadro"/>
    <w:link w:val="Ttulo2"/>
    <w:uiPriority w:val="9"/>
    <w:semiHidden/>
    <w:rsid w:val="008D4A04"/>
    <w:rPr>
      <w:rFonts w:asciiTheme="majorHAnsi" w:eastAsiaTheme="majorEastAsia" w:hAnsiTheme="majorHAnsi" w:cstheme="majorBidi"/>
      <w:b/>
      <w:bCs/>
      <w:color w:val="4F81BD" w:themeColor="accent1"/>
      <w:sz w:val="26"/>
      <w:szCs w:val="26"/>
      <w:lang w:eastAsia="pt-BR"/>
    </w:rPr>
  </w:style>
  <w:style w:type="character" w:styleId="Forte">
    <w:name w:val="Strong"/>
    <w:basedOn w:val="Fontepargpadro"/>
    <w:uiPriority w:val="22"/>
    <w:qFormat/>
    <w:rsid w:val="00E11F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406125">
      <w:bodyDiv w:val="1"/>
      <w:marLeft w:val="0"/>
      <w:marRight w:val="0"/>
      <w:marTop w:val="0"/>
      <w:marBottom w:val="0"/>
      <w:divBdr>
        <w:top w:val="none" w:sz="0" w:space="0" w:color="auto"/>
        <w:left w:val="none" w:sz="0" w:space="0" w:color="auto"/>
        <w:bottom w:val="none" w:sz="0" w:space="0" w:color="auto"/>
        <w:right w:val="none" w:sz="0" w:space="0" w:color="auto"/>
      </w:divBdr>
    </w:div>
    <w:div w:id="297953542">
      <w:bodyDiv w:val="1"/>
      <w:marLeft w:val="0"/>
      <w:marRight w:val="0"/>
      <w:marTop w:val="0"/>
      <w:marBottom w:val="0"/>
      <w:divBdr>
        <w:top w:val="none" w:sz="0" w:space="0" w:color="auto"/>
        <w:left w:val="none" w:sz="0" w:space="0" w:color="auto"/>
        <w:bottom w:val="none" w:sz="0" w:space="0" w:color="auto"/>
        <w:right w:val="none" w:sz="0" w:space="0" w:color="auto"/>
      </w:divBdr>
    </w:div>
    <w:div w:id="384139124">
      <w:bodyDiv w:val="1"/>
      <w:marLeft w:val="0"/>
      <w:marRight w:val="0"/>
      <w:marTop w:val="0"/>
      <w:marBottom w:val="0"/>
      <w:divBdr>
        <w:top w:val="none" w:sz="0" w:space="0" w:color="auto"/>
        <w:left w:val="none" w:sz="0" w:space="0" w:color="auto"/>
        <w:bottom w:val="none" w:sz="0" w:space="0" w:color="auto"/>
        <w:right w:val="none" w:sz="0" w:space="0" w:color="auto"/>
      </w:divBdr>
    </w:div>
    <w:div w:id="387462965">
      <w:bodyDiv w:val="1"/>
      <w:marLeft w:val="0"/>
      <w:marRight w:val="0"/>
      <w:marTop w:val="0"/>
      <w:marBottom w:val="0"/>
      <w:divBdr>
        <w:top w:val="none" w:sz="0" w:space="0" w:color="auto"/>
        <w:left w:val="none" w:sz="0" w:space="0" w:color="auto"/>
        <w:bottom w:val="none" w:sz="0" w:space="0" w:color="auto"/>
        <w:right w:val="none" w:sz="0" w:space="0" w:color="auto"/>
      </w:divBdr>
    </w:div>
    <w:div w:id="388923207">
      <w:bodyDiv w:val="1"/>
      <w:marLeft w:val="0"/>
      <w:marRight w:val="0"/>
      <w:marTop w:val="0"/>
      <w:marBottom w:val="0"/>
      <w:divBdr>
        <w:top w:val="none" w:sz="0" w:space="0" w:color="auto"/>
        <w:left w:val="none" w:sz="0" w:space="0" w:color="auto"/>
        <w:bottom w:val="none" w:sz="0" w:space="0" w:color="auto"/>
        <w:right w:val="none" w:sz="0" w:space="0" w:color="auto"/>
      </w:divBdr>
    </w:div>
    <w:div w:id="506093537">
      <w:bodyDiv w:val="1"/>
      <w:marLeft w:val="0"/>
      <w:marRight w:val="0"/>
      <w:marTop w:val="0"/>
      <w:marBottom w:val="0"/>
      <w:divBdr>
        <w:top w:val="none" w:sz="0" w:space="0" w:color="auto"/>
        <w:left w:val="none" w:sz="0" w:space="0" w:color="auto"/>
        <w:bottom w:val="none" w:sz="0" w:space="0" w:color="auto"/>
        <w:right w:val="none" w:sz="0" w:space="0" w:color="auto"/>
      </w:divBdr>
    </w:div>
    <w:div w:id="600919721">
      <w:bodyDiv w:val="1"/>
      <w:marLeft w:val="0"/>
      <w:marRight w:val="0"/>
      <w:marTop w:val="0"/>
      <w:marBottom w:val="0"/>
      <w:divBdr>
        <w:top w:val="none" w:sz="0" w:space="0" w:color="auto"/>
        <w:left w:val="none" w:sz="0" w:space="0" w:color="auto"/>
        <w:bottom w:val="none" w:sz="0" w:space="0" w:color="auto"/>
        <w:right w:val="none" w:sz="0" w:space="0" w:color="auto"/>
      </w:divBdr>
    </w:div>
    <w:div w:id="663554011">
      <w:bodyDiv w:val="1"/>
      <w:marLeft w:val="0"/>
      <w:marRight w:val="0"/>
      <w:marTop w:val="0"/>
      <w:marBottom w:val="0"/>
      <w:divBdr>
        <w:top w:val="none" w:sz="0" w:space="0" w:color="auto"/>
        <w:left w:val="none" w:sz="0" w:space="0" w:color="auto"/>
        <w:bottom w:val="none" w:sz="0" w:space="0" w:color="auto"/>
        <w:right w:val="none" w:sz="0" w:space="0" w:color="auto"/>
      </w:divBdr>
    </w:div>
    <w:div w:id="684786727">
      <w:bodyDiv w:val="1"/>
      <w:marLeft w:val="0"/>
      <w:marRight w:val="0"/>
      <w:marTop w:val="0"/>
      <w:marBottom w:val="0"/>
      <w:divBdr>
        <w:top w:val="none" w:sz="0" w:space="0" w:color="auto"/>
        <w:left w:val="none" w:sz="0" w:space="0" w:color="auto"/>
        <w:bottom w:val="none" w:sz="0" w:space="0" w:color="auto"/>
        <w:right w:val="none" w:sz="0" w:space="0" w:color="auto"/>
      </w:divBdr>
    </w:div>
    <w:div w:id="698430416">
      <w:bodyDiv w:val="1"/>
      <w:marLeft w:val="0"/>
      <w:marRight w:val="0"/>
      <w:marTop w:val="0"/>
      <w:marBottom w:val="0"/>
      <w:divBdr>
        <w:top w:val="none" w:sz="0" w:space="0" w:color="auto"/>
        <w:left w:val="none" w:sz="0" w:space="0" w:color="auto"/>
        <w:bottom w:val="none" w:sz="0" w:space="0" w:color="auto"/>
        <w:right w:val="none" w:sz="0" w:space="0" w:color="auto"/>
      </w:divBdr>
    </w:div>
    <w:div w:id="751321742">
      <w:bodyDiv w:val="1"/>
      <w:marLeft w:val="0"/>
      <w:marRight w:val="0"/>
      <w:marTop w:val="0"/>
      <w:marBottom w:val="0"/>
      <w:divBdr>
        <w:top w:val="none" w:sz="0" w:space="0" w:color="auto"/>
        <w:left w:val="none" w:sz="0" w:space="0" w:color="auto"/>
        <w:bottom w:val="none" w:sz="0" w:space="0" w:color="auto"/>
        <w:right w:val="none" w:sz="0" w:space="0" w:color="auto"/>
      </w:divBdr>
    </w:div>
    <w:div w:id="806439668">
      <w:bodyDiv w:val="1"/>
      <w:marLeft w:val="0"/>
      <w:marRight w:val="0"/>
      <w:marTop w:val="0"/>
      <w:marBottom w:val="0"/>
      <w:divBdr>
        <w:top w:val="none" w:sz="0" w:space="0" w:color="auto"/>
        <w:left w:val="none" w:sz="0" w:space="0" w:color="auto"/>
        <w:bottom w:val="none" w:sz="0" w:space="0" w:color="auto"/>
        <w:right w:val="none" w:sz="0" w:space="0" w:color="auto"/>
      </w:divBdr>
    </w:div>
    <w:div w:id="812791048">
      <w:bodyDiv w:val="1"/>
      <w:marLeft w:val="0"/>
      <w:marRight w:val="0"/>
      <w:marTop w:val="0"/>
      <w:marBottom w:val="0"/>
      <w:divBdr>
        <w:top w:val="none" w:sz="0" w:space="0" w:color="auto"/>
        <w:left w:val="none" w:sz="0" w:space="0" w:color="auto"/>
        <w:bottom w:val="none" w:sz="0" w:space="0" w:color="auto"/>
        <w:right w:val="none" w:sz="0" w:space="0" w:color="auto"/>
      </w:divBdr>
    </w:div>
    <w:div w:id="814765116">
      <w:bodyDiv w:val="1"/>
      <w:marLeft w:val="0"/>
      <w:marRight w:val="0"/>
      <w:marTop w:val="0"/>
      <w:marBottom w:val="0"/>
      <w:divBdr>
        <w:top w:val="none" w:sz="0" w:space="0" w:color="auto"/>
        <w:left w:val="none" w:sz="0" w:space="0" w:color="auto"/>
        <w:bottom w:val="none" w:sz="0" w:space="0" w:color="auto"/>
        <w:right w:val="none" w:sz="0" w:space="0" w:color="auto"/>
      </w:divBdr>
    </w:div>
    <w:div w:id="866141575">
      <w:bodyDiv w:val="1"/>
      <w:marLeft w:val="0"/>
      <w:marRight w:val="0"/>
      <w:marTop w:val="0"/>
      <w:marBottom w:val="0"/>
      <w:divBdr>
        <w:top w:val="none" w:sz="0" w:space="0" w:color="auto"/>
        <w:left w:val="none" w:sz="0" w:space="0" w:color="auto"/>
        <w:bottom w:val="none" w:sz="0" w:space="0" w:color="auto"/>
        <w:right w:val="none" w:sz="0" w:space="0" w:color="auto"/>
      </w:divBdr>
    </w:div>
    <w:div w:id="872110259">
      <w:bodyDiv w:val="1"/>
      <w:marLeft w:val="0"/>
      <w:marRight w:val="0"/>
      <w:marTop w:val="0"/>
      <w:marBottom w:val="0"/>
      <w:divBdr>
        <w:top w:val="none" w:sz="0" w:space="0" w:color="auto"/>
        <w:left w:val="none" w:sz="0" w:space="0" w:color="auto"/>
        <w:bottom w:val="none" w:sz="0" w:space="0" w:color="auto"/>
        <w:right w:val="none" w:sz="0" w:space="0" w:color="auto"/>
      </w:divBdr>
    </w:div>
    <w:div w:id="939949409">
      <w:bodyDiv w:val="1"/>
      <w:marLeft w:val="0"/>
      <w:marRight w:val="0"/>
      <w:marTop w:val="0"/>
      <w:marBottom w:val="0"/>
      <w:divBdr>
        <w:top w:val="none" w:sz="0" w:space="0" w:color="auto"/>
        <w:left w:val="none" w:sz="0" w:space="0" w:color="auto"/>
        <w:bottom w:val="none" w:sz="0" w:space="0" w:color="auto"/>
        <w:right w:val="none" w:sz="0" w:space="0" w:color="auto"/>
      </w:divBdr>
    </w:div>
    <w:div w:id="947003260">
      <w:bodyDiv w:val="1"/>
      <w:marLeft w:val="0"/>
      <w:marRight w:val="0"/>
      <w:marTop w:val="0"/>
      <w:marBottom w:val="0"/>
      <w:divBdr>
        <w:top w:val="none" w:sz="0" w:space="0" w:color="auto"/>
        <w:left w:val="none" w:sz="0" w:space="0" w:color="auto"/>
        <w:bottom w:val="none" w:sz="0" w:space="0" w:color="auto"/>
        <w:right w:val="none" w:sz="0" w:space="0" w:color="auto"/>
      </w:divBdr>
    </w:div>
    <w:div w:id="1114207937">
      <w:bodyDiv w:val="1"/>
      <w:marLeft w:val="0"/>
      <w:marRight w:val="0"/>
      <w:marTop w:val="0"/>
      <w:marBottom w:val="0"/>
      <w:divBdr>
        <w:top w:val="none" w:sz="0" w:space="0" w:color="auto"/>
        <w:left w:val="none" w:sz="0" w:space="0" w:color="auto"/>
        <w:bottom w:val="none" w:sz="0" w:space="0" w:color="auto"/>
        <w:right w:val="none" w:sz="0" w:space="0" w:color="auto"/>
      </w:divBdr>
    </w:div>
    <w:div w:id="1154103356">
      <w:bodyDiv w:val="1"/>
      <w:marLeft w:val="0"/>
      <w:marRight w:val="0"/>
      <w:marTop w:val="0"/>
      <w:marBottom w:val="0"/>
      <w:divBdr>
        <w:top w:val="none" w:sz="0" w:space="0" w:color="auto"/>
        <w:left w:val="none" w:sz="0" w:space="0" w:color="auto"/>
        <w:bottom w:val="none" w:sz="0" w:space="0" w:color="auto"/>
        <w:right w:val="none" w:sz="0" w:space="0" w:color="auto"/>
      </w:divBdr>
    </w:div>
    <w:div w:id="1276476511">
      <w:bodyDiv w:val="1"/>
      <w:marLeft w:val="0"/>
      <w:marRight w:val="0"/>
      <w:marTop w:val="0"/>
      <w:marBottom w:val="0"/>
      <w:divBdr>
        <w:top w:val="none" w:sz="0" w:space="0" w:color="auto"/>
        <w:left w:val="none" w:sz="0" w:space="0" w:color="auto"/>
        <w:bottom w:val="none" w:sz="0" w:space="0" w:color="auto"/>
        <w:right w:val="none" w:sz="0" w:space="0" w:color="auto"/>
      </w:divBdr>
    </w:div>
    <w:div w:id="1292784499">
      <w:bodyDiv w:val="1"/>
      <w:marLeft w:val="0"/>
      <w:marRight w:val="0"/>
      <w:marTop w:val="0"/>
      <w:marBottom w:val="0"/>
      <w:divBdr>
        <w:top w:val="none" w:sz="0" w:space="0" w:color="auto"/>
        <w:left w:val="none" w:sz="0" w:space="0" w:color="auto"/>
        <w:bottom w:val="none" w:sz="0" w:space="0" w:color="auto"/>
        <w:right w:val="none" w:sz="0" w:space="0" w:color="auto"/>
      </w:divBdr>
    </w:div>
    <w:div w:id="1364211748">
      <w:bodyDiv w:val="1"/>
      <w:marLeft w:val="0"/>
      <w:marRight w:val="0"/>
      <w:marTop w:val="0"/>
      <w:marBottom w:val="0"/>
      <w:divBdr>
        <w:top w:val="none" w:sz="0" w:space="0" w:color="auto"/>
        <w:left w:val="none" w:sz="0" w:space="0" w:color="auto"/>
        <w:bottom w:val="none" w:sz="0" w:space="0" w:color="auto"/>
        <w:right w:val="none" w:sz="0" w:space="0" w:color="auto"/>
      </w:divBdr>
    </w:div>
    <w:div w:id="1413813258">
      <w:bodyDiv w:val="1"/>
      <w:marLeft w:val="0"/>
      <w:marRight w:val="0"/>
      <w:marTop w:val="0"/>
      <w:marBottom w:val="0"/>
      <w:divBdr>
        <w:top w:val="none" w:sz="0" w:space="0" w:color="auto"/>
        <w:left w:val="none" w:sz="0" w:space="0" w:color="auto"/>
        <w:bottom w:val="none" w:sz="0" w:space="0" w:color="auto"/>
        <w:right w:val="none" w:sz="0" w:space="0" w:color="auto"/>
      </w:divBdr>
    </w:div>
    <w:div w:id="1531068494">
      <w:bodyDiv w:val="1"/>
      <w:marLeft w:val="0"/>
      <w:marRight w:val="0"/>
      <w:marTop w:val="0"/>
      <w:marBottom w:val="0"/>
      <w:divBdr>
        <w:top w:val="none" w:sz="0" w:space="0" w:color="auto"/>
        <w:left w:val="none" w:sz="0" w:space="0" w:color="auto"/>
        <w:bottom w:val="none" w:sz="0" w:space="0" w:color="auto"/>
        <w:right w:val="none" w:sz="0" w:space="0" w:color="auto"/>
      </w:divBdr>
    </w:div>
    <w:div w:id="1540513723">
      <w:bodyDiv w:val="1"/>
      <w:marLeft w:val="0"/>
      <w:marRight w:val="0"/>
      <w:marTop w:val="0"/>
      <w:marBottom w:val="0"/>
      <w:divBdr>
        <w:top w:val="none" w:sz="0" w:space="0" w:color="auto"/>
        <w:left w:val="none" w:sz="0" w:space="0" w:color="auto"/>
        <w:bottom w:val="none" w:sz="0" w:space="0" w:color="auto"/>
        <w:right w:val="none" w:sz="0" w:space="0" w:color="auto"/>
      </w:divBdr>
    </w:div>
    <w:div w:id="1601256888">
      <w:bodyDiv w:val="1"/>
      <w:marLeft w:val="0"/>
      <w:marRight w:val="0"/>
      <w:marTop w:val="0"/>
      <w:marBottom w:val="0"/>
      <w:divBdr>
        <w:top w:val="none" w:sz="0" w:space="0" w:color="auto"/>
        <w:left w:val="none" w:sz="0" w:space="0" w:color="auto"/>
        <w:bottom w:val="none" w:sz="0" w:space="0" w:color="auto"/>
        <w:right w:val="none" w:sz="0" w:space="0" w:color="auto"/>
      </w:divBdr>
    </w:div>
    <w:div w:id="1658604356">
      <w:bodyDiv w:val="1"/>
      <w:marLeft w:val="0"/>
      <w:marRight w:val="0"/>
      <w:marTop w:val="0"/>
      <w:marBottom w:val="0"/>
      <w:divBdr>
        <w:top w:val="none" w:sz="0" w:space="0" w:color="auto"/>
        <w:left w:val="none" w:sz="0" w:space="0" w:color="auto"/>
        <w:bottom w:val="none" w:sz="0" w:space="0" w:color="auto"/>
        <w:right w:val="none" w:sz="0" w:space="0" w:color="auto"/>
      </w:divBdr>
    </w:div>
    <w:div w:id="1666126257">
      <w:bodyDiv w:val="1"/>
      <w:marLeft w:val="0"/>
      <w:marRight w:val="0"/>
      <w:marTop w:val="0"/>
      <w:marBottom w:val="0"/>
      <w:divBdr>
        <w:top w:val="none" w:sz="0" w:space="0" w:color="auto"/>
        <w:left w:val="none" w:sz="0" w:space="0" w:color="auto"/>
        <w:bottom w:val="none" w:sz="0" w:space="0" w:color="auto"/>
        <w:right w:val="none" w:sz="0" w:space="0" w:color="auto"/>
      </w:divBdr>
    </w:div>
    <w:div w:id="1695300479">
      <w:bodyDiv w:val="1"/>
      <w:marLeft w:val="0"/>
      <w:marRight w:val="0"/>
      <w:marTop w:val="0"/>
      <w:marBottom w:val="0"/>
      <w:divBdr>
        <w:top w:val="none" w:sz="0" w:space="0" w:color="auto"/>
        <w:left w:val="none" w:sz="0" w:space="0" w:color="auto"/>
        <w:bottom w:val="none" w:sz="0" w:space="0" w:color="auto"/>
        <w:right w:val="none" w:sz="0" w:space="0" w:color="auto"/>
      </w:divBdr>
    </w:div>
    <w:div w:id="1698121562">
      <w:bodyDiv w:val="1"/>
      <w:marLeft w:val="0"/>
      <w:marRight w:val="0"/>
      <w:marTop w:val="0"/>
      <w:marBottom w:val="0"/>
      <w:divBdr>
        <w:top w:val="none" w:sz="0" w:space="0" w:color="auto"/>
        <w:left w:val="none" w:sz="0" w:space="0" w:color="auto"/>
        <w:bottom w:val="none" w:sz="0" w:space="0" w:color="auto"/>
        <w:right w:val="none" w:sz="0" w:space="0" w:color="auto"/>
      </w:divBdr>
    </w:div>
    <w:div w:id="1713307843">
      <w:bodyDiv w:val="1"/>
      <w:marLeft w:val="0"/>
      <w:marRight w:val="0"/>
      <w:marTop w:val="0"/>
      <w:marBottom w:val="0"/>
      <w:divBdr>
        <w:top w:val="none" w:sz="0" w:space="0" w:color="auto"/>
        <w:left w:val="none" w:sz="0" w:space="0" w:color="auto"/>
        <w:bottom w:val="none" w:sz="0" w:space="0" w:color="auto"/>
        <w:right w:val="none" w:sz="0" w:space="0" w:color="auto"/>
      </w:divBdr>
    </w:div>
    <w:div w:id="1721512219">
      <w:bodyDiv w:val="1"/>
      <w:marLeft w:val="0"/>
      <w:marRight w:val="0"/>
      <w:marTop w:val="0"/>
      <w:marBottom w:val="0"/>
      <w:divBdr>
        <w:top w:val="none" w:sz="0" w:space="0" w:color="auto"/>
        <w:left w:val="none" w:sz="0" w:space="0" w:color="auto"/>
        <w:bottom w:val="none" w:sz="0" w:space="0" w:color="auto"/>
        <w:right w:val="none" w:sz="0" w:space="0" w:color="auto"/>
      </w:divBdr>
    </w:div>
    <w:div w:id="1743334058">
      <w:bodyDiv w:val="1"/>
      <w:marLeft w:val="0"/>
      <w:marRight w:val="0"/>
      <w:marTop w:val="0"/>
      <w:marBottom w:val="0"/>
      <w:divBdr>
        <w:top w:val="none" w:sz="0" w:space="0" w:color="auto"/>
        <w:left w:val="none" w:sz="0" w:space="0" w:color="auto"/>
        <w:bottom w:val="none" w:sz="0" w:space="0" w:color="auto"/>
        <w:right w:val="none" w:sz="0" w:space="0" w:color="auto"/>
      </w:divBdr>
    </w:div>
    <w:div w:id="1800563532">
      <w:bodyDiv w:val="1"/>
      <w:marLeft w:val="0"/>
      <w:marRight w:val="0"/>
      <w:marTop w:val="0"/>
      <w:marBottom w:val="0"/>
      <w:divBdr>
        <w:top w:val="none" w:sz="0" w:space="0" w:color="auto"/>
        <w:left w:val="none" w:sz="0" w:space="0" w:color="auto"/>
        <w:bottom w:val="none" w:sz="0" w:space="0" w:color="auto"/>
        <w:right w:val="none" w:sz="0" w:space="0" w:color="auto"/>
      </w:divBdr>
    </w:div>
    <w:div w:id="1822696515">
      <w:bodyDiv w:val="1"/>
      <w:marLeft w:val="0"/>
      <w:marRight w:val="0"/>
      <w:marTop w:val="0"/>
      <w:marBottom w:val="0"/>
      <w:divBdr>
        <w:top w:val="none" w:sz="0" w:space="0" w:color="auto"/>
        <w:left w:val="none" w:sz="0" w:space="0" w:color="auto"/>
        <w:bottom w:val="none" w:sz="0" w:space="0" w:color="auto"/>
        <w:right w:val="none" w:sz="0" w:space="0" w:color="auto"/>
      </w:divBdr>
    </w:div>
    <w:div w:id="1889413579">
      <w:bodyDiv w:val="1"/>
      <w:marLeft w:val="0"/>
      <w:marRight w:val="0"/>
      <w:marTop w:val="0"/>
      <w:marBottom w:val="0"/>
      <w:divBdr>
        <w:top w:val="none" w:sz="0" w:space="0" w:color="auto"/>
        <w:left w:val="none" w:sz="0" w:space="0" w:color="auto"/>
        <w:bottom w:val="none" w:sz="0" w:space="0" w:color="auto"/>
        <w:right w:val="none" w:sz="0" w:space="0" w:color="auto"/>
      </w:divBdr>
    </w:div>
    <w:div w:id="1922519007">
      <w:bodyDiv w:val="1"/>
      <w:marLeft w:val="0"/>
      <w:marRight w:val="0"/>
      <w:marTop w:val="0"/>
      <w:marBottom w:val="0"/>
      <w:divBdr>
        <w:top w:val="none" w:sz="0" w:space="0" w:color="auto"/>
        <w:left w:val="none" w:sz="0" w:space="0" w:color="auto"/>
        <w:bottom w:val="none" w:sz="0" w:space="0" w:color="auto"/>
        <w:right w:val="none" w:sz="0" w:space="0" w:color="auto"/>
      </w:divBdr>
    </w:div>
    <w:div w:id="1981612980">
      <w:bodyDiv w:val="1"/>
      <w:marLeft w:val="0"/>
      <w:marRight w:val="0"/>
      <w:marTop w:val="0"/>
      <w:marBottom w:val="0"/>
      <w:divBdr>
        <w:top w:val="none" w:sz="0" w:space="0" w:color="auto"/>
        <w:left w:val="none" w:sz="0" w:space="0" w:color="auto"/>
        <w:bottom w:val="none" w:sz="0" w:space="0" w:color="auto"/>
        <w:right w:val="none" w:sz="0" w:space="0" w:color="auto"/>
      </w:divBdr>
    </w:div>
    <w:div w:id="2012676273">
      <w:bodyDiv w:val="1"/>
      <w:marLeft w:val="0"/>
      <w:marRight w:val="0"/>
      <w:marTop w:val="0"/>
      <w:marBottom w:val="0"/>
      <w:divBdr>
        <w:top w:val="none" w:sz="0" w:space="0" w:color="auto"/>
        <w:left w:val="none" w:sz="0" w:space="0" w:color="auto"/>
        <w:bottom w:val="none" w:sz="0" w:space="0" w:color="auto"/>
        <w:right w:val="none" w:sz="0" w:space="0" w:color="auto"/>
      </w:divBdr>
    </w:div>
    <w:div w:id="212423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je.tst.jus.br/consultaprocessual/detalhe-processo/0000229-71.2024.5.21.0013/3" TargetMode="External"/><Relationship Id="rId13" Type="http://schemas.openxmlformats.org/officeDocument/2006/relationships/hyperlink" Target="https://pje.tst.jus.br/consultaprocessual/detalhe-processo/0002423-19.2024.5.09.0000/3" TargetMode="External"/><Relationship Id="rId18" Type="http://schemas.openxmlformats.org/officeDocument/2006/relationships/hyperlink" Target="https://consultaprocessual.tst.jus.br/consultaProcessual/consultaTstNumUnica.do?consulta=Consultar&amp;conscsjt=&amp;numeroTst=1120&amp;digitoTst=21&amp;anoTst=2017&amp;orgaoTst=5&amp;tribunalTst=10&amp;varaTst=0021&amp;submit=Consultar" TargetMode="External"/><Relationship Id="rId26" Type="http://schemas.openxmlformats.org/officeDocument/2006/relationships/hyperlink" Target="https://pje.tst.jus.br/consultaprocessual/detalhe-processo/0012335-57.2023.5.18.0054/3" TargetMode="External"/><Relationship Id="rId39" Type="http://schemas.openxmlformats.org/officeDocument/2006/relationships/hyperlink" Target="https://pje.tst.jus.br/consultaprocessual/detalhe-processo/0000892-08.2023.5.08.0113/3" TargetMode="External"/><Relationship Id="rId3" Type="http://schemas.microsoft.com/office/2007/relationships/stylesWithEffects" Target="stylesWithEffects.xml"/><Relationship Id="rId21" Type="http://schemas.openxmlformats.org/officeDocument/2006/relationships/hyperlink" Target="https://pje.tst.jus.br/consultaprocessual/detalhe-processo/1000709-39.2024.5.02.0020/3" TargetMode="External"/><Relationship Id="rId34" Type="http://schemas.openxmlformats.org/officeDocument/2006/relationships/hyperlink" Target="https://consultaprocessual.tst.jus.br/consultaProcessual/consultaTstNumUnica.do?consulta=Consultar&amp;conscsjt=&amp;numeroTst=1077&amp;digitoTst=34&amp;anoTst=2018&amp;orgaoTst=5&amp;tribunalTst=08&amp;varaTst=0012&amp;submit=Consultar" TargetMode="External"/><Relationship Id="rId42" Type="http://schemas.openxmlformats.org/officeDocument/2006/relationships/hyperlink" Target="http://www.tst.jus.br/push"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onsultaprocessual.tst.jus.br/consultaProcessual/resumoForm.do?consulta=1&amp;numeroInt=209177&amp;anoInt=2022" TargetMode="External"/><Relationship Id="rId17" Type="http://schemas.openxmlformats.org/officeDocument/2006/relationships/hyperlink" Target="https://consultaprocessual.tst.jus.br/consultaProcessual/consultaTstNumUnica.do?consulta=Consultar&amp;conscsjt=&amp;numeroTst=1000119&amp;digitoTst=34&amp;anoTst=2021&amp;orgaoTst=5&amp;tribunalTst=02&amp;varaTst=0322&amp;submit=Consultar" TargetMode="External"/><Relationship Id="rId25" Type="http://schemas.openxmlformats.org/officeDocument/2006/relationships/hyperlink" Target="https://consultaprocessual.tst.jus.br/consultaProcessual/resumoForm.do?consulta=1&amp;numeroInt=282444&amp;anoInt=2019" TargetMode="External"/><Relationship Id="rId33" Type="http://schemas.openxmlformats.org/officeDocument/2006/relationships/hyperlink" Target="https://pje.tst.jus.br/consultaprocessual/detalhe-processo/0010238-03.2023.5.15.0011/3" TargetMode="External"/><Relationship Id="rId38" Type="http://schemas.openxmlformats.org/officeDocument/2006/relationships/hyperlink" Target="https://consultaprocessual.tst.jus.br/consultaProcessual/resumoForm.do?consulta=1&amp;numeroInt=511071&amp;anoInt=2023"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onsultaprocessual.tst.jus.br/consultaProcessual/consultaTstNumUnica.do?consulta=Consultar&amp;conscsjt=&amp;numeroTst=951&amp;digitoTst=41&amp;anoTst=2020&amp;orgaoTst=5&amp;tribunalTst=09&amp;varaTst=0026&amp;submit=Consultar" TargetMode="External"/><Relationship Id="rId20" Type="http://schemas.openxmlformats.org/officeDocument/2006/relationships/hyperlink" Target="https://consultaprocessual.tst.jus.br/consultaProcessual/resumoForm.do?consulta=1&amp;numeroInt=352489&amp;anoInt=2020" TargetMode="External"/><Relationship Id="rId29" Type="http://schemas.openxmlformats.org/officeDocument/2006/relationships/hyperlink" Target="https://pje.tst.jus.br/consultaprocessual/detalhe-processo/0012425-73.2022.5.15.0122/3" TargetMode="External"/><Relationship Id="rId41" Type="http://schemas.openxmlformats.org/officeDocument/2006/relationships/hyperlink" Target="http://www.tst.jus.br/web/guest/informativo-t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sultaprocessual.tst.jus.br/consultaProcessual/resumoForm.do?consulta=1&amp;numeroInt=127288&amp;anoInt=2024" TargetMode="External"/><Relationship Id="rId24" Type="http://schemas.openxmlformats.org/officeDocument/2006/relationships/hyperlink" Target="https://consultaprocessual.tst.jus.br/consultaProcessual/resumoForm.do?consulta=1&amp;numeroInt=123933&amp;anoInt=2020" TargetMode="External"/><Relationship Id="rId32" Type="http://schemas.openxmlformats.org/officeDocument/2006/relationships/hyperlink" Target="https://consultaprocessual.tst.jus.br/consultaProcessual/consultaTstNumUnica.do?consulta=Consultar&amp;conscsjt=&amp;numeroTst=1047&amp;digitoTst=05&amp;anoTst=2020&amp;orgaoTst=5&amp;tribunalTst=12&amp;varaTst=0016&amp;submit=Consultar" TargetMode="External"/><Relationship Id="rId37" Type="http://schemas.openxmlformats.org/officeDocument/2006/relationships/hyperlink" Target="https://consultaprocessual.tst.jus.br/consultaProcessual/consultaTstNumUnica.do?consulta=Consultar&amp;conscsjt=&amp;numeroTst=683900&amp;digitoTst=65&amp;anoTst=2009&amp;orgaoTst=5&amp;tribunalTst=09&amp;varaTst=0024&amp;submit=Consultar" TargetMode="External"/><Relationship Id="rId40" Type="http://schemas.openxmlformats.org/officeDocument/2006/relationships/hyperlink" Target="mailto:cjur@tst.jus.br"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pje.tst.jus.br/consultaprocessual/detalhe-processo/0000370-08.2023.5.08.0104/3" TargetMode="External"/><Relationship Id="rId23" Type="http://schemas.openxmlformats.org/officeDocument/2006/relationships/hyperlink" Target="https://consultaprocessual.tst.jus.br/consultaProcessual/resumoForm.do?consulta=1&amp;numeroInt=33356&amp;anoInt=2023" TargetMode="External"/><Relationship Id="rId28" Type="http://schemas.openxmlformats.org/officeDocument/2006/relationships/hyperlink" Target="https://consultaprocessual.tst.jus.br/consultaProcessual/resumoForm.do?consulta=1&amp;numeroInt=114077&amp;anoInt=2023" TargetMode="External"/><Relationship Id="rId36" Type="http://schemas.openxmlformats.org/officeDocument/2006/relationships/hyperlink" Target="https://pje.tst.jus.br/consultaprocessual/detalhe-processo/0001036-59.2025.5.06.0212" TargetMode="External"/><Relationship Id="rId10" Type="http://schemas.openxmlformats.org/officeDocument/2006/relationships/hyperlink" Target="https://consultaprocessual.tst.jus.br/consultaProcessual/resumoForm.do?consulta=1&amp;numeroInt=43208&amp;anoInt=2022" TargetMode="External"/><Relationship Id="rId19" Type="http://schemas.openxmlformats.org/officeDocument/2006/relationships/hyperlink" Target="https://pje.tst.jus.br/consultaprocessual/detalhe-processo/0011434-87.2022.5.15.0093/3" TargetMode="External"/><Relationship Id="rId31" Type="http://schemas.openxmlformats.org/officeDocument/2006/relationships/hyperlink" Target="https://consultaprocessual.tst.jus.br/consultaProcessual/resumoForm.do?consulta=1&amp;numeroInt=302354&amp;anoInt=2024"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je.tst.jus.br/consultaprocessual/detalhe-processo/0001503-12.2024.5.21.0000/3" TargetMode="External"/><Relationship Id="rId14" Type="http://schemas.openxmlformats.org/officeDocument/2006/relationships/hyperlink" Target="https://pje.tst.jus.br/consultaprocessual/detalhe-processo/0016555-49.2024.5.03.0000" TargetMode="External"/><Relationship Id="rId22" Type="http://schemas.openxmlformats.org/officeDocument/2006/relationships/hyperlink" Target="https://pje.tst.jus.br/consultaprocessual/detalhe-processo/0000388-15.2023.5.12.0008/3" TargetMode="External"/><Relationship Id="rId27" Type="http://schemas.openxmlformats.org/officeDocument/2006/relationships/hyperlink" Target="https://consultaprocessual.tst.jus.br/consultaProcessual/resumoForm.do?consulta=1&amp;numeroInt=203801&amp;anoInt=2020" TargetMode="External"/><Relationship Id="rId30" Type="http://schemas.openxmlformats.org/officeDocument/2006/relationships/hyperlink" Target="https://pje.tst.jus.br/consultaprocessual/detalhe-processo/0000947-46.2024.5.09.0678/3" TargetMode="External"/><Relationship Id="rId35" Type="http://schemas.openxmlformats.org/officeDocument/2006/relationships/hyperlink" Target="https://consultaprocessual.tst.jus.br/consultaProcessual/resumoForm.do?consulta=1&amp;numeroInt=512721&amp;anoInt=2023" TargetMode="External"/><Relationship Id="rId43"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E69A7-159C-4E0D-9553-F48631143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25519</TotalTime>
  <Pages>48</Pages>
  <Words>27688</Words>
  <Characters>149521</Characters>
  <Application>Microsoft Office Word</Application>
  <DocSecurity>0</DocSecurity>
  <Lines>1246</Lines>
  <Paragraphs>353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176856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Luana</dc:creator>
  <cp:lastModifiedBy>Lanna Lucia Viana Pinto</cp:lastModifiedBy>
  <cp:revision>623</cp:revision>
  <dcterms:created xsi:type="dcterms:W3CDTF">2025-12-19T15:27:00Z</dcterms:created>
  <dcterms:modified xsi:type="dcterms:W3CDTF">2026-08-07T16:48:00Z</dcterms:modified>
</cp:coreProperties>
</file>