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214" w:type="dxa"/>
        <w:tblLayout w:type="fixed"/>
        <w:tblCellMar>
          <w:left w:w="70" w:type="dxa"/>
          <w:right w:w="70" w:type="dxa"/>
        </w:tblCellMar>
        <w:tblLook w:val="0000" w:firstRow="0" w:lastRow="0" w:firstColumn="0" w:lastColumn="0" w:noHBand="0" w:noVBand="0"/>
      </w:tblPr>
      <w:tblGrid>
        <w:gridCol w:w="9782"/>
      </w:tblGrid>
      <w:tr w:rsidR="001A7589" w:rsidRPr="003509A3" w:rsidTr="00E97702">
        <w:trPr>
          <w:trHeight w:val="537"/>
        </w:trPr>
        <w:tc>
          <w:tcPr>
            <w:tcW w:w="9782" w:type="dxa"/>
            <w:tcBorders>
              <w:top w:val="single" w:sz="4" w:space="0" w:color="auto"/>
            </w:tcBorders>
          </w:tcPr>
          <w:p w:rsidR="009E652F" w:rsidRPr="003509A3" w:rsidRDefault="001A7589" w:rsidP="00A931C2">
            <w:pPr>
              <w:pStyle w:val="Cabealho"/>
              <w:tabs>
                <w:tab w:val="clear" w:pos="4419"/>
                <w:tab w:val="clear" w:pos="8838"/>
              </w:tabs>
              <w:ind w:left="-70" w:right="-70"/>
              <w:jc w:val="both"/>
              <w:rPr>
                <w:rFonts w:ascii="Open Sans" w:hAnsi="Open Sans" w:cs="Open Sans"/>
              </w:rPr>
            </w:pPr>
            <w:r w:rsidRPr="003509A3">
              <w:rPr>
                <w:rFonts w:ascii="Open Sans" w:hAnsi="Open Sans" w:cs="Open Sans"/>
              </w:rPr>
              <w:t>Este Informativo, elaborado a partir de notas tomadas nas sessões de julgamento, contém resumos não oficiais de decisões proferidas pelo Tribunal. A fidelidade dos resumos ao conteúdo efetivo das decisões, embora seja uma das metas perseguidas neste trabalho, somente poderá ser aferida após a sua publicação no Diário Eletrônico da Justiça do Trabalho.</w:t>
            </w:r>
          </w:p>
        </w:tc>
      </w:tr>
    </w:tbl>
    <w:p w:rsidR="002518B4" w:rsidRDefault="002518B4" w:rsidP="005B47FE">
      <w:pPr>
        <w:tabs>
          <w:tab w:val="left" w:pos="9498"/>
        </w:tabs>
        <w:ind w:right="369"/>
        <w:jc w:val="both"/>
        <w:rPr>
          <w:rFonts w:ascii="Open Sans" w:hAnsi="Open Sans" w:cs="Open Sans"/>
          <w:bCs/>
          <w:iCs/>
          <w:color w:val="000000"/>
          <w:sz w:val="24"/>
          <w:szCs w:val="24"/>
        </w:rPr>
      </w:pPr>
    </w:p>
    <w:p w:rsidR="002518B4" w:rsidRPr="003509A3" w:rsidRDefault="002518B4" w:rsidP="00067B05">
      <w:pPr>
        <w:pStyle w:val="Ttulo1"/>
        <w:spacing w:before="0"/>
        <w:ind w:left="-227" w:right="369"/>
      </w:pPr>
      <w:r>
        <w:t>S</w:t>
      </w:r>
      <w:r w:rsidRPr="003509A3">
        <w:t xml:space="preserve">EÇÃO ESPECIALIZADA </w:t>
      </w:r>
      <w:r w:rsidRPr="00215C92">
        <w:t>EM</w:t>
      </w:r>
      <w:r w:rsidRPr="003509A3">
        <w:t xml:space="preserve"> DISSÍDIOS </w:t>
      </w:r>
      <w:r>
        <w:t>COLETIVOS</w:t>
      </w:r>
    </w:p>
    <w:p w:rsidR="003002DC" w:rsidRPr="00457D27" w:rsidRDefault="003002DC" w:rsidP="00DE7B5D">
      <w:pPr>
        <w:suppressAutoHyphens/>
        <w:ind w:left="-255" w:right="340"/>
        <w:jc w:val="both"/>
        <w:rPr>
          <w:rFonts w:ascii="Open Sans" w:hAnsi="Open Sans" w:cs="Open Sans"/>
          <w:color w:val="000000"/>
          <w:sz w:val="24"/>
          <w:szCs w:val="24"/>
        </w:rPr>
      </w:pPr>
      <w:bookmarkStart w:id="0" w:name="_GoBack"/>
      <w:bookmarkEnd w:id="0"/>
    </w:p>
    <w:p w:rsidR="00DE7B5D" w:rsidRDefault="00DE7B5D" w:rsidP="00DE7B5D">
      <w:pPr>
        <w:suppressAutoHyphens/>
        <w:ind w:left="-255" w:right="340"/>
        <w:jc w:val="both"/>
        <w:rPr>
          <w:rFonts w:ascii="Open Sans" w:hAnsi="Open Sans" w:cs="Open Sans"/>
          <w:color w:val="000000"/>
          <w:sz w:val="24"/>
          <w:szCs w:val="24"/>
        </w:rPr>
      </w:pPr>
      <w:r>
        <w:rPr>
          <w:rFonts w:ascii="Open Sans" w:hAnsi="Open Sans" w:cs="Open Sans"/>
          <w:b/>
          <w:i/>
          <w:color w:val="000000"/>
          <w:sz w:val="24"/>
          <w:szCs w:val="24"/>
        </w:rPr>
        <w:t>Norma coletiva. Readmissão</w:t>
      </w:r>
      <w:r w:rsidR="0040712A">
        <w:rPr>
          <w:rFonts w:ascii="Open Sans" w:hAnsi="Open Sans" w:cs="Open Sans"/>
          <w:b/>
          <w:i/>
          <w:color w:val="000000"/>
          <w:sz w:val="24"/>
          <w:szCs w:val="24"/>
        </w:rPr>
        <w:t xml:space="preserve"> do empregado para o exercício da mesma função. Celebração de novo contrato de experiência após doze meses da rescisão contratual. Validade da cláusula.</w:t>
      </w:r>
      <w:r>
        <w:rPr>
          <w:rFonts w:ascii="Open Sans" w:hAnsi="Open Sans" w:cs="Open Sans"/>
          <w:b/>
          <w:i/>
          <w:color w:val="000000"/>
          <w:sz w:val="24"/>
          <w:szCs w:val="24"/>
        </w:rPr>
        <w:t xml:space="preserve"> </w:t>
      </w:r>
    </w:p>
    <w:p w:rsidR="00DE7B5D" w:rsidRPr="007277FA" w:rsidRDefault="00DE7B5D" w:rsidP="00DE7B5D">
      <w:pPr>
        <w:suppressAutoHyphens/>
        <w:ind w:left="-255" w:right="340"/>
        <w:jc w:val="both"/>
        <w:rPr>
          <w:rFonts w:ascii="Open Sans" w:hAnsi="Open Sans" w:cs="Open Sans"/>
          <w:b/>
          <w:i/>
          <w:color w:val="000000"/>
          <w:sz w:val="24"/>
          <w:szCs w:val="24"/>
        </w:rPr>
      </w:pPr>
      <w:r>
        <w:rPr>
          <w:rFonts w:ascii="Open Sans" w:hAnsi="Open Sans" w:cs="Open Sans"/>
          <w:color w:val="000000"/>
          <w:sz w:val="24"/>
          <w:szCs w:val="24"/>
        </w:rPr>
        <w:t>É válida a norma coletiva que estabelece</w:t>
      </w:r>
      <w:r w:rsidR="004F05D3">
        <w:rPr>
          <w:rFonts w:ascii="Open Sans" w:hAnsi="Open Sans" w:cs="Open Sans"/>
          <w:color w:val="000000"/>
          <w:sz w:val="24"/>
          <w:szCs w:val="24"/>
        </w:rPr>
        <w:t xml:space="preserve"> a possibilidade de celebração de novo contrato de experiência com empregado readmitido após doze meses da rescisão para o exercício da mesma função</w:t>
      </w:r>
      <w:r w:rsidR="00E83CE0">
        <w:rPr>
          <w:rFonts w:ascii="Open Sans" w:hAnsi="Open Sans" w:cs="Open Sans"/>
          <w:color w:val="000000"/>
          <w:sz w:val="24"/>
          <w:szCs w:val="24"/>
        </w:rPr>
        <w:t xml:space="preserve"> </w:t>
      </w:r>
      <w:r w:rsidR="004F05D3">
        <w:rPr>
          <w:rFonts w:ascii="Open Sans" w:hAnsi="Open Sans" w:cs="Open Sans"/>
          <w:color w:val="000000"/>
          <w:sz w:val="24"/>
          <w:szCs w:val="24"/>
        </w:rPr>
        <w:t xml:space="preserve">na empresa. Isso, porque </w:t>
      </w:r>
      <w:r w:rsidR="004F05D3" w:rsidRPr="004F05D3">
        <w:rPr>
          <w:rFonts w:ascii="Open Sans" w:hAnsi="Open Sans" w:cs="Open Sans"/>
          <w:color w:val="000000"/>
          <w:sz w:val="24"/>
          <w:szCs w:val="24"/>
        </w:rPr>
        <w:t>o referido intervalo entre os pactos laborais possibilita o surgimento de situações inéditas na relação de trabalho, revela</w:t>
      </w:r>
      <w:r w:rsidR="004F05D3">
        <w:rPr>
          <w:rFonts w:ascii="Open Sans" w:hAnsi="Open Sans" w:cs="Open Sans"/>
          <w:color w:val="000000"/>
          <w:sz w:val="24"/>
          <w:szCs w:val="24"/>
        </w:rPr>
        <w:t>ndo-se</w:t>
      </w:r>
      <w:r w:rsidR="00E83CE0">
        <w:rPr>
          <w:rFonts w:ascii="Open Sans" w:hAnsi="Open Sans" w:cs="Open Sans"/>
          <w:color w:val="000000"/>
          <w:sz w:val="24"/>
          <w:szCs w:val="24"/>
        </w:rPr>
        <w:t xml:space="preserve"> viável outra avaliação </w:t>
      </w:r>
      <w:proofErr w:type="gramStart"/>
      <w:r w:rsidR="00E83CE0">
        <w:rPr>
          <w:rFonts w:ascii="Open Sans" w:hAnsi="Open Sans" w:cs="Open Sans"/>
          <w:color w:val="000000"/>
          <w:sz w:val="24"/>
          <w:szCs w:val="24"/>
        </w:rPr>
        <w:t>mútua</w:t>
      </w:r>
      <w:proofErr w:type="gramEnd"/>
      <w:r w:rsidR="00E83CE0">
        <w:rPr>
          <w:rFonts w:ascii="Open Sans" w:hAnsi="Open Sans" w:cs="Open Sans"/>
          <w:color w:val="000000"/>
          <w:sz w:val="24"/>
          <w:szCs w:val="24"/>
        </w:rPr>
        <w:t xml:space="preserve">, </w:t>
      </w:r>
      <w:r w:rsidR="004F05D3" w:rsidRPr="004F05D3">
        <w:rPr>
          <w:rFonts w:ascii="Open Sans" w:hAnsi="Open Sans" w:cs="Open Sans"/>
          <w:color w:val="000000"/>
          <w:sz w:val="24"/>
          <w:szCs w:val="24"/>
        </w:rPr>
        <w:t>sem qualquer prejuízo.</w:t>
      </w:r>
      <w:r w:rsidR="004F05D3">
        <w:rPr>
          <w:rFonts w:ascii="Open Sans" w:hAnsi="Open Sans" w:cs="Open Sans"/>
          <w:color w:val="000000"/>
          <w:sz w:val="24"/>
          <w:szCs w:val="24"/>
        </w:rPr>
        <w:t xml:space="preserve"> Ademais, a matéria é passível de negociação coletiva, nos termos do inciso XXVI do art. 7 º da Constituição Federal, e observa os limites estabelecidos no próprio texto constitucional e no art. 611-B da CLT. </w:t>
      </w:r>
      <w:r>
        <w:rPr>
          <w:rFonts w:ascii="Open Sans" w:hAnsi="Open Sans" w:cs="Open Sans"/>
          <w:color w:val="000000"/>
          <w:sz w:val="24"/>
          <w:szCs w:val="24"/>
        </w:rPr>
        <w:t>Com esses fundamentos, a SDC, por maioria, deu provimento parcial ao recur</w:t>
      </w:r>
      <w:r w:rsidR="00E83CE0">
        <w:rPr>
          <w:rFonts w:ascii="Open Sans" w:hAnsi="Open Sans" w:cs="Open Sans"/>
          <w:color w:val="000000"/>
          <w:sz w:val="24"/>
          <w:szCs w:val="24"/>
        </w:rPr>
        <w:t xml:space="preserve">so </w:t>
      </w:r>
      <w:proofErr w:type="gramStart"/>
      <w:r w:rsidR="00E83CE0">
        <w:rPr>
          <w:rFonts w:ascii="Open Sans" w:hAnsi="Open Sans" w:cs="Open Sans"/>
          <w:color w:val="000000"/>
          <w:sz w:val="24"/>
          <w:szCs w:val="24"/>
        </w:rPr>
        <w:t>ordinário,</w:t>
      </w:r>
      <w:r w:rsidR="007D485F">
        <w:rPr>
          <w:rFonts w:ascii="Open Sans" w:hAnsi="Open Sans" w:cs="Open Sans"/>
          <w:color w:val="000000"/>
          <w:sz w:val="24"/>
          <w:szCs w:val="24"/>
        </w:rPr>
        <w:t xml:space="preserve"> </w:t>
      </w:r>
      <w:r>
        <w:rPr>
          <w:rFonts w:ascii="Open Sans" w:hAnsi="Open Sans" w:cs="Open Sans"/>
          <w:color w:val="000000"/>
          <w:sz w:val="24"/>
          <w:szCs w:val="24"/>
        </w:rPr>
        <w:t>vencidos</w:t>
      </w:r>
      <w:proofErr w:type="gramEnd"/>
      <w:r>
        <w:rPr>
          <w:rFonts w:ascii="Open Sans" w:hAnsi="Open Sans" w:cs="Open Sans"/>
          <w:color w:val="000000"/>
          <w:sz w:val="24"/>
          <w:szCs w:val="24"/>
        </w:rPr>
        <w:t xml:space="preserve"> os Ministros </w:t>
      </w:r>
      <w:r w:rsidR="00E83CE0">
        <w:rPr>
          <w:rFonts w:ascii="Open Sans" w:hAnsi="Open Sans" w:cs="Open Sans"/>
          <w:color w:val="000000"/>
          <w:sz w:val="24"/>
          <w:szCs w:val="24"/>
        </w:rPr>
        <w:t xml:space="preserve">Maurício Godinho Delgado, </w:t>
      </w:r>
      <w:r w:rsidRPr="00D111C9">
        <w:rPr>
          <w:rFonts w:ascii="Open Sans" w:hAnsi="Open Sans" w:cs="Open Sans"/>
          <w:color w:val="000000"/>
          <w:sz w:val="24"/>
          <w:szCs w:val="24"/>
        </w:rPr>
        <w:t>Alexandre de Souza Agra Belmonte e</w:t>
      </w:r>
      <w:r w:rsidR="00E83CE0">
        <w:rPr>
          <w:rFonts w:ascii="Open Sans" w:hAnsi="Open Sans" w:cs="Open Sans"/>
          <w:color w:val="000000"/>
          <w:sz w:val="24"/>
          <w:szCs w:val="24"/>
        </w:rPr>
        <w:t xml:space="preserve"> Lelio Bentes Corrêa</w:t>
      </w:r>
      <w:r w:rsidRPr="007277FA">
        <w:rPr>
          <w:rFonts w:ascii="Open Sans" w:hAnsi="Open Sans" w:cs="Open Sans"/>
          <w:color w:val="000000"/>
          <w:sz w:val="24"/>
          <w:szCs w:val="24"/>
        </w:rPr>
        <w:t xml:space="preserve">. </w:t>
      </w:r>
      <w:hyperlink r:id="rId8" w:history="1">
        <w:r w:rsidRPr="007277FA">
          <w:rPr>
            <w:rStyle w:val="Hyperlink"/>
            <w:rFonts w:ascii="Open Sans" w:hAnsi="Open Sans" w:cs="Open Sans"/>
            <w:sz w:val="24"/>
            <w:szCs w:val="24"/>
          </w:rPr>
          <w:t>TST-</w:t>
        </w:r>
        <w:r w:rsidR="00E83CE0" w:rsidRPr="007277FA">
          <w:rPr>
            <w:rStyle w:val="Hyperlink"/>
            <w:rFonts w:ascii="Open Sans" w:hAnsi="Open Sans" w:cs="Open Sans"/>
            <w:sz w:val="24"/>
            <w:szCs w:val="24"/>
          </w:rPr>
          <w:t>RO - 804-62.2016.5.08.0000, SDC, rel. Min. Guilherme Augusto Caputo Bastos, julgado em 15/9</w:t>
        </w:r>
        <w:r w:rsidRPr="007277FA">
          <w:rPr>
            <w:rStyle w:val="Hyperlink"/>
            <w:rFonts w:ascii="Open Sans" w:hAnsi="Open Sans" w:cs="Open Sans"/>
            <w:sz w:val="24"/>
            <w:szCs w:val="24"/>
          </w:rPr>
          <w:t xml:space="preserve">/2025. </w:t>
        </w:r>
      </w:hyperlink>
    </w:p>
    <w:p w:rsidR="002518B4" w:rsidRPr="00174362" w:rsidRDefault="002518B4" w:rsidP="00DE7B5D">
      <w:pPr>
        <w:tabs>
          <w:tab w:val="left" w:pos="9498"/>
        </w:tabs>
        <w:ind w:left="-227" w:right="369"/>
        <w:jc w:val="both"/>
        <w:rPr>
          <w:rFonts w:ascii="Open Sans" w:hAnsi="Open Sans" w:cs="Open Sans"/>
          <w:b/>
          <w:i/>
          <w:color w:val="000000"/>
          <w:sz w:val="24"/>
          <w:szCs w:val="24"/>
        </w:rPr>
      </w:pPr>
    </w:p>
    <w:p w:rsidR="001A7589" w:rsidRPr="003509A3" w:rsidRDefault="001A7589" w:rsidP="00067B05">
      <w:pPr>
        <w:pStyle w:val="Ttulo1"/>
        <w:spacing w:before="0"/>
        <w:ind w:left="-227" w:right="369"/>
      </w:pPr>
      <w:r w:rsidRPr="003509A3">
        <w:t xml:space="preserve">SUBSEÇÃO </w:t>
      </w:r>
      <w:r>
        <w:t>I</w:t>
      </w:r>
      <w:r w:rsidRPr="003509A3">
        <w:t xml:space="preserve"> ESPECIALIZADA EM DISSÍDIOS INDIVIDUAIS</w:t>
      </w:r>
    </w:p>
    <w:p w:rsidR="00C37C80" w:rsidRDefault="00C37C80" w:rsidP="00C37C80">
      <w:pPr>
        <w:ind w:left="-227" w:right="369"/>
        <w:jc w:val="both"/>
        <w:rPr>
          <w:rFonts w:ascii="Open Sans" w:hAnsi="Open Sans" w:cs="Open Sans"/>
          <w:b/>
          <w:i/>
          <w:color w:val="000000"/>
          <w:sz w:val="24"/>
          <w:szCs w:val="24"/>
        </w:rPr>
      </w:pPr>
    </w:p>
    <w:p w:rsidR="00C37C80" w:rsidRPr="00C37C80" w:rsidRDefault="00080232" w:rsidP="00C37C80">
      <w:pPr>
        <w:ind w:left="-227" w:right="369"/>
        <w:jc w:val="both"/>
        <w:rPr>
          <w:rFonts w:ascii="Open Sans" w:hAnsi="Open Sans" w:cs="Open Sans"/>
          <w:b/>
          <w:i/>
          <w:color w:val="000000"/>
          <w:sz w:val="24"/>
          <w:szCs w:val="24"/>
        </w:rPr>
      </w:pPr>
      <w:r>
        <w:rPr>
          <w:rFonts w:ascii="Open Sans" w:hAnsi="Open Sans" w:cs="Open Sans"/>
          <w:b/>
          <w:i/>
          <w:color w:val="000000"/>
          <w:sz w:val="24"/>
          <w:szCs w:val="24"/>
        </w:rPr>
        <w:t>Norma coletiva. E</w:t>
      </w:r>
      <w:r w:rsidR="00C37C80">
        <w:rPr>
          <w:rFonts w:ascii="Open Sans" w:hAnsi="Open Sans" w:cs="Open Sans"/>
          <w:b/>
          <w:i/>
          <w:color w:val="000000"/>
          <w:sz w:val="24"/>
          <w:szCs w:val="24"/>
        </w:rPr>
        <w:t>mpregado sujeito à jornada semanal de 40 horas</w:t>
      </w:r>
      <w:r w:rsidR="00C37C80" w:rsidRPr="00C37C80">
        <w:rPr>
          <w:rFonts w:ascii="Open Sans" w:hAnsi="Open Sans" w:cs="Open Sans"/>
          <w:b/>
          <w:i/>
          <w:color w:val="000000"/>
          <w:sz w:val="24"/>
          <w:szCs w:val="24"/>
        </w:rPr>
        <w:t>.</w:t>
      </w:r>
      <w:r>
        <w:rPr>
          <w:rFonts w:ascii="Open Sans" w:hAnsi="Open Sans" w:cs="Open Sans"/>
          <w:b/>
          <w:i/>
          <w:color w:val="000000"/>
          <w:sz w:val="24"/>
          <w:szCs w:val="24"/>
        </w:rPr>
        <w:t xml:space="preserve"> Adoção do </w:t>
      </w:r>
      <w:proofErr w:type="gramStart"/>
      <w:r>
        <w:rPr>
          <w:rFonts w:ascii="Open Sans" w:hAnsi="Open Sans" w:cs="Open Sans"/>
          <w:b/>
          <w:i/>
          <w:color w:val="000000"/>
          <w:sz w:val="24"/>
          <w:szCs w:val="24"/>
        </w:rPr>
        <w:t>divisor 220</w:t>
      </w:r>
      <w:proofErr w:type="gramEnd"/>
      <w:r>
        <w:rPr>
          <w:rFonts w:ascii="Open Sans" w:hAnsi="Open Sans" w:cs="Open Sans"/>
          <w:b/>
          <w:i/>
          <w:color w:val="000000"/>
          <w:sz w:val="24"/>
          <w:szCs w:val="24"/>
        </w:rPr>
        <w:t>.</w:t>
      </w:r>
      <w:r w:rsidR="005F60E9">
        <w:rPr>
          <w:rFonts w:ascii="Open Sans" w:hAnsi="Open Sans" w:cs="Open Sans"/>
          <w:b/>
          <w:i/>
          <w:color w:val="000000"/>
          <w:sz w:val="24"/>
          <w:szCs w:val="24"/>
        </w:rPr>
        <w:t xml:space="preserve"> Validade. Observância da tese fixada no Tema 1046. </w:t>
      </w:r>
    </w:p>
    <w:p w:rsidR="009E652F" w:rsidRPr="00C37C80" w:rsidRDefault="007A7104" w:rsidP="00C37C80">
      <w:pPr>
        <w:ind w:left="-227" w:right="369"/>
        <w:jc w:val="both"/>
        <w:rPr>
          <w:rFonts w:ascii="Open Sans" w:hAnsi="Open Sans" w:cs="Open Sans"/>
          <w:color w:val="000000"/>
          <w:sz w:val="24"/>
          <w:szCs w:val="24"/>
        </w:rPr>
      </w:pPr>
      <w:r>
        <w:rPr>
          <w:rFonts w:ascii="Open Sans" w:hAnsi="Open Sans" w:cs="Open Sans"/>
          <w:color w:val="000000"/>
          <w:sz w:val="24"/>
          <w:szCs w:val="24"/>
        </w:rPr>
        <w:t>É vá</w:t>
      </w:r>
      <w:r w:rsidR="00C37C80" w:rsidRPr="00C37C80">
        <w:rPr>
          <w:rFonts w:ascii="Open Sans" w:hAnsi="Open Sans" w:cs="Open Sans"/>
          <w:color w:val="000000"/>
          <w:sz w:val="24"/>
          <w:szCs w:val="24"/>
        </w:rPr>
        <w:t>lido o acordo coletivo que prevê</w:t>
      </w:r>
      <w:r w:rsidR="00080232">
        <w:rPr>
          <w:rFonts w:ascii="Open Sans" w:hAnsi="Open Sans" w:cs="Open Sans"/>
          <w:color w:val="000000"/>
          <w:sz w:val="24"/>
          <w:szCs w:val="24"/>
        </w:rPr>
        <w:t xml:space="preserve"> </w:t>
      </w:r>
      <w:r w:rsidR="00080232" w:rsidRPr="00C37C80">
        <w:rPr>
          <w:rFonts w:ascii="Open Sans" w:hAnsi="Open Sans" w:cs="Open Sans"/>
          <w:color w:val="000000"/>
          <w:sz w:val="24"/>
          <w:szCs w:val="24"/>
        </w:rPr>
        <w:t xml:space="preserve">a adoção do </w:t>
      </w:r>
      <w:proofErr w:type="gramStart"/>
      <w:r w:rsidR="00080232" w:rsidRPr="00C37C80">
        <w:rPr>
          <w:rFonts w:ascii="Open Sans" w:hAnsi="Open Sans" w:cs="Open Sans"/>
          <w:color w:val="000000"/>
          <w:sz w:val="24"/>
          <w:szCs w:val="24"/>
        </w:rPr>
        <w:t>divisor 220</w:t>
      </w:r>
      <w:proofErr w:type="gramEnd"/>
      <w:r w:rsidR="00080232" w:rsidRPr="00C37C80">
        <w:rPr>
          <w:rFonts w:ascii="Open Sans" w:hAnsi="Open Sans" w:cs="Open Sans"/>
          <w:color w:val="000000"/>
          <w:sz w:val="24"/>
          <w:szCs w:val="24"/>
        </w:rPr>
        <w:t xml:space="preserve"> para o c</w:t>
      </w:r>
      <w:r w:rsidR="00080232">
        <w:rPr>
          <w:rFonts w:ascii="Open Sans" w:hAnsi="Open Sans" w:cs="Open Sans"/>
          <w:color w:val="000000"/>
          <w:sz w:val="24"/>
          <w:szCs w:val="24"/>
        </w:rPr>
        <w:t>álculo de horas extraordinárias</w:t>
      </w:r>
      <w:r w:rsidR="00C37C80" w:rsidRPr="00C37C80">
        <w:rPr>
          <w:rFonts w:ascii="Open Sans" w:hAnsi="Open Sans" w:cs="Open Sans"/>
          <w:color w:val="000000"/>
          <w:sz w:val="24"/>
          <w:szCs w:val="24"/>
        </w:rPr>
        <w:t xml:space="preserve"> ao empregado com jornada de trabalho </w:t>
      </w:r>
      <w:r w:rsidR="00C37C80">
        <w:rPr>
          <w:rFonts w:ascii="Open Sans" w:hAnsi="Open Sans" w:cs="Open Sans"/>
          <w:color w:val="000000"/>
          <w:sz w:val="24"/>
          <w:szCs w:val="24"/>
        </w:rPr>
        <w:t xml:space="preserve">de </w:t>
      </w:r>
      <w:r w:rsidR="00C37C80" w:rsidRPr="00C37C80">
        <w:rPr>
          <w:rFonts w:ascii="Open Sans" w:hAnsi="Open Sans" w:cs="Open Sans"/>
          <w:color w:val="000000"/>
          <w:sz w:val="24"/>
          <w:szCs w:val="24"/>
        </w:rPr>
        <w:t xml:space="preserve">40 </w:t>
      </w:r>
      <w:r w:rsidR="00C37C80">
        <w:rPr>
          <w:rFonts w:ascii="Open Sans" w:hAnsi="Open Sans" w:cs="Open Sans"/>
          <w:color w:val="000000"/>
          <w:sz w:val="24"/>
          <w:szCs w:val="24"/>
        </w:rPr>
        <w:t>horas semanai</w:t>
      </w:r>
      <w:r w:rsidR="00080232">
        <w:rPr>
          <w:rFonts w:ascii="Open Sans" w:hAnsi="Open Sans" w:cs="Open Sans"/>
          <w:color w:val="000000"/>
          <w:sz w:val="24"/>
          <w:szCs w:val="24"/>
        </w:rPr>
        <w:t>s</w:t>
      </w:r>
      <w:r>
        <w:rPr>
          <w:rFonts w:ascii="Open Sans" w:hAnsi="Open Sans" w:cs="Open Sans"/>
          <w:color w:val="000000"/>
          <w:sz w:val="24"/>
          <w:szCs w:val="24"/>
        </w:rPr>
        <w:t xml:space="preserve">, pois o direito transacionado não se encontra dentre os elencados como </w:t>
      </w:r>
      <w:r w:rsidR="007277FA">
        <w:rPr>
          <w:rFonts w:ascii="Open Sans" w:hAnsi="Open Sans" w:cs="Open Sans"/>
          <w:color w:val="000000"/>
          <w:sz w:val="24"/>
          <w:szCs w:val="24"/>
        </w:rPr>
        <w:t>indisponíveis,</w:t>
      </w:r>
      <w:r>
        <w:rPr>
          <w:rFonts w:ascii="Open Sans" w:hAnsi="Open Sans" w:cs="Open Sans"/>
          <w:color w:val="000000"/>
          <w:sz w:val="24"/>
          <w:szCs w:val="24"/>
        </w:rPr>
        <w:t xml:space="preserve"> sendo passível de negociação,</w:t>
      </w:r>
      <w:r w:rsidR="007277FA">
        <w:rPr>
          <w:rFonts w:ascii="Open Sans" w:hAnsi="Open Sans" w:cs="Open Sans"/>
          <w:color w:val="000000"/>
          <w:sz w:val="24"/>
          <w:szCs w:val="24"/>
        </w:rPr>
        <w:t xml:space="preserve"> em especial porque evidenciada a existência de contrapartida.  Desse modo, em observância à tese fixada no Tema 1046</w:t>
      </w:r>
      <w:r w:rsidR="00C37C80" w:rsidRPr="00C37C80">
        <w:rPr>
          <w:rFonts w:ascii="Open Sans" w:hAnsi="Open Sans" w:cs="Open Sans"/>
          <w:color w:val="000000"/>
          <w:sz w:val="24"/>
          <w:szCs w:val="24"/>
        </w:rPr>
        <w:t xml:space="preserve">, </w:t>
      </w:r>
      <w:r w:rsidR="007277FA">
        <w:rPr>
          <w:rFonts w:ascii="Open Sans" w:hAnsi="Open Sans" w:cs="Open Sans"/>
          <w:color w:val="000000"/>
          <w:sz w:val="24"/>
          <w:szCs w:val="24"/>
        </w:rPr>
        <w:t>a SBDI-I, por maioria, deu provimento ao recurso de embargos, vencidos a</w:t>
      </w:r>
      <w:proofErr w:type="gramStart"/>
      <w:r w:rsidR="007277FA">
        <w:rPr>
          <w:rFonts w:ascii="Open Sans" w:hAnsi="Open Sans" w:cs="Open Sans"/>
          <w:color w:val="000000"/>
          <w:sz w:val="24"/>
          <w:szCs w:val="24"/>
        </w:rPr>
        <w:t xml:space="preserve"> </w:t>
      </w:r>
      <w:r w:rsidR="007277FA" w:rsidRPr="007277FA">
        <w:rPr>
          <w:rFonts w:ascii="Open Sans" w:hAnsi="Open Sans" w:cs="Open Sans"/>
          <w:color w:val="000000"/>
          <w:sz w:val="24"/>
          <w:szCs w:val="24"/>
        </w:rPr>
        <w:t xml:space="preserve"> </w:t>
      </w:r>
      <w:proofErr w:type="gramEnd"/>
      <w:r w:rsidR="007277FA" w:rsidRPr="007277FA">
        <w:rPr>
          <w:rFonts w:ascii="Open Sans" w:hAnsi="Open Sans" w:cs="Open Sans"/>
          <w:color w:val="000000"/>
          <w:sz w:val="24"/>
          <w:szCs w:val="24"/>
        </w:rPr>
        <w:t xml:space="preserve">Ministra Maria Helena Mallmann e os </w:t>
      </w:r>
      <w:r w:rsidR="007277FA" w:rsidRPr="007277FA">
        <w:rPr>
          <w:rFonts w:ascii="Open Sans" w:hAnsi="Open Sans" w:cs="Open Sans"/>
          <w:color w:val="000000"/>
          <w:sz w:val="24"/>
          <w:szCs w:val="24"/>
        </w:rPr>
        <w:lastRenderedPageBreak/>
        <w:t>Ministros Cláudio Mascarenhas Brandão e Alberto Bastos Balazeiro</w:t>
      </w:r>
      <w:r w:rsidR="007277FA">
        <w:rPr>
          <w:rFonts w:ascii="Open Sans" w:hAnsi="Open Sans" w:cs="Open Sans"/>
          <w:color w:val="000000"/>
          <w:sz w:val="24"/>
          <w:szCs w:val="24"/>
        </w:rPr>
        <w:t xml:space="preserve">. </w:t>
      </w:r>
      <w:hyperlink r:id="rId9" w:history="1">
        <w:r w:rsidR="00C37C80" w:rsidRPr="007277FA">
          <w:rPr>
            <w:rStyle w:val="Hyperlink"/>
            <w:rFonts w:ascii="Open Sans" w:hAnsi="Open Sans" w:cs="Open Sans"/>
            <w:sz w:val="24"/>
            <w:szCs w:val="24"/>
          </w:rPr>
          <w:t xml:space="preserve">TST-E-RR-622-55.2017.5.10.0010, SBDI-I, </w:t>
        </w:r>
        <w:proofErr w:type="spellStart"/>
        <w:r w:rsidR="00C37C80" w:rsidRPr="007277FA">
          <w:rPr>
            <w:rStyle w:val="Hyperlink"/>
            <w:rFonts w:ascii="Open Sans" w:hAnsi="Open Sans" w:cs="Open Sans"/>
            <w:sz w:val="24"/>
            <w:szCs w:val="24"/>
          </w:rPr>
          <w:t>rel</w:t>
        </w:r>
        <w:proofErr w:type="spellEnd"/>
        <w:r w:rsidR="00C37C80" w:rsidRPr="007277FA">
          <w:rPr>
            <w:rStyle w:val="Hyperlink"/>
            <w:rFonts w:ascii="Open Sans" w:hAnsi="Open Sans" w:cs="Open Sans"/>
            <w:sz w:val="24"/>
            <w:szCs w:val="24"/>
          </w:rPr>
          <w:t xml:space="preserve"> Min. Aloysio Corrêa da Veiga, julgado em </w:t>
        </w:r>
        <w:proofErr w:type="gramStart"/>
        <w:r w:rsidR="00C37C80" w:rsidRPr="007277FA">
          <w:rPr>
            <w:rStyle w:val="Hyperlink"/>
            <w:rFonts w:ascii="Open Sans" w:hAnsi="Open Sans" w:cs="Open Sans"/>
            <w:sz w:val="24"/>
            <w:szCs w:val="24"/>
          </w:rPr>
          <w:t>11/09/2025.</w:t>
        </w:r>
        <w:proofErr w:type="gramEnd"/>
      </w:hyperlink>
    </w:p>
    <w:p w:rsidR="009E652F" w:rsidRPr="00776724" w:rsidRDefault="009E652F" w:rsidP="00776724">
      <w:pPr>
        <w:tabs>
          <w:tab w:val="left" w:pos="9498"/>
        </w:tabs>
        <w:ind w:left="-227" w:right="369"/>
        <w:jc w:val="both"/>
        <w:rPr>
          <w:rFonts w:ascii="Open Sans" w:hAnsi="Open Sans" w:cs="Open Sans"/>
          <w:bCs/>
          <w:iCs/>
          <w:color w:val="000000"/>
          <w:sz w:val="24"/>
          <w:szCs w:val="24"/>
        </w:rPr>
      </w:pPr>
    </w:p>
    <w:p w:rsidR="001A7589" w:rsidRPr="003E0231" w:rsidRDefault="001A7589" w:rsidP="00067B05">
      <w:pPr>
        <w:pStyle w:val="Ttulo1"/>
        <w:spacing w:before="0"/>
        <w:ind w:left="-227" w:right="369"/>
      </w:pPr>
      <w:r w:rsidRPr="003509A3">
        <w:t xml:space="preserve">SUBSEÇÃO </w:t>
      </w:r>
      <w:r>
        <w:t>I</w:t>
      </w:r>
      <w:r w:rsidRPr="003509A3">
        <w:t>I ESPECIALIZADA EM DISSÍDIOS INDIVIDUAIS</w:t>
      </w:r>
    </w:p>
    <w:p w:rsidR="009E652F" w:rsidRPr="00A0413E" w:rsidRDefault="009E652F" w:rsidP="007D485F">
      <w:pPr>
        <w:ind w:left="-255" w:right="340"/>
        <w:jc w:val="both"/>
        <w:rPr>
          <w:rFonts w:ascii="Open Sans" w:hAnsi="Open Sans" w:cs="Open Sans"/>
          <w:b/>
          <w:color w:val="000000"/>
          <w:sz w:val="24"/>
          <w:szCs w:val="24"/>
        </w:rPr>
      </w:pPr>
    </w:p>
    <w:p w:rsidR="009B14CE" w:rsidRDefault="009B14CE" w:rsidP="007D485F">
      <w:pPr>
        <w:ind w:left="-255" w:right="340"/>
        <w:jc w:val="both"/>
        <w:rPr>
          <w:rFonts w:ascii="Open Sans" w:hAnsi="Open Sans" w:cs="Open Sans"/>
          <w:b/>
          <w:i/>
          <w:sz w:val="24"/>
          <w:szCs w:val="24"/>
        </w:rPr>
      </w:pPr>
      <w:r>
        <w:rPr>
          <w:rFonts w:ascii="Open Sans" w:hAnsi="Open Sans" w:cs="Open Sans"/>
          <w:b/>
          <w:i/>
          <w:sz w:val="24"/>
          <w:szCs w:val="24"/>
        </w:rPr>
        <w:t>Recurso ordinário em mandado de segurança. Reintegração no emprego. Doença ocupacional. Problemas psicológicos decorrentes de assédio moral sofrido no trabalho. Necessidade de dilação probatória.</w:t>
      </w:r>
    </w:p>
    <w:p w:rsidR="00F14FE4" w:rsidRDefault="009B14CE" w:rsidP="00F14FE4">
      <w:pPr>
        <w:suppressAutoHyphens/>
        <w:ind w:left="-255" w:right="340"/>
        <w:jc w:val="both"/>
        <w:rPr>
          <w:rStyle w:val="Hyperlink"/>
          <w:rFonts w:ascii="Open Sans" w:hAnsi="Open Sans" w:cs="Open Sans"/>
          <w:bCs/>
          <w:iCs/>
          <w:sz w:val="24"/>
          <w:szCs w:val="24"/>
        </w:rPr>
      </w:pPr>
      <w:r>
        <w:rPr>
          <w:rFonts w:ascii="Open Sans" w:hAnsi="Open Sans" w:cs="Open Sans"/>
          <w:sz w:val="24"/>
          <w:szCs w:val="24"/>
        </w:rPr>
        <w:t xml:space="preserve">O reconhecimento de doença ocupacional, notadamente a de natureza psicológica decorrente de assédio moral, exige cognição exauriente incompatível com os limites estreitos do mandado de segurança, de modo que nem a concessão do auxílio-doença B-31 pelo órgão previdenciário é suficiente a apontar a hipótese da estabilidade prevista no art. 118 da Lei nº 8.213/1991 e justificar a reintegração imediata no emprego. Ainda que os documentos juntados aos autos relatem a existência de mazelas ocorridas durante o contrato de trabalho, não se mostram suficientes para demarcar a condição de inaptidão do impetrante para o trabalho no momento da dispensa sem justa causa. Assim, ao concluir pela inexistência de direito líquido e certo a ser </w:t>
      </w:r>
      <w:proofErr w:type="gramStart"/>
      <w:r>
        <w:rPr>
          <w:rFonts w:ascii="Open Sans" w:hAnsi="Open Sans" w:cs="Open Sans"/>
          <w:sz w:val="24"/>
          <w:szCs w:val="24"/>
        </w:rPr>
        <w:t>tu</w:t>
      </w:r>
      <w:r w:rsidR="005D26A2">
        <w:rPr>
          <w:rFonts w:ascii="Open Sans" w:hAnsi="Open Sans" w:cs="Open Sans"/>
          <w:sz w:val="24"/>
          <w:szCs w:val="24"/>
        </w:rPr>
        <w:t>telado</w:t>
      </w:r>
      <w:proofErr w:type="gramEnd"/>
      <w:r w:rsidR="005D26A2">
        <w:rPr>
          <w:rFonts w:ascii="Open Sans" w:hAnsi="Open Sans" w:cs="Open Sans"/>
          <w:sz w:val="24"/>
          <w:szCs w:val="24"/>
        </w:rPr>
        <w:t xml:space="preserve"> pelo impetrante, a SBDI-II, por </w:t>
      </w:r>
      <w:r>
        <w:rPr>
          <w:rFonts w:ascii="Open Sans" w:hAnsi="Open Sans" w:cs="Open Sans"/>
          <w:sz w:val="24"/>
          <w:szCs w:val="24"/>
        </w:rPr>
        <w:t>unanimidade, conheceu do recurso ordinário e, no mérito, por maioria, deu-lhe provi</w:t>
      </w:r>
      <w:r w:rsidR="005D26A2">
        <w:rPr>
          <w:rFonts w:ascii="Open Sans" w:hAnsi="Open Sans" w:cs="Open Sans"/>
          <w:sz w:val="24"/>
          <w:szCs w:val="24"/>
        </w:rPr>
        <w:t xml:space="preserve">mento para denegar a segurança, vencido o Ministro Mauricio Godinho Delgado. </w:t>
      </w:r>
      <w:hyperlink r:id="rId10" w:history="1">
        <w:r w:rsidRPr="005D26A2">
          <w:rPr>
            <w:rStyle w:val="Hyperlink"/>
            <w:rFonts w:ascii="Open Sans" w:hAnsi="Open Sans" w:cs="Open Sans"/>
            <w:bCs/>
            <w:iCs/>
            <w:sz w:val="24"/>
            <w:szCs w:val="24"/>
          </w:rPr>
          <w:t xml:space="preserve">TST-ROT-0107195-89.2023.5.01.0000, SBDI-II, rel. Min. Luiz José Dezena da Silva, julgado em </w:t>
        </w:r>
        <w:proofErr w:type="gramStart"/>
        <w:r w:rsidRPr="005D26A2">
          <w:rPr>
            <w:rStyle w:val="Hyperlink"/>
            <w:rFonts w:ascii="Open Sans" w:hAnsi="Open Sans" w:cs="Open Sans"/>
            <w:bCs/>
            <w:iCs/>
            <w:sz w:val="24"/>
            <w:szCs w:val="24"/>
          </w:rPr>
          <w:t>9/9/2025.</w:t>
        </w:r>
        <w:proofErr w:type="gramEnd"/>
      </w:hyperlink>
    </w:p>
    <w:p w:rsidR="009E652F" w:rsidRPr="00776724" w:rsidRDefault="009E652F" w:rsidP="00776724">
      <w:pPr>
        <w:tabs>
          <w:tab w:val="left" w:pos="9498"/>
        </w:tabs>
        <w:ind w:left="-227" w:right="369"/>
        <w:jc w:val="both"/>
        <w:rPr>
          <w:rFonts w:ascii="Open Sans" w:hAnsi="Open Sans" w:cs="Open Sans"/>
          <w:bCs/>
          <w:iCs/>
          <w:color w:val="000000"/>
          <w:sz w:val="24"/>
          <w:szCs w:val="24"/>
        </w:rPr>
      </w:pPr>
    </w:p>
    <w:p w:rsidR="001A7589" w:rsidRPr="003509A3" w:rsidRDefault="001A7589" w:rsidP="00067B05">
      <w:pPr>
        <w:pStyle w:val="Ttulo1"/>
        <w:spacing w:before="0"/>
        <w:ind w:left="-227" w:right="369"/>
      </w:pPr>
      <w:r w:rsidRPr="003509A3">
        <w:t>TURMAS</w:t>
      </w:r>
    </w:p>
    <w:p w:rsidR="00ED73E7" w:rsidRDefault="001A7589" w:rsidP="00067B05">
      <w:pPr>
        <w:pStyle w:val="Cabealho"/>
        <w:tabs>
          <w:tab w:val="clear" w:pos="4419"/>
          <w:tab w:val="clear" w:pos="8838"/>
        </w:tabs>
        <w:ind w:left="-227" w:right="369" w:firstLine="142"/>
        <w:jc w:val="center"/>
        <w:rPr>
          <w:rFonts w:ascii="Open Sans" w:hAnsi="Open Sans" w:cs="Open Sans"/>
          <w:i/>
        </w:rPr>
      </w:pPr>
      <w:r w:rsidRPr="003509A3">
        <w:rPr>
          <w:rFonts w:ascii="Open Sans" w:hAnsi="Open Sans" w:cs="Open Sans"/>
          <w:i/>
        </w:rPr>
        <w:t>Transcrição de ementas selecionadas nas sessões de julgamento das Turmas do TST.</w:t>
      </w:r>
    </w:p>
    <w:p w:rsidR="002518B4" w:rsidRDefault="002518B4" w:rsidP="00067B05">
      <w:pPr>
        <w:ind w:left="-227" w:right="369"/>
        <w:jc w:val="both"/>
        <w:rPr>
          <w:rFonts w:ascii="Open Sans" w:hAnsi="Open Sans" w:cs="Open Sans"/>
          <w:sz w:val="24"/>
          <w:szCs w:val="24"/>
        </w:rPr>
      </w:pPr>
    </w:p>
    <w:p w:rsidR="00777E16" w:rsidRPr="0010507F" w:rsidRDefault="007D485F" w:rsidP="002C6999">
      <w:pPr>
        <w:suppressAutoHyphens/>
        <w:ind w:left="-255" w:right="340"/>
        <w:jc w:val="both"/>
        <w:rPr>
          <w:rFonts w:ascii="Open Sans" w:hAnsi="Open Sans"/>
          <w:sz w:val="24"/>
        </w:rPr>
      </w:pPr>
      <w:r w:rsidRPr="002C6999">
        <w:rPr>
          <w:rFonts w:ascii="Open Sans" w:hAnsi="Open Sans" w:cs="Open Sans"/>
          <w:sz w:val="24"/>
          <w:szCs w:val="24"/>
        </w:rPr>
        <w:t>“</w:t>
      </w:r>
      <w:r w:rsidR="009D2B37" w:rsidRPr="002C6999">
        <w:rPr>
          <w:rFonts w:ascii="Open Sans" w:hAnsi="Open Sans" w:cs="Open Sans"/>
          <w:sz w:val="24"/>
          <w:szCs w:val="24"/>
        </w:rPr>
        <w:t>[...]</w:t>
      </w:r>
      <w:r w:rsidR="00197261">
        <w:rPr>
          <w:rFonts w:ascii="Open Sans" w:hAnsi="Open Sans" w:cs="Open Sans"/>
          <w:sz w:val="24"/>
          <w:szCs w:val="24"/>
        </w:rPr>
        <w:t xml:space="preserve"> </w:t>
      </w:r>
      <w:r w:rsidR="002C6999" w:rsidRPr="002C6999">
        <w:rPr>
          <w:rFonts w:ascii="Open Sans" w:hAnsi="Open Sans" w:cs="Open Sans"/>
          <w:sz w:val="24"/>
          <w:szCs w:val="24"/>
        </w:rPr>
        <w:t xml:space="preserve">III - RECURSO DE REVISTA DA EXECUTADA. AÇÃO DE EXECUÇÃO DE OBRIGAÇÕES (DE NÃO FAZER) PREVISTAS EM TERMO DE AJUSTAMENTO DE CONDUTA (TAC 220/2006). VEDAÇÃO DE TERCEIRIZAÇÃO EM ATIVIDADE-FIM. INEXIGIBILIDADE DO TÍTULO EXECUTIVO EXTRAJUDICIAL, À LUZ DAS LEIS Nos 13.429/2017, DA ADPF 324 E DO TEMA 725 DE REPERCUSSÃO GERAL. </w:t>
      </w:r>
      <w:proofErr w:type="gramStart"/>
      <w:r w:rsidR="002C6999" w:rsidRPr="002C6999">
        <w:rPr>
          <w:rFonts w:ascii="Open Sans" w:hAnsi="Open Sans" w:cs="Open Sans"/>
          <w:sz w:val="24"/>
          <w:szCs w:val="24"/>
        </w:rPr>
        <w:t>1</w:t>
      </w:r>
      <w:proofErr w:type="gramEnd"/>
      <w:r w:rsidR="002C6999" w:rsidRPr="002C6999">
        <w:rPr>
          <w:rFonts w:ascii="Open Sans" w:hAnsi="Open Sans" w:cs="Open Sans"/>
          <w:sz w:val="24"/>
          <w:szCs w:val="24"/>
        </w:rPr>
        <w:t xml:space="preserve">. O Tribunal reconheceu a exigibilidade das cláusulas do Termo de Ajustamento de Conduta que vedam a terceirização em atividade-fim da executada, mesmo diante da tese firmada pelo Supremo Tribunal Federal no julgamento da ADPF 324 e do RE 958.252 (Tema 725 de repercussão geral). 2. Todavia, o entendimento que deu suporte à assunção, pela executada, do compromisso de ajustar sua conduta, deixando de terceirizar serviços relacionados à sua atividade-fim, restou superado pela tese firmada pelo STF ao julgamento do referido Tema 725 de repercussão geral, no sentido da legalidade irrestrita da terceirização de serviços, podendo a contratação de trabalhadores se dar de forma direta ou por empresa interposta e para exercer indiscriminadamente atividades ligadas à área fim ou meio das empresas. 3. No caso, não havendo pretensão alusiva a período anterior ao pronunciamento de caráter vinculante do STF, afigura-se inexigível o título exequendo que se fundamenta em entendimento que contraria tese estabelecida por aquela Corte. 4. Configurada a violação do art. 5º, II, da Constituição </w:t>
      </w:r>
      <w:r w:rsidR="002C6999" w:rsidRPr="002C6999">
        <w:rPr>
          <w:rFonts w:ascii="Open Sans" w:hAnsi="Open Sans" w:cs="Open Sans"/>
          <w:sz w:val="24"/>
          <w:szCs w:val="24"/>
        </w:rPr>
        <w:lastRenderedPageBreak/>
        <w:t>Federal.</w:t>
      </w:r>
      <w:r w:rsidR="002C6999">
        <w:rPr>
          <w:rFonts w:ascii="Open Sans" w:hAnsi="Open Sans" w:cs="Open Sans"/>
          <w:sz w:val="24"/>
          <w:szCs w:val="24"/>
        </w:rPr>
        <w:t xml:space="preserve"> </w:t>
      </w:r>
      <w:r w:rsidR="002C6999" w:rsidRPr="002C6999">
        <w:rPr>
          <w:rFonts w:ascii="Open Sans" w:hAnsi="Open Sans" w:cs="Open Sans"/>
          <w:sz w:val="24"/>
          <w:szCs w:val="24"/>
        </w:rPr>
        <w:t>Recurso de revista conhecido e provido.</w:t>
      </w:r>
      <w:r w:rsidRPr="002C6999">
        <w:rPr>
          <w:rFonts w:ascii="Open Sans" w:hAnsi="Open Sans" w:cs="Open Sans"/>
          <w:sz w:val="24"/>
          <w:szCs w:val="24"/>
        </w:rPr>
        <w:t>”</w:t>
      </w:r>
      <w:r w:rsidR="00777E16" w:rsidRPr="002C6999">
        <w:rPr>
          <w:rFonts w:ascii="Open Sans" w:hAnsi="Open Sans" w:cs="Open Sans"/>
          <w:sz w:val="24"/>
          <w:szCs w:val="24"/>
        </w:rPr>
        <w:t xml:space="preserve"> </w:t>
      </w:r>
      <w:r w:rsidR="00777E16" w:rsidRPr="0010507F">
        <w:rPr>
          <w:rFonts w:ascii="Open Sans" w:hAnsi="Open Sans"/>
          <w:sz w:val="24"/>
        </w:rPr>
        <w:t>(</w:t>
      </w:r>
      <w:hyperlink r:id="rId11" w:history="1">
        <w:r w:rsidR="00784588" w:rsidRPr="0010507F">
          <w:rPr>
            <w:rStyle w:val="Hyperlink"/>
            <w:rFonts w:ascii="Open Sans" w:hAnsi="Open Sans"/>
            <w:sz w:val="24"/>
          </w:rPr>
          <w:t xml:space="preserve">TST-RR-10436-06.2017.5.03.0069, </w:t>
        </w:r>
        <w:r w:rsidR="00427EE1" w:rsidRPr="0010507F">
          <w:rPr>
            <w:rStyle w:val="Hyperlink"/>
            <w:rFonts w:ascii="Open Sans" w:hAnsi="Open Sans"/>
            <w:sz w:val="24"/>
          </w:rPr>
          <w:t xml:space="preserve">1ª Turma, rel. Min. </w:t>
        </w:r>
        <w:r w:rsidR="00F340B4" w:rsidRPr="0010507F">
          <w:rPr>
            <w:rStyle w:val="Hyperlink"/>
            <w:rFonts w:ascii="Open Sans" w:hAnsi="Open Sans"/>
            <w:sz w:val="24"/>
          </w:rPr>
          <w:t>Hugo Carlos Scheuermann, julgado em 17/9/2025</w:t>
        </w:r>
      </w:hyperlink>
      <w:r w:rsidR="00F340B4" w:rsidRPr="0010507F">
        <w:rPr>
          <w:rFonts w:ascii="Open Sans" w:hAnsi="Open Sans"/>
          <w:sz w:val="24"/>
        </w:rPr>
        <w:t>)</w:t>
      </w:r>
    </w:p>
    <w:p w:rsidR="00777E16" w:rsidRPr="0010507F" w:rsidRDefault="00777E16" w:rsidP="00F76068">
      <w:pPr>
        <w:widowControl w:val="0"/>
        <w:suppressAutoHyphens/>
        <w:ind w:left="-255" w:right="340"/>
        <w:jc w:val="both"/>
        <w:rPr>
          <w:rFonts w:ascii="Open Sans" w:hAnsi="Open Sans"/>
          <w:sz w:val="24"/>
        </w:rPr>
      </w:pPr>
    </w:p>
    <w:p w:rsidR="00761FD2" w:rsidRPr="0010507F" w:rsidRDefault="007D485F" w:rsidP="00F76068">
      <w:pPr>
        <w:widowControl w:val="0"/>
        <w:suppressAutoHyphens/>
        <w:ind w:left="-255" w:right="340"/>
        <w:jc w:val="both"/>
        <w:rPr>
          <w:rFonts w:ascii="Open Sans" w:hAnsi="Open Sans"/>
          <w:sz w:val="24"/>
        </w:rPr>
      </w:pPr>
      <w:r>
        <w:rPr>
          <w:rFonts w:ascii="Open Sans" w:hAnsi="Open Sans"/>
          <w:sz w:val="24"/>
        </w:rPr>
        <w:t>“</w:t>
      </w:r>
      <w:r w:rsidR="009D2B37">
        <w:rPr>
          <w:rFonts w:ascii="Open Sans" w:hAnsi="Open Sans"/>
          <w:sz w:val="24"/>
        </w:rPr>
        <w:t xml:space="preserve">[...] RECURSO DE REVISTA. INDENIZAÇÃO POR </w:t>
      </w:r>
      <w:r w:rsidR="00005B29" w:rsidRPr="0010507F">
        <w:rPr>
          <w:rFonts w:ascii="Open Sans" w:hAnsi="Open Sans"/>
          <w:sz w:val="24"/>
        </w:rPr>
        <w:t>DANO</w:t>
      </w:r>
      <w:r w:rsidR="009D2B37">
        <w:rPr>
          <w:rFonts w:ascii="Open Sans" w:hAnsi="Open Sans"/>
          <w:sz w:val="24"/>
        </w:rPr>
        <w:t xml:space="preserve"> </w:t>
      </w:r>
      <w:r w:rsidR="00005B29" w:rsidRPr="0010507F">
        <w:rPr>
          <w:rFonts w:ascii="Open Sans" w:hAnsi="Open Sans"/>
          <w:sz w:val="24"/>
        </w:rPr>
        <w:t>EXTRAPATRIMONIAL.</w:t>
      </w:r>
      <w:proofErr w:type="gramStart"/>
      <w:r w:rsidR="00005B29" w:rsidRPr="0010507F">
        <w:rPr>
          <w:rFonts w:ascii="Open Sans" w:hAnsi="Open Sans"/>
          <w:sz w:val="24"/>
        </w:rPr>
        <w:t xml:space="preserve">  </w:t>
      </w:r>
      <w:proofErr w:type="gramEnd"/>
      <w:r w:rsidR="00005B29" w:rsidRPr="0010507F">
        <w:rPr>
          <w:rFonts w:ascii="Open Sans" w:hAnsi="Open Sans"/>
          <w:sz w:val="24"/>
        </w:rPr>
        <w:t>ARBITRAMENTO  PELOS  PARÂMETROS</w:t>
      </w:r>
      <w:r w:rsidR="00904A09" w:rsidRPr="0010507F">
        <w:rPr>
          <w:rFonts w:ascii="Open Sans" w:hAnsi="Open Sans"/>
          <w:sz w:val="24"/>
        </w:rPr>
        <w:t xml:space="preserve"> </w:t>
      </w:r>
      <w:r w:rsidR="00005B29" w:rsidRPr="0010507F">
        <w:rPr>
          <w:rFonts w:ascii="Open Sans" w:hAnsi="Open Sans"/>
          <w:sz w:val="24"/>
        </w:rPr>
        <w:t>DEFINIDOS NO ART. 223-G, § 1º E INCISOS DA CLT. ALEGAÇÃO</w:t>
      </w:r>
      <w:r w:rsidR="009D2B37">
        <w:rPr>
          <w:rFonts w:ascii="Open Sans" w:hAnsi="Open Sans"/>
          <w:sz w:val="24"/>
        </w:rPr>
        <w:t xml:space="preserve"> </w:t>
      </w:r>
      <w:r w:rsidR="00005B29" w:rsidRPr="0010507F">
        <w:rPr>
          <w:rFonts w:ascii="Open Sans" w:hAnsi="Open Sans"/>
          <w:sz w:val="24"/>
        </w:rPr>
        <w:t>DE  VIOLAÇÃO  DO  PRINCÍPIO  DA  PROPORCIONALIDADE.</w:t>
      </w:r>
      <w:r w:rsidR="00904A09" w:rsidRPr="0010507F">
        <w:rPr>
          <w:rFonts w:ascii="Open Sans" w:hAnsi="Open Sans"/>
          <w:sz w:val="24"/>
        </w:rPr>
        <w:t xml:space="preserve"> </w:t>
      </w:r>
      <w:r w:rsidR="00005B29" w:rsidRPr="0010507F">
        <w:rPr>
          <w:rFonts w:ascii="Open Sans" w:hAnsi="Open Sans"/>
          <w:sz w:val="24"/>
        </w:rPr>
        <w:t>IMPOSSIBILIDADE.</w:t>
      </w:r>
      <w:r w:rsidR="00031D29" w:rsidRPr="0010507F">
        <w:rPr>
          <w:rFonts w:ascii="Open Sans" w:hAnsi="Open Sans"/>
          <w:sz w:val="24"/>
        </w:rPr>
        <w:t xml:space="preserve"> </w:t>
      </w:r>
      <w:r w:rsidR="00005B29" w:rsidRPr="0010507F">
        <w:rPr>
          <w:rFonts w:ascii="Open Sans" w:hAnsi="Open Sans"/>
          <w:sz w:val="24"/>
        </w:rPr>
        <w:t>1. Embora provido o agravo de instrumento, ao analisar o voto</w:t>
      </w:r>
      <w:r w:rsidR="00031D29" w:rsidRPr="0010507F">
        <w:rPr>
          <w:rFonts w:ascii="Open Sans" w:hAnsi="Open Sans"/>
          <w:sz w:val="24"/>
        </w:rPr>
        <w:t xml:space="preserve"> </w:t>
      </w:r>
      <w:r w:rsidR="00005B29" w:rsidRPr="0010507F">
        <w:rPr>
          <w:rFonts w:ascii="Open Sans" w:hAnsi="Open Sans"/>
          <w:sz w:val="24"/>
        </w:rPr>
        <w:t>prevalecente   no   Tribunal   Regional,   constata-se   que   o</w:t>
      </w:r>
      <w:r w:rsidR="00031D29" w:rsidRPr="0010507F">
        <w:rPr>
          <w:rFonts w:ascii="Open Sans" w:hAnsi="Open Sans"/>
          <w:sz w:val="24"/>
        </w:rPr>
        <w:t xml:space="preserve"> </w:t>
      </w:r>
      <w:r w:rsidR="00005B29" w:rsidRPr="0010507F">
        <w:rPr>
          <w:rFonts w:ascii="Open Sans" w:hAnsi="Open Sans"/>
          <w:sz w:val="24"/>
        </w:rPr>
        <w:t>arbitramento se deu com fundamento nos parâmetros definidos</w:t>
      </w:r>
      <w:r w:rsidR="00031D29" w:rsidRPr="0010507F">
        <w:rPr>
          <w:rFonts w:ascii="Open Sans" w:hAnsi="Open Sans"/>
          <w:sz w:val="24"/>
        </w:rPr>
        <w:t xml:space="preserve"> </w:t>
      </w:r>
      <w:r w:rsidR="00005B29" w:rsidRPr="0010507F">
        <w:rPr>
          <w:rFonts w:ascii="Open Sans" w:hAnsi="Open Sans"/>
          <w:sz w:val="24"/>
        </w:rPr>
        <w:t>pelo  art.  223-G,  §  1º  e  seus  incisos  da  CLT,  o  que  desde  logo</w:t>
      </w:r>
      <w:r w:rsidR="00031D29" w:rsidRPr="0010507F">
        <w:rPr>
          <w:rFonts w:ascii="Open Sans" w:hAnsi="Open Sans"/>
          <w:sz w:val="24"/>
        </w:rPr>
        <w:t xml:space="preserve"> </w:t>
      </w:r>
      <w:r w:rsidR="00005B29" w:rsidRPr="0010507F">
        <w:rPr>
          <w:rFonts w:ascii="Open Sans" w:hAnsi="Open Sans"/>
          <w:sz w:val="24"/>
        </w:rPr>
        <w:t>afasta  a  possibilidade  de  conhecimento  do  recurso  de  revista</w:t>
      </w:r>
      <w:r w:rsidR="00031D29" w:rsidRPr="0010507F">
        <w:rPr>
          <w:rFonts w:ascii="Open Sans" w:hAnsi="Open Sans"/>
          <w:sz w:val="24"/>
        </w:rPr>
        <w:t xml:space="preserve"> </w:t>
      </w:r>
      <w:r w:rsidR="00005B29" w:rsidRPr="0010507F">
        <w:rPr>
          <w:rFonts w:ascii="Open Sans" w:hAnsi="Open Sans"/>
          <w:sz w:val="24"/>
        </w:rPr>
        <w:t>com  fundamento  na  ofensa  ao  princípio  da  proporcionalidade</w:t>
      </w:r>
      <w:r w:rsidR="00904A09" w:rsidRPr="0010507F">
        <w:rPr>
          <w:rFonts w:ascii="Open Sans" w:hAnsi="Open Sans"/>
          <w:sz w:val="24"/>
        </w:rPr>
        <w:t xml:space="preserve"> </w:t>
      </w:r>
      <w:r w:rsidR="00005B29" w:rsidRPr="0010507F">
        <w:rPr>
          <w:rFonts w:ascii="Open Sans" w:hAnsi="Open Sans"/>
          <w:sz w:val="24"/>
        </w:rPr>
        <w:t>(art. 944 do Código Civil e 5º, X, da Constituição Federal).</w:t>
      </w:r>
      <w:r w:rsidR="00031D29" w:rsidRPr="0010507F">
        <w:rPr>
          <w:rFonts w:ascii="Open Sans" w:hAnsi="Open Sans"/>
          <w:sz w:val="24"/>
        </w:rPr>
        <w:t xml:space="preserve"> </w:t>
      </w:r>
      <w:r w:rsidR="00005B29" w:rsidRPr="0010507F">
        <w:rPr>
          <w:rFonts w:ascii="Open Sans" w:hAnsi="Open Sans"/>
          <w:sz w:val="24"/>
        </w:rPr>
        <w:t>2.  De  fato,  tendo  o  acórdão  regional  fundamentado  o  valor</w:t>
      </w:r>
      <w:r w:rsidR="00031D29" w:rsidRPr="0010507F">
        <w:rPr>
          <w:rFonts w:ascii="Open Sans" w:hAnsi="Open Sans"/>
          <w:sz w:val="24"/>
        </w:rPr>
        <w:t xml:space="preserve"> </w:t>
      </w:r>
      <w:r w:rsidR="00005B29" w:rsidRPr="0010507F">
        <w:rPr>
          <w:rFonts w:ascii="Open Sans" w:hAnsi="Open Sans"/>
          <w:sz w:val="24"/>
        </w:rPr>
        <w:t>indenizatório  em  parâmetros  especificamente  definidos  na</w:t>
      </w:r>
      <w:r w:rsidR="00031D29" w:rsidRPr="0010507F">
        <w:rPr>
          <w:rFonts w:ascii="Open Sans" w:hAnsi="Open Sans"/>
          <w:sz w:val="24"/>
        </w:rPr>
        <w:t xml:space="preserve"> </w:t>
      </w:r>
      <w:r w:rsidR="00005B29" w:rsidRPr="0010507F">
        <w:rPr>
          <w:rFonts w:ascii="Open Sans" w:hAnsi="Open Sans"/>
          <w:sz w:val="24"/>
        </w:rPr>
        <w:t>norma jurídica de regência, o recurso de revista só poderia ser</w:t>
      </w:r>
      <w:r w:rsidR="00031D29" w:rsidRPr="0010507F">
        <w:rPr>
          <w:rFonts w:ascii="Open Sans" w:hAnsi="Open Sans"/>
          <w:sz w:val="24"/>
        </w:rPr>
        <w:t xml:space="preserve"> </w:t>
      </w:r>
      <w:r w:rsidR="00005B29" w:rsidRPr="0010507F">
        <w:rPr>
          <w:rFonts w:ascii="Open Sans" w:hAnsi="Open Sans"/>
          <w:sz w:val="24"/>
        </w:rPr>
        <w:t>admitido por violação do próprio art. 223-G, § 1º e incisos, da CLT</w:t>
      </w:r>
      <w:r w:rsidR="00031D29" w:rsidRPr="0010507F">
        <w:rPr>
          <w:rFonts w:ascii="Open Sans" w:hAnsi="Open Sans"/>
          <w:sz w:val="24"/>
        </w:rPr>
        <w:t xml:space="preserve"> </w:t>
      </w:r>
      <w:r w:rsidR="00005B29" w:rsidRPr="0010507F">
        <w:rPr>
          <w:rFonts w:ascii="Open Sans" w:hAnsi="Open Sans"/>
          <w:sz w:val="24"/>
        </w:rPr>
        <w:t>(em  razão  de  mal  enquadramento  do  dano  sofrido  ou</w:t>
      </w:r>
      <w:r w:rsidR="00031D29" w:rsidRPr="0010507F">
        <w:rPr>
          <w:rFonts w:ascii="Open Sans" w:hAnsi="Open Sans"/>
          <w:sz w:val="24"/>
        </w:rPr>
        <w:t xml:space="preserve"> </w:t>
      </w:r>
      <w:r w:rsidR="00005B29" w:rsidRPr="0010507F">
        <w:rPr>
          <w:rFonts w:ascii="Open Sans" w:hAnsi="Open Sans"/>
          <w:sz w:val="24"/>
        </w:rPr>
        <w:t>inobservância  dos  parâmetros  financeiros  lá  especificados)  ou</w:t>
      </w:r>
      <w:r w:rsidR="00031D29" w:rsidRPr="0010507F">
        <w:rPr>
          <w:rFonts w:ascii="Open Sans" w:hAnsi="Open Sans"/>
          <w:sz w:val="24"/>
        </w:rPr>
        <w:t xml:space="preserve"> </w:t>
      </w:r>
      <w:r w:rsidR="00005B29" w:rsidRPr="0010507F">
        <w:rPr>
          <w:rFonts w:ascii="Open Sans" w:hAnsi="Open Sans"/>
          <w:sz w:val="24"/>
        </w:rPr>
        <w:t>por  se  considerar  inconstitucional  a  norma  jurídica  aplicada,  o</w:t>
      </w:r>
      <w:r w:rsidR="00031D29" w:rsidRPr="0010507F">
        <w:rPr>
          <w:rFonts w:ascii="Open Sans" w:hAnsi="Open Sans"/>
          <w:sz w:val="24"/>
        </w:rPr>
        <w:t xml:space="preserve"> </w:t>
      </w:r>
      <w:r w:rsidR="00005B29" w:rsidRPr="0010507F">
        <w:rPr>
          <w:rFonts w:ascii="Open Sans" w:hAnsi="Open Sans"/>
          <w:sz w:val="24"/>
        </w:rPr>
        <w:t>que nem mesmo foi alegado.</w:t>
      </w:r>
      <w:r w:rsidR="00031D29" w:rsidRPr="0010507F">
        <w:rPr>
          <w:rFonts w:ascii="Open Sans" w:hAnsi="Open Sans"/>
          <w:sz w:val="24"/>
        </w:rPr>
        <w:t xml:space="preserve"> </w:t>
      </w:r>
      <w:r w:rsidR="00005B29" w:rsidRPr="0010507F">
        <w:rPr>
          <w:rFonts w:ascii="Open Sans" w:hAnsi="Open Sans"/>
          <w:sz w:val="24"/>
        </w:rPr>
        <w:t>Recurso de revista não conhecido</w:t>
      </w:r>
      <w:r w:rsidR="00031D29" w:rsidRPr="0010507F">
        <w:rPr>
          <w:rFonts w:ascii="Open Sans" w:hAnsi="Open Sans"/>
          <w:sz w:val="24"/>
        </w:rPr>
        <w:t>.</w:t>
      </w:r>
      <w:r>
        <w:rPr>
          <w:rFonts w:ascii="Open Sans" w:hAnsi="Open Sans"/>
          <w:sz w:val="24"/>
        </w:rPr>
        <w:t>”</w:t>
      </w:r>
      <w:r w:rsidR="00904A09" w:rsidRPr="0010507F">
        <w:rPr>
          <w:rFonts w:ascii="Open Sans" w:hAnsi="Open Sans"/>
          <w:sz w:val="24"/>
        </w:rPr>
        <w:t xml:space="preserve"> (</w:t>
      </w:r>
      <w:hyperlink r:id="rId12" w:anchor="f3ca0b0" w:history="1">
        <w:r w:rsidR="00904A09" w:rsidRPr="0010507F">
          <w:rPr>
            <w:rStyle w:val="Hyperlink"/>
            <w:rFonts w:ascii="Open Sans" w:hAnsi="Open Sans"/>
            <w:sz w:val="24"/>
          </w:rPr>
          <w:t xml:space="preserve">TST-RR-0000263-81.2019.5.05.0008, 1ª Turma, rel. Min. Amaury Rodrigues Pinto Junior, </w:t>
        </w:r>
        <w:r w:rsidR="00E61072" w:rsidRPr="0010507F">
          <w:rPr>
            <w:rStyle w:val="Hyperlink"/>
            <w:rFonts w:ascii="Open Sans" w:hAnsi="Open Sans"/>
            <w:sz w:val="24"/>
          </w:rPr>
          <w:t>julgado em 17/9/2025</w:t>
        </w:r>
      </w:hyperlink>
      <w:r w:rsidR="00E61072" w:rsidRPr="0010507F">
        <w:rPr>
          <w:rFonts w:ascii="Open Sans" w:hAnsi="Open Sans"/>
          <w:sz w:val="24"/>
        </w:rPr>
        <w:t>)</w:t>
      </w:r>
    </w:p>
    <w:p w:rsidR="004A450D" w:rsidRPr="0010507F" w:rsidRDefault="004A450D" w:rsidP="00F76068">
      <w:pPr>
        <w:widowControl w:val="0"/>
        <w:suppressAutoHyphens/>
        <w:ind w:left="-255" w:right="340"/>
        <w:jc w:val="both"/>
        <w:rPr>
          <w:rFonts w:ascii="Open Sans" w:hAnsi="Open Sans"/>
          <w:sz w:val="24"/>
        </w:rPr>
      </w:pPr>
    </w:p>
    <w:p w:rsidR="004A450D" w:rsidRPr="0010507F" w:rsidRDefault="00AB2C67" w:rsidP="00F76068">
      <w:pPr>
        <w:widowControl w:val="0"/>
        <w:suppressAutoHyphens/>
        <w:ind w:left="-255" w:right="340"/>
        <w:jc w:val="both"/>
        <w:rPr>
          <w:rFonts w:ascii="Open Sans" w:hAnsi="Open Sans"/>
          <w:sz w:val="24"/>
        </w:rPr>
      </w:pPr>
      <w:r>
        <w:rPr>
          <w:rFonts w:ascii="Open Sans" w:hAnsi="Open Sans"/>
          <w:sz w:val="24"/>
        </w:rPr>
        <w:t>“</w:t>
      </w:r>
      <w:r w:rsidR="009D2B37">
        <w:rPr>
          <w:rFonts w:ascii="Open Sans" w:hAnsi="Open Sans"/>
          <w:sz w:val="24"/>
        </w:rPr>
        <w:t>[...]</w:t>
      </w:r>
      <w:r w:rsidR="001B09D4">
        <w:rPr>
          <w:rFonts w:ascii="Open Sans" w:hAnsi="Open Sans"/>
          <w:sz w:val="24"/>
        </w:rPr>
        <w:t xml:space="preserve"> </w:t>
      </w:r>
      <w:r w:rsidR="001B09D4" w:rsidRPr="001B09D4">
        <w:rPr>
          <w:rFonts w:ascii="Open Sans" w:hAnsi="Open Sans" w:cs="Open Sans"/>
          <w:sz w:val="24"/>
          <w:szCs w:val="24"/>
        </w:rPr>
        <w:t xml:space="preserve">III – RECURSO DE REVISTA DA RECLAMANTE REGIDO PELA LEI N.º 13.467/2017. ADESÃO À PLANO DE INCENTIVO À SAÍDA - PIS. PLANO DE SAÚDE. RESTABELECIMENTO. RECLAMANTE ACOMETIDA DE DOENÇA GRAVE. VIOLAÇÃO DO ART. 6º DA CONSTITUIÇÃO FEDERAL. CONFIGURAÇÃO. </w:t>
      </w:r>
      <w:proofErr w:type="gramStart"/>
      <w:r w:rsidR="001B09D4" w:rsidRPr="001B09D4">
        <w:rPr>
          <w:rFonts w:ascii="Open Sans" w:hAnsi="Open Sans" w:cs="Open Sans"/>
          <w:sz w:val="24"/>
          <w:szCs w:val="24"/>
        </w:rPr>
        <w:t>1</w:t>
      </w:r>
      <w:proofErr w:type="gramEnd"/>
      <w:r w:rsidR="001B09D4" w:rsidRPr="001B09D4">
        <w:rPr>
          <w:rFonts w:ascii="Open Sans" w:hAnsi="Open Sans" w:cs="Open Sans"/>
          <w:sz w:val="24"/>
          <w:szCs w:val="24"/>
        </w:rPr>
        <w:t xml:space="preserve"> Hipótese em que o vínculo empregatício entre as partes iniciou em 13.02.1979 e findou em 16.11.2020, quando a autora aderiu ao Plano de Incentivo à Saída (PIS) e um mês após a adesão ao plano de demissão, a reclamante idosa foi diagnosticada com câncer de mama e iniciou o tratamento pelo plano de saúde, em face da manutenção pelo prazo de 12 (doze) meses previsto no PIS e </w:t>
      </w:r>
      <w:proofErr w:type="spellStart"/>
      <w:r w:rsidR="001B09D4" w:rsidRPr="001B09D4">
        <w:rPr>
          <w:rFonts w:ascii="Open Sans" w:hAnsi="Open Sans" w:cs="Open Sans"/>
          <w:sz w:val="24"/>
          <w:szCs w:val="24"/>
        </w:rPr>
        <w:t>elastecido</w:t>
      </w:r>
      <w:proofErr w:type="spellEnd"/>
      <w:r w:rsidR="001B09D4" w:rsidRPr="001B09D4">
        <w:rPr>
          <w:rFonts w:ascii="Open Sans" w:hAnsi="Open Sans" w:cs="Open Sans"/>
          <w:sz w:val="24"/>
          <w:szCs w:val="24"/>
        </w:rPr>
        <w:t xml:space="preserve"> em sede de tutela concedida nestes autos. A autora tem idade avançada (acima de 70 anos), sendo que o diagnóstico de CÂNCER como doença pré-existente impossibilita a sua adesão como segurada de qualquer outro plano de saúde. 2 - O Tribunal de origem negou o pedido de </w:t>
      </w:r>
      <w:proofErr w:type="spellStart"/>
      <w:r w:rsidR="001B09D4" w:rsidRPr="001B09D4">
        <w:rPr>
          <w:rFonts w:ascii="Open Sans" w:hAnsi="Open Sans" w:cs="Open Sans"/>
          <w:sz w:val="24"/>
          <w:szCs w:val="24"/>
        </w:rPr>
        <w:t>elastecimento</w:t>
      </w:r>
      <w:proofErr w:type="spellEnd"/>
      <w:r w:rsidR="001B09D4" w:rsidRPr="001B09D4">
        <w:rPr>
          <w:rFonts w:ascii="Open Sans" w:hAnsi="Open Sans" w:cs="Open Sans"/>
          <w:sz w:val="24"/>
          <w:szCs w:val="24"/>
        </w:rPr>
        <w:t xml:space="preserve"> do prazo de manutenção de plano de saúde após a adesão a plano de demissão voluntária da empregada. 3 – Não se ignora que art. 30, § 1º, da Lei nº 9.656/1998, prevê prazo máximo de 24 meses para a manutenção da condição de beneficiário de plano de saúde após a rescisão do contrato de trabalho, sem justa causa. Todavia, a simples aplicação do dispositivo legal ao caso concreto, sem uma análise sistemática dos princípios constitucionais e das normas internacionais de proteção à dignidade da pessoa humana e à saúde do trabalhador, mostra-se inadequada. 4 - A dignidade da pessoa humana (art. 1º, III, da CF), o direito à saúde (art. 6º e 196 da CF) e a solidariedade (art. 3º, I, da CF) impõem a análise do caso concreto com base em sua peculiaridade, considerando a gravidade da doença, idade avançada do trabalhador e impossibilidade de acesso a outro plano. 5. A negativa de manutenção do plano de saúde em face da gravidade da doença viola os direitos fundamentais do trabalhador, </w:t>
      </w:r>
      <w:r w:rsidR="001B09D4" w:rsidRPr="001B09D4">
        <w:rPr>
          <w:rFonts w:ascii="Open Sans" w:hAnsi="Open Sans" w:cs="Open Sans"/>
          <w:sz w:val="24"/>
          <w:szCs w:val="24"/>
        </w:rPr>
        <w:lastRenderedPageBreak/>
        <w:t xml:space="preserve">contrariando princípios constitucionais e normas internacionais de direitos humanos, além </w:t>
      </w:r>
      <w:proofErr w:type="gramStart"/>
      <w:r w:rsidR="001B09D4" w:rsidRPr="001B09D4">
        <w:rPr>
          <w:rFonts w:ascii="Open Sans" w:hAnsi="Open Sans" w:cs="Open Sans"/>
          <w:sz w:val="24"/>
          <w:szCs w:val="24"/>
        </w:rPr>
        <w:t>de</w:t>
      </w:r>
      <w:proofErr w:type="gramEnd"/>
      <w:r w:rsidR="001B09D4" w:rsidRPr="001B09D4">
        <w:rPr>
          <w:rFonts w:ascii="Open Sans" w:hAnsi="Open Sans" w:cs="Open Sans"/>
          <w:sz w:val="24"/>
          <w:szCs w:val="24"/>
        </w:rPr>
        <w:t xml:space="preserve"> desatender a Lei Orgânica da Saúde (Lei nº 8.080/90) a qual preconiza que a saúde é um direito fundamental, cabendo ao Estado fornecer as condições necessárias, sem excluir a responsabilidade das pessoas, famílias, empresas e sociedade. Violação do art. 6º da Constituição Federal configurada. Recurso de revista conhecido e provido.</w:t>
      </w:r>
      <w:r w:rsidR="00DF2692" w:rsidRPr="0010507F">
        <w:rPr>
          <w:rFonts w:ascii="Open Sans" w:hAnsi="Open Sans"/>
          <w:sz w:val="24"/>
        </w:rPr>
        <w:t xml:space="preserve"> [...]</w:t>
      </w:r>
      <w:r>
        <w:rPr>
          <w:rFonts w:ascii="Open Sans" w:hAnsi="Open Sans"/>
          <w:sz w:val="24"/>
        </w:rPr>
        <w:t>”</w:t>
      </w:r>
      <w:r w:rsidR="00962C51" w:rsidRPr="0010507F">
        <w:rPr>
          <w:rFonts w:ascii="Open Sans" w:hAnsi="Open Sans"/>
          <w:sz w:val="24"/>
        </w:rPr>
        <w:t xml:space="preserve"> (</w:t>
      </w:r>
      <w:hyperlink r:id="rId13" w:anchor="7b804ee" w:history="1">
        <w:r w:rsidR="00962C51" w:rsidRPr="0010507F">
          <w:rPr>
            <w:rStyle w:val="Hyperlink"/>
            <w:rFonts w:ascii="Open Sans" w:hAnsi="Open Sans"/>
            <w:sz w:val="24"/>
          </w:rPr>
          <w:t xml:space="preserve">TST-Ag-AIRR-0000753-64.2021.5.10.0018, </w:t>
        </w:r>
        <w:r w:rsidR="003A7AF8" w:rsidRPr="0010507F">
          <w:rPr>
            <w:rStyle w:val="Hyperlink"/>
            <w:rFonts w:ascii="Open Sans" w:hAnsi="Open Sans"/>
            <w:sz w:val="24"/>
          </w:rPr>
          <w:t xml:space="preserve">2ª Turma, rel. Min. </w:t>
        </w:r>
        <w:r w:rsidR="006F049E" w:rsidRPr="0010507F">
          <w:rPr>
            <w:rStyle w:val="Hyperlink"/>
            <w:rFonts w:ascii="Open Sans" w:hAnsi="Open Sans"/>
            <w:sz w:val="24"/>
          </w:rPr>
          <w:t>Delaíde Alves Miranda Arantes, julgado em 24/9/2025</w:t>
        </w:r>
      </w:hyperlink>
      <w:r w:rsidR="006F049E" w:rsidRPr="0010507F">
        <w:rPr>
          <w:rFonts w:ascii="Open Sans" w:hAnsi="Open Sans"/>
          <w:sz w:val="24"/>
        </w:rPr>
        <w:t>)</w:t>
      </w:r>
    </w:p>
    <w:p w:rsidR="006C1995" w:rsidRPr="0010507F" w:rsidRDefault="006C1995" w:rsidP="00F76068">
      <w:pPr>
        <w:widowControl w:val="0"/>
        <w:suppressAutoHyphens/>
        <w:ind w:left="-255" w:right="340"/>
        <w:jc w:val="both"/>
        <w:rPr>
          <w:rFonts w:ascii="Open Sans" w:hAnsi="Open Sans"/>
          <w:sz w:val="24"/>
        </w:rPr>
      </w:pPr>
    </w:p>
    <w:p w:rsidR="0018508D" w:rsidRPr="0010507F" w:rsidRDefault="00D25722" w:rsidP="00F76068">
      <w:pPr>
        <w:widowControl w:val="0"/>
        <w:suppressAutoHyphens/>
        <w:ind w:left="-255" w:right="340"/>
        <w:jc w:val="both"/>
        <w:rPr>
          <w:rFonts w:ascii="Open Sans" w:hAnsi="Open Sans"/>
          <w:sz w:val="24"/>
        </w:rPr>
      </w:pPr>
      <w:r>
        <w:rPr>
          <w:rFonts w:ascii="Open Sans" w:hAnsi="Open Sans"/>
          <w:sz w:val="24"/>
        </w:rPr>
        <w:t>“</w:t>
      </w:r>
      <w:r w:rsidR="00E66BEB" w:rsidRPr="0010507F">
        <w:rPr>
          <w:rFonts w:ascii="Open Sans" w:hAnsi="Open Sans"/>
          <w:sz w:val="24"/>
        </w:rPr>
        <w:t>[...] RECURSO DE REVISTA. INTERPOSIÇÃO SOB A ÉGIDE DA LEI Nº 13.467/2017. INDENIZAÇÃO POR DANOS MORAIS – SAÚDE MENTAL – MORBIDEZ – MEIO AMBIENTE DO TRABALHO SAUDÁVEL - OPERADOR DE ESCAVADEIRA CONTRATADO APÓS O ACIDENTE DE BRUMADINHO – CONTATO VISUAL COM CORPOS E FRAGMENTOS HUMANOS – ABALO PSICOLÓGICO DEMONSTRADO</w:t>
      </w:r>
      <w:r w:rsidR="00197261">
        <w:rPr>
          <w:rFonts w:ascii="Open Sans" w:hAnsi="Open Sans"/>
          <w:sz w:val="24"/>
        </w:rPr>
        <w:t>.</w:t>
      </w:r>
      <w:r w:rsidR="00E66BEB" w:rsidRPr="0010507F">
        <w:rPr>
          <w:rFonts w:ascii="Open Sans" w:hAnsi="Open Sans"/>
          <w:sz w:val="24"/>
        </w:rPr>
        <w:t xml:space="preserve"> É primordial reconhecer que as consequências do desastre ambiental de Brumadinho não se limitou à morte das 272 pessoas, conforme </w:t>
      </w:r>
      <w:proofErr w:type="gramStart"/>
      <w:r w:rsidR="00E66BEB" w:rsidRPr="0010507F">
        <w:rPr>
          <w:rFonts w:ascii="Open Sans" w:hAnsi="Open Sans"/>
          <w:sz w:val="24"/>
        </w:rPr>
        <w:t>registros oficiais, tampouco ficou</w:t>
      </w:r>
      <w:proofErr w:type="gramEnd"/>
      <w:r w:rsidR="00E66BEB" w:rsidRPr="0010507F">
        <w:rPr>
          <w:rFonts w:ascii="Open Sans" w:hAnsi="Open Sans"/>
          <w:sz w:val="24"/>
        </w:rPr>
        <w:t xml:space="preserve"> restrita à data do acidente. O impacto foi muito além e tem repercussões, inclusive, nos dias de hoje, em razão da contaminação por dejetos tóxicos da área do Córrego do Feijão, abarcando 70 hectares de área de preservação permanente, e do rio Paraopeba por 12 milhões de metros cúbicos de rejeitos de mineração (SOBRINHO, Thiago Nobre. ALVES, Francisco </w:t>
      </w:r>
      <w:proofErr w:type="spellStart"/>
      <w:r w:rsidR="00E66BEB" w:rsidRPr="0010507F">
        <w:rPr>
          <w:rFonts w:ascii="Open Sans" w:hAnsi="Open Sans"/>
          <w:sz w:val="24"/>
        </w:rPr>
        <w:t>Ivander</w:t>
      </w:r>
      <w:proofErr w:type="spellEnd"/>
      <w:r w:rsidR="00E66BEB" w:rsidRPr="0010507F">
        <w:rPr>
          <w:rFonts w:ascii="Open Sans" w:hAnsi="Open Sans"/>
          <w:sz w:val="24"/>
        </w:rPr>
        <w:t xml:space="preserve"> amado Borges. SOUZA, Jackeline Lucas. Desastre Ambiental em </w:t>
      </w:r>
      <w:proofErr w:type="spellStart"/>
      <w:r w:rsidR="00E66BEB" w:rsidRPr="0010507F">
        <w:rPr>
          <w:rFonts w:ascii="Open Sans" w:hAnsi="Open Sans"/>
          <w:sz w:val="24"/>
        </w:rPr>
        <w:t>Brumandinho</w:t>
      </w:r>
      <w:proofErr w:type="spellEnd"/>
      <w:r w:rsidR="00E66BEB" w:rsidRPr="0010507F">
        <w:rPr>
          <w:rFonts w:ascii="Open Sans" w:hAnsi="Open Sans"/>
          <w:sz w:val="24"/>
        </w:rPr>
        <w:t xml:space="preserve">: avaliação do impacto sobre a reputação da Vale S.A.. In: Seminário em Administração. </w:t>
      </w:r>
      <w:proofErr w:type="spellStart"/>
      <w:r w:rsidR="00E66BEB" w:rsidRPr="0010507F">
        <w:rPr>
          <w:rFonts w:ascii="Open Sans" w:hAnsi="Open Sans"/>
          <w:sz w:val="24"/>
        </w:rPr>
        <w:t>SemeAd</w:t>
      </w:r>
      <w:proofErr w:type="spellEnd"/>
      <w:r w:rsidR="00E66BEB" w:rsidRPr="0010507F">
        <w:rPr>
          <w:rFonts w:ascii="Open Sans" w:hAnsi="Open Sans"/>
          <w:sz w:val="24"/>
        </w:rPr>
        <w:t xml:space="preserve">. 08, 09, 10 e 11 de novembro de 2022, ISSN 2177-3866), além da dor irreparável que se perpetua na vida daqueles que perderam familiares, entes queridos, amigos e conhecidos. A atividade laboral desempenhada pelo Reclamante só possui utilidade e demanda em razão do desastre ambiental ocorrido. Além disso, o dever de reparar todas as repercussões decorrentes do rompimento da barragem do Córrego do Feijão é responsabilidade da Reclamada da presente lide, Vale S.A. Postas tais premissas, é fundamental destacar que em uma relação de emprego é dever do empregador responder pelos riscos a que submete seus empregados, ainda que não haja um dano efetivamente concreto, em observância ao princípio da alteridade, inscrito no artigo 2º da CLT, segundo o qual o ônus das despesas envolvendo a atividade econômica cabe ao empregador, por ser ele também o detentor dos lucros e resultados positivos dessa exploração. Consectário do princípio da alteridade, são de observância obrigatória, por parte </w:t>
      </w:r>
      <w:proofErr w:type="gramStart"/>
      <w:r w:rsidR="00E66BEB" w:rsidRPr="0010507F">
        <w:rPr>
          <w:rFonts w:ascii="Open Sans" w:hAnsi="Open Sans"/>
          <w:sz w:val="24"/>
        </w:rPr>
        <w:t>do</w:t>
      </w:r>
      <w:proofErr w:type="gramEnd"/>
      <w:r w:rsidR="00E66BEB" w:rsidRPr="0010507F">
        <w:rPr>
          <w:rFonts w:ascii="Open Sans" w:hAnsi="Open Sans"/>
          <w:sz w:val="24"/>
        </w:rPr>
        <w:t xml:space="preserve"> empregador, as normas referentes a saúde, segurança e higiene do trabalho, por envolverem riscos </w:t>
      </w:r>
      <w:r w:rsidR="008B2BC3">
        <w:rPr>
          <w:rFonts w:ascii="Open Sans" w:hAnsi="Open Sans"/>
          <w:sz w:val="24"/>
        </w:rPr>
        <w:t>‘</w:t>
      </w:r>
      <w:r w:rsidR="00E66BEB" w:rsidRPr="0010507F">
        <w:rPr>
          <w:rFonts w:ascii="Open Sans" w:hAnsi="Open Sans"/>
          <w:sz w:val="24"/>
        </w:rPr>
        <w:t>derivados do próprio trabalho prestado</w:t>
      </w:r>
      <w:r w:rsidR="008B2BC3">
        <w:rPr>
          <w:rFonts w:ascii="Open Sans" w:hAnsi="Open Sans"/>
          <w:sz w:val="24"/>
        </w:rPr>
        <w:t>’</w:t>
      </w:r>
      <w:r w:rsidR="00E66BEB" w:rsidRPr="0010507F">
        <w:rPr>
          <w:rFonts w:ascii="Open Sans" w:hAnsi="Open Sans"/>
          <w:sz w:val="24"/>
        </w:rPr>
        <w:t xml:space="preserve">, para utilizar a expressão do Min. Godinho. Como consequência lógica, o ônus para o cumprimento das referidas normas de higiene e saúde é inteiramente do empregador. Nesse contexto, é notório o status constitucional de referidas normas, uma vez que o artigo 7º, inciso XXII, da Constituição da República define como direito dos trabalhadores urbanos e rurais a </w:t>
      </w:r>
      <w:r w:rsidR="008B2BC3">
        <w:rPr>
          <w:rFonts w:ascii="Open Sans" w:hAnsi="Open Sans"/>
          <w:sz w:val="24"/>
        </w:rPr>
        <w:t>‘</w:t>
      </w:r>
      <w:r w:rsidR="00E66BEB" w:rsidRPr="0010507F">
        <w:rPr>
          <w:rFonts w:ascii="Open Sans" w:hAnsi="Open Sans"/>
          <w:sz w:val="24"/>
        </w:rPr>
        <w:t>redução dos riscos inerentes ao trabalho, por meio de normas de saúde, higiene e segurança</w:t>
      </w:r>
      <w:r w:rsidR="008B2BC3">
        <w:rPr>
          <w:rFonts w:ascii="Open Sans" w:hAnsi="Open Sans"/>
          <w:sz w:val="24"/>
        </w:rPr>
        <w:t>’</w:t>
      </w:r>
      <w:r w:rsidR="00E66BEB" w:rsidRPr="0010507F">
        <w:rPr>
          <w:rFonts w:ascii="Open Sans" w:hAnsi="Open Sans"/>
          <w:sz w:val="24"/>
        </w:rPr>
        <w:t xml:space="preserve">. Em seguida, o artigo 225, caput, da Constituição de 1988 determina que </w:t>
      </w:r>
      <w:r w:rsidR="008B2BC3">
        <w:rPr>
          <w:rFonts w:ascii="Open Sans" w:hAnsi="Open Sans"/>
          <w:sz w:val="24"/>
        </w:rPr>
        <w:t>‘</w:t>
      </w:r>
      <w:r w:rsidR="00E66BEB" w:rsidRPr="0010507F">
        <w:rPr>
          <w:rFonts w:ascii="Open Sans" w:hAnsi="Open Sans"/>
          <w:sz w:val="24"/>
        </w:rPr>
        <w:t xml:space="preserve">Todos têm direito ao meio ambiente ecologicamente equilibrado, bem de uso comum do povo e essencial à sadia qualidade de vida, impondo-se ao Poder Público e à coletividade o dever de defendê-lo e </w:t>
      </w:r>
      <w:r w:rsidR="00E66BEB" w:rsidRPr="0010507F">
        <w:rPr>
          <w:rFonts w:ascii="Open Sans" w:hAnsi="Open Sans"/>
          <w:sz w:val="24"/>
        </w:rPr>
        <w:lastRenderedPageBreak/>
        <w:t xml:space="preserve">preservá-lo para </w:t>
      </w:r>
      <w:proofErr w:type="gramStart"/>
      <w:r w:rsidR="00E66BEB" w:rsidRPr="0010507F">
        <w:rPr>
          <w:rFonts w:ascii="Open Sans" w:hAnsi="Open Sans"/>
          <w:sz w:val="24"/>
        </w:rPr>
        <w:t>as presentes</w:t>
      </w:r>
      <w:proofErr w:type="gramEnd"/>
      <w:r w:rsidR="00E66BEB" w:rsidRPr="0010507F">
        <w:rPr>
          <w:rFonts w:ascii="Open Sans" w:hAnsi="Open Sans"/>
          <w:sz w:val="24"/>
        </w:rPr>
        <w:t xml:space="preserve"> e futuras gerações</w:t>
      </w:r>
      <w:r w:rsidR="008B2BC3">
        <w:rPr>
          <w:rFonts w:ascii="Open Sans" w:hAnsi="Open Sans"/>
          <w:sz w:val="24"/>
        </w:rPr>
        <w:t>’</w:t>
      </w:r>
      <w:r w:rsidR="00E66BEB" w:rsidRPr="0010507F">
        <w:rPr>
          <w:rFonts w:ascii="Open Sans" w:hAnsi="Open Sans"/>
          <w:sz w:val="24"/>
        </w:rPr>
        <w:t xml:space="preserve">. Assim, em raciocínio lógico, linear e racional, realizando a devida subsunção das normas constitucionais à realidade do meio ambiente do trabalho no caso concreto, o empregado que passa a estar sujeito a contato com corpos humanos e restos mortais de vítimas de uma tragédia ambiental causada pelo próprio empregador tem direito a uma reparação pelos danos psicológicos que venha a sofrer no exercício de suas funções, em razão de ser um imperativo o dever do empregador de zelar pela saúde, higiene e segurança no trabalho, em condições próprias </w:t>
      </w:r>
      <w:r w:rsidR="008B2BC3">
        <w:rPr>
          <w:rFonts w:ascii="Open Sans" w:hAnsi="Open Sans"/>
          <w:sz w:val="24"/>
        </w:rPr>
        <w:t>‘</w:t>
      </w:r>
      <w:r w:rsidR="00E66BEB" w:rsidRPr="0010507F">
        <w:rPr>
          <w:rFonts w:ascii="Open Sans" w:hAnsi="Open Sans"/>
          <w:sz w:val="24"/>
        </w:rPr>
        <w:t>à sadia qualidade de vida</w:t>
      </w:r>
      <w:r w:rsidR="008B2BC3">
        <w:rPr>
          <w:rFonts w:ascii="Open Sans" w:hAnsi="Open Sans"/>
          <w:sz w:val="24"/>
        </w:rPr>
        <w:t>’</w:t>
      </w:r>
      <w:r w:rsidR="00E66BEB" w:rsidRPr="0010507F">
        <w:rPr>
          <w:rFonts w:ascii="Open Sans" w:hAnsi="Open Sans"/>
          <w:sz w:val="24"/>
        </w:rPr>
        <w:t xml:space="preserve">. O </w:t>
      </w:r>
      <w:proofErr w:type="spellStart"/>
      <w:r w:rsidR="00E66BEB" w:rsidRPr="0010507F">
        <w:rPr>
          <w:rFonts w:ascii="Open Sans" w:hAnsi="Open Sans"/>
          <w:sz w:val="24"/>
        </w:rPr>
        <w:t>Eg</w:t>
      </w:r>
      <w:proofErr w:type="spellEnd"/>
      <w:r w:rsidR="00E66BEB" w:rsidRPr="0010507F">
        <w:rPr>
          <w:rFonts w:ascii="Open Sans" w:hAnsi="Open Sans"/>
          <w:sz w:val="24"/>
        </w:rPr>
        <w:t xml:space="preserve">. TRT registrou que </w:t>
      </w:r>
      <w:r w:rsidR="008B2BC3">
        <w:rPr>
          <w:rFonts w:ascii="Open Sans" w:hAnsi="Open Sans"/>
          <w:sz w:val="24"/>
        </w:rPr>
        <w:t>‘</w:t>
      </w:r>
      <w:r w:rsidR="00E66BEB" w:rsidRPr="0010507F">
        <w:rPr>
          <w:rFonts w:ascii="Open Sans" w:hAnsi="Open Sans"/>
          <w:sz w:val="24"/>
        </w:rPr>
        <w:t xml:space="preserve">um quadro de estresse </w:t>
      </w:r>
      <w:proofErr w:type="gramStart"/>
      <w:r w:rsidR="00E66BEB" w:rsidRPr="0010507F">
        <w:rPr>
          <w:rFonts w:ascii="Open Sans" w:hAnsi="Open Sans"/>
          <w:sz w:val="24"/>
        </w:rPr>
        <w:t>pós traumático</w:t>
      </w:r>
      <w:proofErr w:type="gramEnd"/>
      <w:r w:rsidR="00E66BEB" w:rsidRPr="0010507F">
        <w:rPr>
          <w:rFonts w:ascii="Open Sans" w:hAnsi="Open Sans"/>
          <w:sz w:val="24"/>
        </w:rPr>
        <w:t xml:space="preserve"> (CID10-F43.1), evoluindo para um quadro de ansiedade generalizada (CID10- F41.1) e transtorno não orgânico do sono devido a fatores emocionais (CID10-F51</w:t>
      </w:r>
      <w:r w:rsidR="008B2BC3">
        <w:rPr>
          <w:rFonts w:ascii="Open Sans" w:hAnsi="Open Sans"/>
          <w:sz w:val="24"/>
        </w:rPr>
        <w:t>’</w:t>
      </w:r>
      <w:r w:rsidR="00E66BEB" w:rsidRPr="0010507F">
        <w:rPr>
          <w:rFonts w:ascii="Open Sans" w:hAnsi="Open Sans"/>
          <w:sz w:val="24"/>
        </w:rPr>
        <w:t xml:space="preserve">. O artigo 187 do Código Civil prevê que </w:t>
      </w:r>
      <w:r w:rsidR="008B2BC3">
        <w:rPr>
          <w:rFonts w:ascii="Open Sans" w:hAnsi="Open Sans"/>
          <w:sz w:val="24"/>
        </w:rPr>
        <w:t>‘</w:t>
      </w:r>
      <w:r w:rsidR="00E66BEB" w:rsidRPr="0010507F">
        <w:rPr>
          <w:rFonts w:ascii="Open Sans" w:hAnsi="Open Sans"/>
          <w:sz w:val="24"/>
        </w:rPr>
        <w:t>comete ato ilícito o titular de um direito que, ao exercê-lo, excede manifestamente os limites impostos pelo seu fim econômico ou social, pela boa</w:t>
      </w:r>
      <w:r>
        <w:rPr>
          <w:rFonts w:ascii="Open Sans" w:hAnsi="Open Sans"/>
          <w:sz w:val="24"/>
        </w:rPr>
        <w:t xml:space="preserve"> </w:t>
      </w:r>
      <w:r w:rsidR="00E66BEB" w:rsidRPr="0010507F">
        <w:rPr>
          <w:rFonts w:ascii="Open Sans" w:hAnsi="Open Sans"/>
          <w:sz w:val="24"/>
        </w:rPr>
        <w:t>fé ou pelos bons costumes</w:t>
      </w:r>
      <w:r w:rsidR="008B2BC3">
        <w:rPr>
          <w:rFonts w:ascii="Open Sans" w:hAnsi="Open Sans"/>
          <w:sz w:val="24"/>
        </w:rPr>
        <w:t>’</w:t>
      </w:r>
      <w:r w:rsidR="00E66BEB" w:rsidRPr="0010507F">
        <w:rPr>
          <w:rFonts w:ascii="Open Sans" w:hAnsi="Open Sans"/>
          <w:sz w:val="24"/>
        </w:rPr>
        <w:t xml:space="preserve">. Da leitura do acórdão regional, é possível concluir que as Reclamadas, ao exercerem o direito de empregar o Reclamante e dirigir a prestação de seus serviços (o que a princípio é lícito), violaram os limites impostos pelo seu fim social, pela boa-fé e pelos bons costumes, na medida em que não promoveram um ambiente de trabalho saudável, deixando os trabalhadores à própria sorte para lidar com situações de morbidez. Por fim, o artigo 927 do Código Civil estabelece expressamente que </w:t>
      </w:r>
      <w:r w:rsidR="008B2BC3">
        <w:rPr>
          <w:rFonts w:ascii="Open Sans" w:hAnsi="Open Sans"/>
          <w:sz w:val="24"/>
        </w:rPr>
        <w:t>‘</w:t>
      </w:r>
      <w:r w:rsidR="00E66BEB" w:rsidRPr="0010507F">
        <w:rPr>
          <w:rFonts w:ascii="Open Sans" w:hAnsi="Open Sans"/>
          <w:sz w:val="24"/>
        </w:rPr>
        <w:t>aquele que, por ato ilícito (</w:t>
      </w:r>
      <w:proofErr w:type="spellStart"/>
      <w:r w:rsidR="00E66BEB" w:rsidRPr="0010507F">
        <w:rPr>
          <w:rFonts w:ascii="Open Sans" w:hAnsi="Open Sans"/>
          <w:sz w:val="24"/>
        </w:rPr>
        <w:t>arts</w:t>
      </w:r>
      <w:proofErr w:type="spellEnd"/>
      <w:r w:rsidR="00E66BEB" w:rsidRPr="0010507F">
        <w:rPr>
          <w:rFonts w:ascii="Open Sans" w:hAnsi="Open Sans"/>
          <w:sz w:val="24"/>
        </w:rPr>
        <w:t>. 186 e 187), causar dano a outrem, fica obrigado a repará-lo</w:t>
      </w:r>
      <w:r w:rsidR="008B2BC3">
        <w:rPr>
          <w:rFonts w:ascii="Open Sans" w:hAnsi="Open Sans"/>
          <w:sz w:val="24"/>
        </w:rPr>
        <w:t>’</w:t>
      </w:r>
      <w:r w:rsidR="00E66BEB" w:rsidRPr="0010507F">
        <w:rPr>
          <w:rFonts w:ascii="Open Sans" w:hAnsi="Open Sans"/>
          <w:sz w:val="24"/>
        </w:rPr>
        <w:t xml:space="preserve">. Em seguida, o parágrafo único do dispositivo complementa </w:t>
      </w:r>
      <w:r w:rsidR="008B2BC3">
        <w:rPr>
          <w:rFonts w:ascii="Open Sans" w:hAnsi="Open Sans"/>
          <w:sz w:val="24"/>
        </w:rPr>
        <w:t>‘</w:t>
      </w:r>
      <w:r w:rsidR="00E66BEB" w:rsidRPr="0010507F">
        <w:rPr>
          <w:rFonts w:ascii="Open Sans" w:hAnsi="Open Sans"/>
          <w:sz w:val="24"/>
        </w:rPr>
        <w:t>Haverá obrigação de reparar o dano, independentemente de culpa, nos casos especificados em lei, ou quando a atividade normalmente desenvolvida pelo autor do dano implicar, por sua natureza, risco para os direitos de outrem</w:t>
      </w:r>
      <w:r w:rsidR="008B2BC3">
        <w:rPr>
          <w:rFonts w:ascii="Open Sans" w:hAnsi="Open Sans"/>
          <w:sz w:val="24"/>
        </w:rPr>
        <w:t>’</w:t>
      </w:r>
      <w:r w:rsidR="00E66BEB" w:rsidRPr="0010507F">
        <w:rPr>
          <w:rFonts w:ascii="Open Sans" w:hAnsi="Open Sans"/>
          <w:sz w:val="24"/>
        </w:rPr>
        <w:t xml:space="preserve">. Como se observa do quadro fático delineado pelo acórdão regional, não há como se afastar o reconhecimento da prática de uma conduta ilícita pela Reclamada Vale S.A., qual seja o desastre ambiental no Córrego do Feijão, bem como sua conduta negligente e omissiva ao não oferecer o devido suporte psicossocial aos trabalhadores em atuações como a do Reclamante. Além disso, é fato notório que </w:t>
      </w:r>
      <w:r w:rsidR="008B2BC3">
        <w:rPr>
          <w:rFonts w:ascii="Open Sans" w:hAnsi="Open Sans"/>
          <w:sz w:val="24"/>
        </w:rPr>
        <w:t>‘</w:t>
      </w:r>
      <w:r w:rsidR="00E66BEB" w:rsidRPr="0010507F">
        <w:rPr>
          <w:rFonts w:ascii="Open Sans" w:hAnsi="Open Sans"/>
          <w:sz w:val="24"/>
        </w:rPr>
        <w:t>a atividade desenvolvida pelo autor do dano</w:t>
      </w:r>
      <w:r w:rsidR="008B2BC3">
        <w:rPr>
          <w:rFonts w:ascii="Open Sans" w:hAnsi="Open Sans"/>
          <w:sz w:val="24"/>
        </w:rPr>
        <w:t>’</w:t>
      </w:r>
      <w:r w:rsidR="00E66BEB" w:rsidRPr="0010507F">
        <w:rPr>
          <w:rFonts w:ascii="Open Sans" w:hAnsi="Open Sans"/>
          <w:sz w:val="24"/>
        </w:rPr>
        <w:t xml:space="preserve">, no caso as Reclamadas, implica, </w:t>
      </w:r>
      <w:r w:rsidR="008B2BC3">
        <w:rPr>
          <w:rFonts w:ascii="Open Sans" w:hAnsi="Open Sans"/>
          <w:sz w:val="24"/>
        </w:rPr>
        <w:t>‘</w:t>
      </w:r>
      <w:r w:rsidR="00E66BEB" w:rsidRPr="0010507F">
        <w:rPr>
          <w:rFonts w:ascii="Open Sans" w:hAnsi="Open Sans"/>
          <w:sz w:val="24"/>
        </w:rPr>
        <w:t>por sua natureza, risco para os direitos de outrem</w:t>
      </w:r>
      <w:r w:rsidR="008B2BC3">
        <w:rPr>
          <w:rFonts w:ascii="Open Sans" w:hAnsi="Open Sans"/>
          <w:sz w:val="24"/>
        </w:rPr>
        <w:t>’</w:t>
      </w:r>
      <w:r w:rsidR="00E66BEB" w:rsidRPr="0010507F">
        <w:rPr>
          <w:rFonts w:ascii="Open Sans" w:hAnsi="Open Sans"/>
          <w:sz w:val="24"/>
        </w:rPr>
        <w:t>, no caso a saúde mental dos trabalhadores como o Reclamante. Recurso de revista conhecido e provido.</w:t>
      </w:r>
      <w:r>
        <w:rPr>
          <w:rFonts w:ascii="Open Sans" w:hAnsi="Open Sans"/>
          <w:sz w:val="24"/>
        </w:rPr>
        <w:t>”</w:t>
      </w:r>
      <w:r w:rsidR="00AF3258" w:rsidRPr="0010507F">
        <w:rPr>
          <w:rFonts w:ascii="Open Sans" w:hAnsi="Open Sans"/>
          <w:sz w:val="24"/>
        </w:rPr>
        <w:t xml:space="preserve"> (</w:t>
      </w:r>
      <w:hyperlink r:id="rId14" w:history="1">
        <w:r w:rsidR="00AF3258" w:rsidRPr="0010507F">
          <w:rPr>
            <w:rStyle w:val="Hyperlink"/>
            <w:rFonts w:ascii="Open Sans" w:hAnsi="Open Sans"/>
            <w:sz w:val="24"/>
          </w:rPr>
          <w:t>TST-</w:t>
        </w:r>
        <w:r w:rsidR="00AF3258" w:rsidRPr="0010507F">
          <w:rPr>
            <w:rStyle w:val="Hyperlink"/>
            <w:rFonts w:ascii="Open Sans" w:hAnsi="Open Sans"/>
            <w:bCs/>
            <w:sz w:val="24"/>
          </w:rPr>
          <w:t>RR-11070-06.2020.5.03.0163</w:t>
        </w:r>
        <w:r w:rsidR="00AF3258" w:rsidRPr="0010507F">
          <w:rPr>
            <w:rStyle w:val="Hyperlink"/>
            <w:rFonts w:ascii="Open Sans" w:hAnsi="Open Sans"/>
            <w:sz w:val="24"/>
          </w:rPr>
          <w:t xml:space="preserve">, </w:t>
        </w:r>
        <w:r w:rsidR="001B2054" w:rsidRPr="0010507F">
          <w:rPr>
            <w:rStyle w:val="Hyperlink"/>
            <w:rFonts w:ascii="Open Sans" w:hAnsi="Open Sans"/>
            <w:sz w:val="24"/>
          </w:rPr>
          <w:t xml:space="preserve">2ª Turma, rel. Min. </w:t>
        </w:r>
        <w:r w:rsidR="009A4E73" w:rsidRPr="0010507F">
          <w:rPr>
            <w:rStyle w:val="Hyperlink"/>
            <w:rFonts w:ascii="Open Sans" w:hAnsi="Open Sans"/>
            <w:sz w:val="24"/>
          </w:rPr>
          <w:t>Liana Chaib, julgado em 24/9/2025</w:t>
        </w:r>
      </w:hyperlink>
      <w:proofErr w:type="gramStart"/>
      <w:r w:rsidR="009A4E73" w:rsidRPr="0010507F">
        <w:rPr>
          <w:rFonts w:ascii="Open Sans" w:hAnsi="Open Sans"/>
          <w:sz w:val="24"/>
        </w:rPr>
        <w:t>)</w:t>
      </w:r>
      <w:proofErr w:type="gramEnd"/>
    </w:p>
    <w:p w:rsidR="003F5698" w:rsidRPr="0010507F" w:rsidRDefault="003F5698" w:rsidP="00F76068">
      <w:pPr>
        <w:widowControl w:val="0"/>
        <w:suppressAutoHyphens/>
        <w:ind w:left="-255" w:right="340"/>
        <w:jc w:val="both"/>
        <w:rPr>
          <w:rFonts w:ascii="Open Sans" w:hAnsi="Open Sans"/>
          <w:sz w:val="24"/>
        </w:rPr>
      </w:pPr>
    </w:p>
    <w:p w:rsidR="003F5698" w:rsidRPr="0010507F" w:rsidRDefault="000E22AB" w:rsidP="00F76068">
      <w:pPr>
        <w:widowControl w:val="0"/>
        <w:suppressAutoHyphens/>
        <w:ind w:left="-255" w:right="340"/>
        <w:jc w:val="both"/>
        <w:rPr>
          <w:rFonts w:ascii="Open Sans" w:hAnsi="Open Sans"/>
          <w:sz w:val="24"/>
        </w:rPr>
      </w:pPr>
      <w:r>
        <w:rPr>
          <w:rFonts w:ascii="Open Sans" w:hAnsi="Open Sans"/>
          <w:sz w:val="24"/>
        </w:rPr>
        <w:t>“</w:t>
      </w:r>
      <w:r w:rsidR="007E7398" w:rsidRPr="0010507F">
        <w:rPr>
          <w:rFonts w:ascii="Open Sans" w:hAnsi="Open Sans"/>
          <w:sz w:val="24"/>
        </w:rPr>
        <w:t xml:space="preserve">[...] </w:t>
      </w:r>
      <w:r w:rsidR="00D20A0F" w:rsidRPr="0010507F">
        <w:rPr>
          <w:rFonts w:ascii="Open Sans" w:hAnsi="Open Sans"/>
          <w:sz w:val="24"/>
        </w:rPr>
        <w:t xml:space="preserve">RECURSO DE REVISTA. LEIS 13.015/2014 E 13.467/2017. PROTOCOLO PARA ATUAÇÃO E JULGAMENTO COM PERSPECTIVA DE ENFRENTAMENTO DO </w:t>
      </w:r>
      <w:r w:rsidR="009D2B37">
        <w:rPr>
          <w:rFonts w:ascii="Open Sans" w:hAnsi="Open Sans"/>
          <w:sz w:val="24"/>
        </w:rPr>
        <w:t>TRABALHO ESCRAVO CONTEMPORÂNEO.</w:t>
      </w:r>
      <w:r w:rsidR="00D20A0F" w:rsidRPr="0010507F">
        <w:rPr>
          <w:rFonts w:ascii="Open Sans" w:hAnsi="Open Sans"/>
          <w:sz w:val="24"/>
        </w:rPr>
        <w:t xml:space="preserve"> INTERRELAÇÃO ENTRE RACISMO, TRABALHO ESCRAVO CONTEMPORÂNEO E TRABALHO DEGRADANTE. IMPOSSIBILIDADE DE RATIFICAÇÃO DO DESVALOR DA VIDA E DA DIGNIDADE DOS TRABALHADORES. CARÁTER </w:t>
      </w:r>
      <w:r w:rsidR="00D20A0F" w:rsidRPr="003601A1">
        <w:rPr>
          <w:rFonts w:ascii="Open Sans" w:hAnsi="Open Sans"/>
          <w:i/>
          <w:sz w:val="24"/>
        </w:rPr>
        <w:t>JUS COGENS</w:t>
      </w:r>
      <w:r w:rsidR="00D20A0F" w:rsidRPr="0010507F">
        <w:rPr>
          <w:rFonts w:ascii="Open Sans" w:hAnsi="Open Sans"/>
          <w:sz w:val="24"/>
        </w:rPr>
        <w:t xml:space="preserve"> DA ERRADICAÇÃO DO TRABALHO DEGRADANTE. PROCESSO ESTRUTURAL. NUDGES. SUPEDÂNEO NA DECLARAÇÃO UNIVERSAL DE DIREITO HUMANOS DE 1948; CONVENÇÃO AMERICANA SOBRE DIREITO HUMANOS; CONVENÇÃO Nº 29 e CONVENÇÃO Nº 105 DA OIT; PROTOCOLO RELATIVO À CONVENÇÃO SOBRE TRABALHO FORÇADO E RECOMENDAÇÃO Nº 203 SOBRE O TRABALHO FORÇADO DA OIT; ARTIGOS </w:t>
      </w:r>
      <w:r w:rsidR="00D20A0F" w:rsidRPr="0010507F">
        <w:rPr>
          <w:rFonts w:ascii="Open Sans" w:hAnsi="Open Sans"/>
          <w:sz w:val="24"/>
        </w:rPr>
        <w:lastRenderedPageBreak/>
        <w:t xml:space="preserve">1º, INCISO III, 170, </w:t>
      </w:r>
      <w:r w:rsidR="00D20A0F" w:rsidRPr="000E22AB">
        <w:rPr>
          <w:rFonts w:ascii="Open Sans" w:hAnsi="Open Sans"/>
          <w:i/>
          <w:sz w:val="24"/>
        </w:rPr>
        <w:t>CAPUT</w:t>
      </w:r>
      <w:r w:rsidR="00D20A0F" w:rsidRPr="0010507F">
        <w:rPr>
          <w:rFonts w:ascii="Open Sans" w:hAnsi="Open Sans"/>
          <w:sz w:val="24"/>
        </w:rPr>
        <w:t xml:space="preserve">, E 225 DA CONSTITUIÇÃO FEDERAL; Portaria MTP Nº 671/2021 e a PORTARIA INTERMINISTERIAL MTE/MDHC/ Nº 15 DE 2024. </w:t>
      </w:r>
      <w:r w:rsidR="00D20A0F" w:rsidRPr="00267CDD">
        <w:rPr>
          <w:rFonts w:ascii="Open Sans" w:hAnsi="Open Sans"/>
          <w:i/>
          <w:sz w:val="24"/>
        </w:rPr>
        <w:t>QUANTUM</w:t>
      </w:r>
      <w:r w:rsidR="00D20A0F" w:rsidRPr="0010507F">
        <w:rPr>
          <w:rFonts w:ascii="Open Sans" w:hAnsi="Open Sans"/>
          <w:sz w:val="24"/>
        </w:rPr>
        <w:t xml:space="preserve"> IDENIZATÓRIO. TRANSCENDÊNCIA SOCIAL RECONHECIDA. </w:t>
      </w:r>
      <w:proofErr w:type="gramStart"/>
      <w:r w:rsidR="00D20A0F" w:rsidRPr="0010507F">
        <w:rPr>
          <w:rFonts w:ascii="Open Sans" w:hAnsi="Open Sans"/>
          <w:sz w:val="24"/>
        </w:rPr>
        <w:t>1</w:t>
      </w:r>
      <w:proofErr w:type="gramEnd"/>
      <w:r w:rsidR="00D20A0F" w:rsidRPr="0010507F">
        <w:rPr>
          <w:rFonts w:ascii="Open Sans" w:hAnsi="Open Sans"/>
          <w:sz w:val="24"/>
        </w:rPr>
        <w:t xml:space="preserve">. Cinge-se a controvérsia ao direito à majoração da indenização por danos morais, arbitrada pelo acórdão regional em R$ 5.000,00, diante do reconhecimento da submissão do trabalhador a condições degradantes de trabalho. O conteúdo da discussão torna imperiosa a adoção das balizas de julgamento fornecidas no Protocolo para Atuação e Julgamento com Perspectiva de Enfrentamento do Trabalho Escravo Contemporâneo (CSJT). 2. O trabalho escravo contemporâneo (trabalho análogo ao de escravo, no que se inclui o trabalho degradante) é uma prática odiosa que </w:t>
      </w:r>
      <w:r w:rsidR="008B2BC3">
        <w:rPr>
          <w:rFonts w:ascii="Open Sans" w:hAnsi="Open Sans"/>
          <w:sz w:val="24"/>
        </w:rPr>
        <w:t>‘</w:t>
      </w:r>
      <w:r w:rsidR="00D20A0F" w:rsidRPr="0010507F">
        <w:rPr>
          <w:rFonts w:ascii="Open Sans" w:hAnsi="Open Sans"/>
          <w:sz w:val="24"/>
        </w:rPr>
        <w:t>compreende o labor exercido na contramão da agenda para o trabalho decente, em que há grave violação da dignidade da pessoa trabalhadora</w:t>
      </w:r>
      <w:r w:rsidR="008B2BC3">
        <w:rPr>
          <w:rFonts w:ascii="Open Sans" w:hAnsi="Open Sans"/>
          <w:sz w:val="24"/>
        </w:rPr>
        <w:t>’</w:t>
      </w:r>
      <w:r w:rsidR="00D20A0F" w:rsidRPr="0010507F">
        <w:rPr>
          <w:rFonts w:ascii="Open Sans" w:hAnsi="Open Sans"/>
          <w:sz w:val="24"/>
        </w:rPr>
        <w:t xml:space="preserve"> (Gonçalves, 2020). 3. No direito nacional, tipifica-se como crime a ação de </w:t>
      </w:r>
      <w:r w:rsidR="008B2BC3">
        <w:rPr>
          <w:rFonts w:ascii="Open Sans" w:hAnsi="Open Sans"/>
          <w:sz w:val="24"/>
        </w:rPr>
        <w:t>‘</w:t>
      </w:r>
      <w:r w:rsidR="00D20A0F" w:rsidRPr="0010507F">
        <w:rPr>
          <w:rFonts w:ascii="Open Sans" w:hAnsi="Open Sans"/>
          <w:sz w:val="24"/>
        </w:rPr>
        <w:t>reduzir alguém à condição análoga à de escravo, quer submetendo-o a trabalhos forçados ou a jornada exaustiva, quer sujeitando-o a condições degradantes de trabalho, quer restringindo, por qualquer meio, sua locomoção em razão de dívida contraída com o empregador ou preposto</w:t>
      </w:r>
      <w:r w:rsidR="008B2BC3">
        <w:rPr>
          <w:rFonts w:ascii="Open Sans" w:hAnsi="Open Sans"/>
          <w:sz w:val="24"/>
        </w:rPr>
        <w:t>’</w:t>
      </w:r>
      <w:r w:rsidR="00D20A0F" w:rsidRPr="0010507F">
        <w:rPr>
          <w:rFonts w:ascii="Open Sans" w:hAnsi="Open Sans"/>
          <w:sz w:val="24"/>
        </w:rPr>
        <w:t xml:space="preserve"> (art. 149, caput, do Código Penal). Além disso, incorre na mesma conduta </w:t>
      </w:r>
      <w:proofErr w:type="gramStart"/>
      <w:r w:rsidR="00D20A0F" w:rsidRPr="0010507F">
        <w:rPr>
          <w:rFonts w:ascii="Open Sans" w:hAnsi="Open Sans"/>
          <w:sz w:val="24"/>
        </w:rPr>
        <w:t>criminal</w:t>
      </w:r>
      <w:proofErr w:type="gramEnd"/>
      <w:r w:rsidR="00D20A0F" w:rsidRPr="0010507F">
        <w:rPr>
          <w:rFonts w:ascii="Open Sans" w:hAnsi="Open Sans"/>
          <w:sz w:val="24"/>
        </w:rPr>
        <w:t xml:space="preserve"> quem cerceia o uso de qualquer meio de transporte, mantém vigilância ostensiva no local de trabalho ou se apodera de documentos pessoais do trabalhador, tudo com a finalidade de retê-lo no local de trabalho. </w:t>
      </w:r>
      <w:proofErr w:type="gramStart"/>
      <w:r w:rsidR="00D20A0F" w:rsidRPr="0010507F">
        <w:rPr>
          <w:rFonts w:ascii="Open Sans" w:hAnsi="Open Sans"/>
          <w:sz w:val="24"/>
        </w:rPr>
        <w:t>4 .</w:t>
      </w:r>
      <w:proofErr w:type="gramEnd"/>
      <w:r w:rsidR="00D20A0F" w:rsidRPr="0010507F">
        <w:rPr>
          <w:rFonts w:ascii="Open Sans" w:hAnsi="Open Sans"/>
          <w:sz w:val="24"/>
        </w:rPr>
        <w:t xml:space="preserve"> A submissão de trabalhador a condições degradantes de trabalho é conduta que foi incluída no artigo 149 do Código Penal brasileiro </w:t>
      </w:r>
      <w:r w:rsidR="008B2BC3">
        <w:rPr>
          <w:rFonts w:ascii="Open Sans" w:hAnsi="Open Sans"/>
          <w:sz w:val="24"/>
        </w:rPr>
        <w:t>‘</w:t>
      </w:r>
      <w:r w:rsidR="00D20A0F" w:rsidRPr="0010507F">
        <w:rPr>
          <w:rFonts w:ascii="Open Sans" w:hAnsi="Open Sans"/>
          <w:sz w:val="24"/>
        </w:rPr>
        <w:t>a partir do Caso José Pereira levado à Comissão IDH</w:t>
      </w:r>
      <w:r w:rsidR="008B2BC3">
        <w:rPr>
          <w:rFonts w:ascii="Open Sans" w:hAnsi="Open Sans"/>
          <w:sz w:val="24"/>
        </w:rPr>
        <w:t>’</w:t>
      </w:r>
      <w:r w:rsidR="00D20A0F" w:rsidRPr="0010507F">
        <w:rPr>
          <w:rFonts w:ascii="Open Sans" w:hAnsi="Open Sans"/>
          <w:sz w:val="24"/>
        </w:rPr>
        <w:t xml:space="preserve"> (Gonçalves, 2020). Isto é, foi a partir de debate realizado perante Corte Interamericana de Direitos Humanos, em análise de caso concreto que envolveu mais de 60 trabalhadores - com a morte de um deles- é que o Brasil passou a considerar as condições degradantes como tipo penal, ampliando a tipificação p e n a </w:t>
      </w:r>
      <w:proofErr w:type="gramStart"/>
      <w:r w:rsidR="00D20A0F" w:rsidRPr="0010507F">
        <w:rPr>
          <w:rFonts w:ascii="Open Sans" w:hAnsi="Open Sans"/>
          <w:sz w:val="24"/>
        </w:rPr>
        <w:t>l .</w:t>
      </w:r>
      <w:proofErr w:type="gramEnd"/>
      <w:r w:rsidR="00D20A0F" w:rsidRPr="0010507F">
        <w:rPr>
          <w:rFonts w:ascii="Open Sans" w:hAnsi="Open Sans"/>
          <w:sz w:val="24"/>
        </w:rPr>
        <w:t xml:space="preserve"> A ampliação do conceito de trabalho escravo contemporâneo, incluindo-se o trabalho em condições degradantes é medida pública que, ao considerar tais práticas como repreensíveis no ordenamento jurídico brasileiro, coloca em evidência a reafirmação dos valores sociais do trabalho, com ênfase na preservação da dignidade humana, além de reconhecer a </w:t>
      </w:r>
      <w:proofErr w:type="spellStart"/>
      <w:r w:rsidR="00D20A0F" w:rsidRPr="0010507F">
        <w:rPr>
          <w:rFonts w:ascii="Open Sans" w:hAnsi="Open Sans"/>
          <w:sz w:val="24"/>
        </w:rPr>
        <w:t>policêntrica</w:t>
      </w:r>
      <w:proofErr w:type="spellEnd"/>
      <w:r w:rsidR="00D20A0F" w:rsidRPr="0010507F">
        <w:rPr>
          <w:rFonts w:ascii="Open Sans" w:hAnsi="Open Sans"/>
          <w:sz w:val="24"/>
        </w:rPr>
        <w:t xml:space="preserve"> complexidade das formas de manifestação do trabalho em condição análoga à de escravo. Em razão disso, o combate ao trabalho escravo contemporâneo exige ações </w:t>
      </w:r>
      <w:proofErr w:type="spellStart"/>
      <w:r w:rsidR="00D20A0F" w:rsidRPr="0010507F">
        <w:rPr>
          <w:rFonts w:ascii="Open Sans" w:hAnsi="Open Sans"/>
          <w:sz w:val="24"/>
        </w:rPr>
        <w:t>multicentradas</w:t>
      </w:r>
      <w:proofErr w:type="spellEnd"/>
      <w:r w:rsidR="00D20A0F" w:rsidRPr="0010507F">
        <w:rPr>
          <w:rFonts w:ascii="Open Sans" w:hAnsi="Open Sans"/>
          <w:sz w:val="24"/>
        </w:rPr>
        <w:t xml:space="preserve"> com a participação de diversos entes estatais (RE 459510, </w:t>
      </w:r>
      <w:proofErr w:type="gramStart"/>
      <w:r w:rsidR="00D20A0F" w:rsidRPr="0010507F">
        <w:rPr>
          <w:rFonts w:ascii="Open Sans" w:hAnsi="Open Sans"/>
          <w:sz w:val="24"/>
        </w:rPr>
        <w:t>Relator(</w:t>
      </w:r>
      <w:proofErr w:type="gramEnd"/>
      <w:r w:rsidR="00D20A0F" w:rsidRPr="0010507F">
        <w:rPr>
          <w:rFonts w:ascii="Open Sans" w:hAnsi="Open Sans"/>
          <w:sz w:val="24"/>
        </w:rPr>
        <w:t xml:space="preserve">a): CEZAR PELUSO, Relator(a) p/ Acórdão: DIAS TOFFOLI, Tribunal Pleno, julgado em 26-11-2015). </w:t>
      </w:r>
      <w:proofErr w:type="gramStart"/>
      <w:r w:rsidR="00D20A0F" w:rsidRPr="0010507F">
        <w:rPr>
          <w:rFonts w:ascii="Open Sans" w:hAnsi="Open Sans"/>
          <w:sz w:val="24"/>
        </w:rPr>
        <w:t>5 .</w:t>
      </w:r>
      <w:proofErr w:type="gramEnd"/>
      <w:r w:rsidR="00D20A0F" w:rsidRPr="0010507F">
        <w:rPr>
          <w:rFonts w:ascii="Open Sans" w:hAnsi="Open Sans"/>
          <w:sz w:val="24"/>
        </w:rPr>
        <w:t xml:space="preserve"> A complexidade inerente ao trabalho degradante está relacionada, entre outros, ao fato de que o Brasil foi o último país das Américas a abolir o trabalho escravo no continente americano. Em termos legais, a prática durou mais de 388 anos, período durante o qual as pessoas escravizadas ao mesmo tempo em que eram consideradas como objeto, </w:t>
      </w:r>
      <w:proofErr w:type="gramStart"/>
      <w:r w:rsidR="00D20A0F" w:rsidRPr="0010507F">
        <w:rPr>
          <w:rFonts w:ascii="Open Sans" w:hAnsi="Open Sans"/>
          <w:sz w:val="24"/>
        </w:rPr>
        <w:t>compunham</w:t>
      </w:r>
      <w:proofErr w:type="gramEnd"/>
      <w:r w:rsidR="00D20A0F" w:rsidRPr="0010507F">
        <w:rPr>
          <w:rFonts w:ascii="Open Sans" w:hAnsi="Open Sans"/>
          <w:sz w:val="24"/>
        </w:rPr>
        <w:t xml:space="preserve"> a essencial força motriz de desenvolvimento das atividades econômicas estatais. Se, por um lado, o trabalho escravo tornava insuportável a vida das pessoas escravizadas, dadas as mais diversas violências contra elas cometidas em prol do lucro e do gozo de benefícios pelos proprietários de terras, por outro lado, a criatividade e resistência da população negra escravizada configuraram-se como elementos de sabedoria essenciais à sua sobrevivência. Dentre os diversos exemplos, o </w:t>
      </w:r>
      <w:r w:rsidR="00D20A0F" w:rsidRPr="0010507F">
        <w:rPr>
          <w:rFonts w:ascii="Open Sans" w:hAnsi="Open Sans"/>
          <w:sz w:val="24"/>
        </w:rPr>
        <w:lastRenderedPageBreak/>
        <w:t xml:space="preserve">de Esperança Garcia tem sido, com razão, vivamente relembrado nos últimos anos e alguns autores sustentam que </w:t>
      </w:r>
      <w:r w:rsidR="008B2BC3">
        <w:rPr>
          <w:rFonts w:ascii="Open Sans" w:hAnsi="Open Sans"/>
          <w:sz w:val="24"/>
        </w:rPr>
        <w:t>‘</w:t>
      </w:r>
      <w:r w:rsidR="00D20A0F" w:rsidRPr="0010507F">
        <w:rPr>
          <w:rFonts w:ascii="Open Sans" w:hAnsi="Open Sans"/>
          <w:sz w:val="24"/>
        </w:rPr>
        <w:t xml:space="preserve">a experiência em torno do resgate da memória de Esperança Garcia pode ser aproveitada no desenho e </w:t>
      </w:r>
      <w:proofErr w:type="gramStart"/>
      <w:r w:rsidR="00D20A0F" w:rsidRPr="0010507F">
        <w:rPr>
          <w:rFonts w:ascii="Open Sans" w:hAnsi="Open Sans"/>
          <w:sz w:val="24"/>
        </w:rPr>
        <w:t>implementação</w:t>
      </w:r>
      <w:proofErr w:type="gramEnd"/>
      <w:r w:rsidR="00D20A0F" w:rsidRPr="0010507F">
        <w:rPr>
          <w:rFonts w:ascii="Open Sans" w:hAnsi="Open Sans"/>
          <w:sz w:val="24"/>
        </w:rPr>
        <w:t xml:space="preserve"> das medidas de reparação às vítimas</w:t>
      </w:r>
      <w:r w:rsidR="008B2BC3">
        <w:rPr>
          <w:rFonts w:ascii="Open Sans" w:hAnsi="Open Sans"/>
          <w:sz w:val="24"/>
        </w:rPr>
        <w:t>’</w:t>
      </w:r>
      <w:r w:rsidR="00D20A0F" w:rsidRPr="0010507F">
        <w:rPr>
          <w:rFonts w:ascii="Open Sans" w:hAnsi="Open Sans"/>
          <w:sz w:val="24"/>
        </w:rPr>
        <w:t xml:space="preserve"> (Soares &amp; </w:t>
      </w:r>
      <w:proofErr w:type="spellStart"/>
      <w:r w:rsidR="00D20A0F" w:rsidRPr="0010507F">
        <w:rPr>
          <w:rFonts w:ascii="Open Sans" w:hAnsi="Open Sans"/>
          <w:sz w:val="24"/>
        </w:rPr>
        <w:t>Fachin</w:t>
      </w:r>
      <w:proofErr w:type="spellEnd"/>
      <w:r w:rsidR="00D20A0F" w:rsidRPr="0010507F">
        <w:rPr>
          <w:rFonts w:ascii="Open Sans" w:hAnsi="Open Sans"/>
          <w:sz w:val="24"/>
        </w:rPr>
        <w:t xml:space="preserve">, 2022) nos casos Fazenda Brasil Verde (Corte IDH 2016); e Empregados da Fábrica de Fogos de Santo Antônio de Jesus e seus Familiares (Corte IDH 2020), apoiando-se nos usos da memória da denúncia feita por Esperança como uma das bases de sustentação para o fortalecimento dos direitos humanos e sociais do trabalho, bem como das instituições democráticas (Soares &amp; </w:t>
      </w:r>
      <w:proofErr w:type="spellStart"/>
      <w:r w:rsidR="00D20A0F" w:rsidRPr="0010507F">
        <w:rPr>
          <w:rFonts w:ascii="Open Sans" w:hAnsi="Open Sans"/>
          <w:sz w:val="24"/>
        </w:rPr>
        <w:t>Fachin</w:t>
      </w:r>
      <w:proofErr w:type="spellEnd"/>
      <w:r w:rsidR="00D20A0F" w:rsidRPr="0010507F">
        <w:rPr>
          <w:rFonts w:ascii="Open Sans" w:hAnsi="Open Sans"/>
          <w:sz w:val="24"/>
        </w:rPr>
        <w:t xml:space="preserve">, 2022). Esperança Garcia, atualmente reconhecida como a primeira advogada do Brasil pelo Conselho Federal da OAB, foi uma das escravizadas do complexo de propriedades denominado </w:t>
      </w:r>
      <w:r w:rsidR="008B2BC3">
        <w:rPr>
          <w:rFonts w:ascii="Open Sans" w:hAnsi="Open Sans"/>
          <w:sz w:val="24"/>
        </w:rPr>
        <w:t>‘</w:t>
      </w:r>
      <w:r w:rsidR="00D20A0F" w:rsidRPr="0010507F">
        <w:rPr>
          <w:rFonts w:ascii="Open Sans" w:hAnsi="Open Sans"/>
          <w:sz w:val="24"/>
        </w:rPr>
        <w:t>Fazenda do Real Fisco</w:t>
      </w:r>
      <w:r w:rsidR="008B2BC3">
        <w:rPr>
          <w:rFonts w:ascii="Open Sans" w:hAnsi="Open Sans"/>
          <w:sz w:val="24"/>
        </w:rPr>
        <w:t>’</w:t>
      </w:r>
      <w:r w:rsidR="00D20A0F" w:rsidRPr="0010507F">
        <w:rPr>
          <w:rFonts w:ascii="Open Sans" w:hAnsi="Open Sans"/>
          <w:sz w:val="24"/>
        </w:rPr>
        <w:t xml:space="preserve"> ou </w:t>
      </w:r>
      <w:r w:rsidR="008B2BC3">
        <w:rPr>
          <w:rFonts w:ascii="Open Sans" w:hAnsi="Open Sans"/>
          <w:sz w:val="24"/>
        </w:rPr>
        <w:t>‘</w:t>
      </w:r>
      <w:r w:rsidR="00D20A0F" w:rsidRPr="0010507F">
        <w:rPr>
          <w:rFonts w:ascii="Open Sans" w:hAnsi="Open Sans"/>
          <w:sz w:val="24"/>
        </w:rPr>
        <w:t>Fazendas da nação</w:t>
      </w:r>
      <w:r w:rsidR="008B2BC3">
        <w:rPr>
          <w:rFonts w:ascii="Open Sans" w:hAnsi="Open Sans"/>
          <w:sz w:val="24"/>
        </w:rPr>
        <w:t>’</w:t>
      </w:r>
      <w:r w:rsidR="00D20A0F" w:rsidRPr="0010507F">
        <w:rPr>
          <w:rFonts w:ascii="Open Sans" w:hAnsi="Open Sans"/>
          <w:sz w:val="24"/>
        </w:rPr>
        <w:t xml:space="preserve"> (onde hoje estão localizados os Estados do Piauí e Maranhão). Por meio de uma carta, escrita em </w:t>
      </w:r>
      <w:proofErr w:type="gramStart"/>
      <w:r w:rsidR="00D20A0F" w:rsidRPr="0010507F">
        <w:rPr>
          <w:rFonts w:ascii="Open Sans" w:hAnsi="Open Sans"/>
          <w:sz w:val="24"/>
        </w:rPr>
        <w:t>6</w:t>
      </w:r>
      <w:proofErr w:type="gramEnd"/>
      <w:r w:rsidR="00D20A0F" w:rsidRPr="0010507F">
        <w:rPr>
          <w:rFonts w:ascii="Open Sans" w:hAnsi="Open Sans"/>
          <w:sz w:val="24"/>
        </w:rPr>
        <w:t xml:space="preserve"> de setembro de 1770, denunciou ao presidente da Província de São José do Piauí - principal autoridade do Piauí colonial setecentista a as condições degradantes a que estavam submetidos. A carta de Esperança Garcia é um grande achado histórico e perfilha como </w:t>
      </w:r>
      <w:r w:rsidR="008B2BC3">
        <w:rPr>
          <w:rFonts w:ascii="Open Sans" w:hAnsi="Open Sans"/>
          <w:sz w:val="24"/>
        </w:rPr>
        <w:t>‘</w:t>
      </w:r>
      <w:r w:rsidR="00D20A0F" w:rsidRPr="0010507F">
        <w:rPr>
          <w:rFonts w:ascii="Open Sans" w:hAnsi="Open Sans"/>
          <w:sz w:val="24"/>
        </w:rPr>
        <w:t>um dos registros mais antigos que uma pessoa escravizada fez sobre a escravidão no Brasil</w:t>
      </w:r>
      <w:r w:rsidR="008B2BC3">
        <w:rPr>
          <w:rFonts w:ascii="Open Sans" w:hAnsi="Open Sans"/>
          <w:sz w:val="24"/>
        </w:rPr>
        <w:t>’</w:t>
      </w:r>
      <w:r w:rsidR="00D20A0F" w:rsidRPr="0010507F">
        <w:rPr>
          <w:rFonts w:ascii="Open Sans" w:hAnsi="Open Sans"/>
          <w:sz w:val="24"/>
        </w:rPr>
        <w:t xml:space="preserve"> (Soares &amp; </w:t>
      </w:r>
      <w:proofErr w:type="spellStart"/>
      <w:r w:rsidR="00D20A0F" w:rsidRPr="0010507F">
        <w:rPr>
          <w:rFonts w:ascii="Open Sans" w:hAnsi="Open Sans"/>
          <w:sz w:val="24"/>
        </w:rPr>
        <w:t>Fachin</w:t>
      </w:r>
      <w:proofErr w:type="spellEnd"/>
      <w:r w:rsidR="00D20A0F" w:rsidRPr="0010507F">
        <w:rPr>
          <w:rFonts w:ascii="Open Sans" w:hAnsi="Open Sans"/>
          <w:sz w:val="24"/>
        </w:rPr>
        <w:t xml:space="preserve">, 2022). A realidade vivenciada por Esperança Garcia em 1770 permanece no contexto social brasileiro nas práticas de trabalho degradante (trabalho escravo contemporâneo), o que coloca em evidência importante fator que </w:t>
      </w:r>
      <w:proofErr w:type="spellStart"/>
      <w:r w:rsidR="00D20A0F" w:rsidRPr="0010507F">
        <w:rPr>
          <w:rFonts w:ascii="Open Sans" w:hAnsi="Open Sans"/>
          <w:sz w:val="24"/>
        </w:rPr>
        <w:t>interrelaciona</w:t>
      </w:r>
      <w:proofErr w:type="spellEnd"/>
      <w:r w:rsidR="00D20A0F" w:rsidRPr="0010507F">
        <w:rPr>
          <w:rFonts w:ascii="Open Sans" w:hAnsi="Open Sans"/>
          <w:sz w:val="24"/>
        </w:rPr>
        <w:t xml:space="preserve"> passado-presente-futuro num </w:t>
      </w:r>
      <w:proofErr w:type="spellStart"/>
      <w:r w:rsidR="00D20A0F" w:rsidRPr="00116BCE">
        <w:rPr>
          <w:rFonts w:ascii="Open Sans" w:hAnsi="Open Sans"/>
          <w:i/>
          <w:sz w:val="24"/>
        </w:rPr>
        <w:t>continum</w:t>
      </w:r>
      <w:proofErr w:type="spellEnd"/>
      <w:r w:rsidR="00D20A0F" w:rsidRPr="0010507F">
        <w:rPr>
          <w:rFonts w:ascii="Open Sans" w:hAnsi="Open Sans"/>
          <w:sz w:val="24"/>
        </w:rPr>
        <w:t xml:space="preserve"> histórico que se busca romper: o racismo e seus efeitos de abjeção de pessoas negras (Santana, 2022). Assim, o trabalho em condições degradantes materializa algumas das </w:t>
      </w:r>
      <w:r w:rsidR="00EE5EE1" w:rsidRPr="0010507F">
        <w:rPr>
          <w:rFonts w:ascii="Open Sans" w:hAnsi="Open Sans"/>
          <w:sz w:val="24"/>
        </w:rPr>
        <w:t xml:space="preserve">lacunas deixadas em nosso país diante da desconsideração do papel que </w:t>
      </w:r>
      <w:r w:rsidR="008B2BC3">
        <w:rPr>
          <w:rFonts w:ascii="Open Sans" w:hAnsi="Open Sans"/>
          <w:sz w:val="24"/>
        </w:rPr>
        <w:t>‘</w:t>
      </w:r>
      <w:r w:rsidR="00EE5EE1" w:rsidRPr="0010507F">
        <w:rPr>
          <w:rFonts w:ascii="Open Sans" w:hAnsi="Open Sans"/>
          <w:sz w:val="24"/>
        </w:rPr>
        <w:t>gênero e raça possuem na conformação do mercado de trabalho brasileiro</w:t>
      </w:r>
      <w:r w:rsidR="008B2BC3">
        <w:rPr>
          <w:rFonts w:ascii="Open Sans" w:hAnsi="Open Sans"/>
          <w:sz w:val="24"/>
        </w:rPr>
        <w:t>’</w:t>
      </w:r>
      <w:r w:rsidR="00EE5EE1" w:rsidRPr="0010507F">
        <w:rPr>
          <w:rFonts w:ascii="Open Sans" w:hAnsi="Open Sans"/>
          <w:sz w:val="24"/>
        </w:rPr>
        <w:t xml:space="preserve">, especialmente quando se considera o passado escravocrata brasileiro. Dessa forma, não é sem razão que </w:t>
      </w:r>
      <w:r w:rsidR="008B2BC3">
        <w:rPr>
          <w:rFonts w:ascii="Open Sans" w:hAnsi="Open Sans"/>
          <w:sz w:val="24"/>
        </w:rPr>
        <w:t>‘</w:t>
      </w:r>
      <w:r w:rsidR="00EE5EE1" w:rsidRPr="0010507F">
        <w:rPr>
          <w:rFonts w:ascii="Open Sans" w:hAnsi="Open Sans"/>
          <w:sz w:val="24"/>
        </w:rPr>
        <w:t>ainda presenciamos a existê</w:t>
      </w:r>
      <w:r w:rsidR="002D5C50">
        <w:rPr>
          <w:rFonts w:ascii="Open Sans" w:hAnsi="Open Sans"/>
          <w:sz w:val="24"/>
        </w:rPr>
        <w:t>ncia de trabalho escravo no paí</w:t>
      </w:r>
      <w:r w:rsidR="00EE5EE1" w:rsidRPr="0010507F">
        <w:rPr>
          <w:rFonts w:ascii="Open Sans" w:hAnsi="Open Sans"/>
          <w:sz w:val="24"/>
        </w:rPr>
        <w:t xml:space="preserve">s, bem como argumentos patronais que poderiam ser extraídos diretamente das falas de senhores escravistas do século </w:t>
      </w:r>
      <w:proofErr w:type="gramStart"/>
      <w:r w:rsidR="00EE5EE1" w:rsidRPr="0010507F">
        <w:rPr>
          <w:rFonts w:ascii="Open Sans" w:hAnsi="Open Sans"/>
          <w:sz w:val="24"/>
        </w:rPr>
        <w:t>XIX.</w:t>
      </w:r>
      <w:proofErr w:type="gramEnd"/>
      <w:r w:rsidR="008B2BC3">
        <w:rPr>
          <w:rFonts w:ascii="Open Sans" w:hAnsi="Open Sans"/>
          <w:sz w:val="24"/>
        </w:rPr>
        <w:t>’</w:t>
      </w:r>
      <w:r w:rsidR="00EE5EE1" w:rsidRPr="0010507F">
        <w:rPr>
          <w:rFonts w:ascii="Open Sans" w:hAnsi="Open Sans"/>
          <w:sz w:val="24"/>
        </w:rPr>
        <w:t xml:space="preserve"> (ALVES, 2023). 6. Nesse cenário, o trabalho degradante se alicerça na crença ideológica de que o trabalho realizado essencialmente por pessoas negras não possui qualquer valor, assim como essas pessoas em si mesmas seriam a mera abjeção de um ser humano (</w:t>
      </w:r>
      <w:proofErr w:type="spellStart"/>
      <w:r w:rsidR="00EE5EE1" w:rsidRPr="0010507F">
        <w:rPr>
          <w:rFonts w:ascii="Open Sans" w:hAnsi="Open Sans"/>
          <w:sz w:val="24"/>
        </w:rPr>
        <w:t>Mbembe</w:t>
      </w:r>
      <w:proofErr w:type="spellEnd"/>
      <w:r w:rsidR="00EE5EE1" w:rsidRPr="0010507F">
        <w:rPr>
          <w:rFonts w:ascii="Open Sans" w:hAnsi="Open Sans"/>
          <w:sz w:val="24"/>
        </w:rPr>
        <w:t xml:space="preserve">, 2018). Quem comete o delito presume possuir um valor (simbólico ou não) superior àqueles que são submetidos às condições de trabalho forçado, extenuante ou em condições degradantes (FANON, 1968). De fato, no Brasil, dados fornecidos pelo </w:t>
      </w:r>
      <w:proofErr w:type="spellStart"/>
      <w:proofErr w:type="gramStart"/>
      <w:r w:rsidR="00EE5EE1" w:rsidRPr="0010507F">
        <w:rPr>
          <w:rFonts w:ascii="Open Sans" w:hAnsi="Open Sans"/>
          <w:sz w:val="24"/>
        </w:rPr>
        <w:t>SmartLab</w:t>
      </w:r>
      <w:proofErr w:type="spellEnd"/>
      <w:proofErr w:type="gramEnd"/>
      <w:r w:rsidR="00EE5EE1" w:rsidRPr="0010507F">
        <w:rPr>
          <w:rFonts w:ascii="Open Sans" w:hAnsi="Open Sans"/>
          <w:sz w:val="24"/>
        </w:rPr>
        <w:t xml:space="preserve"> dão conta de que entre 2002 e 2023, 66% das pessoas resgatadas em situação de trabalho análogo à escravidão, eram negras (pretas e pardas, nos termos do IBGE). Os jovens entre 18 e 24 anos, do sexo masculino, são os mais afetados (</w:t>
      </w:r>
      <w:proofErr w:type="spellStart"/>
      <w:proofErr w:type="gramStart"/>
      <w:r w:rsidR="00EE5EE1" w:rsidRPr="0010507F">
        <w:rPr>
          <w:rFonts w:ascii="Open Sans" w:hAnsi="Open Sans"/>
          <w:sz w:val="24"/>
        </w:rPr>
        <w:t>SmartLab</w:t>
      </w:r>
      <w:proofErr w:type="spellEnd"/>
      <w:proofErr w:type="gramEnd"/>
      <w:r w:rsidR="00EE5EE1" w:rsidRPr="0010507F">
        <w:rPr>
          <w:rFonts w:ascii="Open Sans" w:hAnsi="Open Sans"/>
          <w:sz w:val="24"/>
        </w:rPr>
        <w:t xml:space="preserve">, 2023). É também contra essa lógica estruturante do racismo que o trabalho degradante (trabalho escravo contemporâneo) precisa ser combatido; é essa uma das principais mazelas do período escravocrata, que se projeta sobre a população negra e contra ela constrói muros quase instransponíveis de condições indignas de vida e trabalho. Esse é um dos elementos que torna a erradicação do trabalho escravo contemporâneo, em todas as suas vertentes, tão complexa quanto urgente. A complexidade das ideias em torno da imbricada relação entre trabalho escravo contemporâneo e racismo, tornou necessário </w:t>
      </w:r>
      <w:proofErr w:type="gramStart"/>
      <w:r w:rsidR="00EE5EE1" w:rsidRPr="0010507F">
        <w:rPr>
          <w:rFonts w:ascii="Open Sans" w:hAnsi="Open Sans"/>
          <w:sz w:val="24"/>
        </w:rPr>
        <w:t>a</w:t>
      </w:r>
      <w:proofErr w:type="gramEnd"/>
      <w:r w:rsidR="00EE5EE1" w:rsidRPr="0010507F">
        <w:rPr>
          <w:rFonts w:ascii="Open Sans" w:hAnsi="Open Sans"/>
          <w:sz w:val="24"/>
        </w:rPr>
        <w:t xml:space="preserve"> fixação de teses tais como a de </w:t>
      </w:r>
      <w:r w:rsidR="00EE5EE1" w:rsidRPr="0010507F">
        <w:rPr>
          <w:rFonts w:ascii="Open Sans" w:hAnsi="Open Sans"/>
          <w:sz w:val="24"/>
        </w:rPr>
        <w:lastRenderedPageBreak/>
        <w:t xml:space="preserve">que </w:t>
      </w:r>
      <w:r w:rsidR="008B2BC3">
        <w:rPr>
          <w:rFonts w:ascii="Open Sans" w:hAnsi="Open Sans"/>
          <w:sz w:val="24"/>
        </w:rPr>
        <w:t>‘</w:t>
      </w:r>
      <w:r w:rsidR="00EE5EE1" w:rsidRPr="0010507F">
        <w:rPr>
          <w:rFonts w:ascii="Open Sans" w:hAnsi="Open Sans"/>
          <w:sz w:val="24"/>
        </w:rPr>
        <w:t>não é necessário que se prove a coação física da liberdade de ir e vir ou mesmo o cerceamento da liberdade de locomoção</w:t>
      </w:r>
      <w:r w:rsidR="008B2BC3">
        <w:rPr>
          <w:rFonts w:ascii="Open Sans" w:hAnsi="Open Sans"/>
          <w:sz w:val="24"/>
        </w:rPr>
        <w:t>’</w:t>
      </w:r>
      <w:r w:rsidR="00EE5EE1" w:rsidRPr="0010507F">
        <w:rPr>
          <w:rFonts w:ascii="Open Sans" w:hAnsi="Open Sans"/>
          <w:sz w:val="24"/>
        </w:rPr>
        <w:t xml:space="preserve">(STF: </w:t>
      </w:r>
      <w:proofErr w:type="spellStart"/>
      <w:r w:rsidR="00EE5EE1" w:rsidRPr="0010507F">
        <w:rPr>
          <w:rFonts w:ascii="Open Sans" w:hAnsi="Open Sans"/>
          <w:sz w:val="24"/>
        </w:rPr>
        <w:t>Inq</w:t>
      </w:r>
      <w:proofErr w:type="spellEnd"/>
      <w:r w:rsidR="00EE5EE1" w:rsidRPr="0010507F">
        <w:rPr>
          <w:rFonts w:ascii="Open Sans" w:hAnsi="Open Sans"/>
          <w:sz w:val="24"/>
        </w:rPr>
        <w:t xml:space="preserve"> 341, 2012) para a configuração do crime previsto no artigo 149 do Código Penal. Isto é, foi </w:t>
      </w:r>
      <w:proofErr w:type="gramStart"/>
      <w:r w:rsidR="00EE5EE1" w:rsidRPr="0010507F">
        <w:rPr>
          <w:rFonts w:ascii="Open Sans" w:hAnsi="Open Sans"/>
          <w:sz w:val="24"/>
        </w:rPr>
        <w:t>necessário que a Suprema Corte Brasileira, em 2012, refutasse a tese que não é necessário que o trabalhador tenha suprimida</w:t>
      </w:r>
      <w:proofErr w:type="gramEnd"/>
      <w:r w:rsidR="00EE5EE1" w:rsidRPr="0010507F">
        <w:rPr>
          <w:rFonts w:ascii="Open Sans" w:hAnsi="Open Sans"/>
          <w:sz w:val="24"/>
        </w:rPr>
        <w:t xml:space="preserve"> sua liberdade, tal como no período escravocrata, para a configuração do delito. (STF: </w:t>
      </w:r>
      <w:proofErr w:type="spellStart"/>
      <w:r w:rsidR="00EE5EE1" w:rsidRPr="0010507F">
        <w:rPr>
          <w:rFonts w:ascii="Open Sans" w:hAnsi="Open Sans"/>
          <w:sz w:val="24"/>
        </w:rPr>
        <w:t>Inq</w:t>
      </w:r>
      <w:proofErr w:type="spellEnd"/>
      <w:r w:rsidR="00EE5EE1" w:rsidRPr="0010507F">
        <w:rPr>
          <w:rFonts w:ascii="Open Sans" w:hAnsi="Open Sans"/>
          <w:sz w:val="24"/>
        </w:rPr>
        <w:t xml:space="preserve"> 3412 / Órgão julgador: Tribunal Pleno. </w:t>
      </w:r>
      <w:proofErr w:type="gramStart"/>
      <w:r w:rsidR="00EE5EE1" w:rsidRPr="0010507F">
        <w:rPr>
          <w:rFonts w:ascii="Open Sans" w:hAnsi="Open Sans"/>
          <w:sz w:val="24"/>
        </w:rPr>
        <w:t>Relator(</w:t>
      </w:r>
      <w:proofErr w:type="gramEnd"/>
      <w:r w:rsidR="00EE5EE1" w:rsidRPr="0010507F">
        <w:rPr>
          <w:rFonts w:ascii="Open Sans" w:hAnsi="Open Sans"/>
          <w:sz w:val="24"/>
        </w:rPr>
        <w:t xml:space="preserve">a): Min. MARCO AURÉLIO Redator(a) do acórdão: Min. ROSA WEBER. Julgamento: 29/03/2012). 7. A lembrança do nome, história e memória de Esperança Garcia, ao mesmo tempo em que permitem reconhecer o racismo como elemento sociocultural e jurídico que torna imperiosa a fixação de teses como </w:t>
      </w:r>
      <w:proofErr w:type="gramStart"/>
      <w:r w:rsidR="00EE5EE1" w:rsidRPr="0010507F">
        <w:rPr>
          <w:rFonts w:ascii="Open Sans" w:hAnsi="Open Sans"/>
          <w:sz w:val="24"/>
        </w:rPr>
        <w:t>a acima demonstrada, também</w:t>
      </w:r>
      <w:proofErr w:type="gramEnd"/>
      <w:r w:rsidR="00EE5EE1" w:rsidRPr="0010507F">
        <w:rPr>
          <w:rFonts w:ascii="Open Sans" w:hAnsi="Open Sans"/>
          <w:sz w:val="24"/>
        </w:rPr>
        <w:t xml:space="preserve"> evidenciam a necessidade de combatê-lo em todas as suas manifestações, e em especial, naquela relativa ao trabalho degradante. As normativas jurídicas nacionais e internacionais figuram como importantes mecanismos para tanto, assim como a atuação judicial comprometida com o combate sistêmico do trabalho escravo contemporâneo. Com efeito, apesar de não se referirem expressamente ao racismo, há diversos mecanismos internacionais que reconhecem o trabalho degradante como mazela a ser combatida pelos Estados, referendando a importância de combate dessa prática como um dos objetivos centrais das nações. As premissas estabelecidas pela Declaração Universal de Direitos Humanos de 1948 e pelo artigo 1º, inciso III, da Constituição Federal, estabelecem regras gerais atinentes aos direitos humanos e a vedação a escravidão em condições degradantes análogas à escravidão. A Declaração Universal dos Direitos Humanos (1948) é expressa em seu artigo 4º, ao prever que </w:t>
      </w:r>
      <w:r w:rsidR="008B2BC3">
        <w:rPr>
          <w:rFonts w:ascii="Open Sans" w:hAnsi="Open Sans"/>
          <w:sz w:val="24"/>
        </w:rPr>
        <w:t>‘</w:t>
      </w:r>
      <w:r w:rsidR="00EE5EE1" w:rsidRPr="0010507F">
        <w:rPr>
          <w:rFonts w:ascii="Open Sans" w:hAnsi="Open Sans"/>
          <w:sz w:val="24"/>
        </w:rPr>
        <w:t>Ninguém será mantido em escravidão ou servidão; a escravidão e o tráfico de escravos estão proibidos em todas as suas formas</w:t>
      </w:r>
      <w:r w:rsidR="008B2BC3">
        <w:rPr>
          <w:rFonts w:ascii="Open Sans" w:hAnsi="Open Sans"/>
          <w:sz w:val="24"/>
        </w:rPr>
        <w:t>’</w:t>
      </w:r>
      <w:r w:rsidR="00EE5EE1" w:rsidRPr="0010507F">
        <w:rPr>
          <w:rFonts w:ascii="Open Sans" w:hAnsi="Open Sans"/>
          <w:sz w:val="24"/>
        </w:rPr>
        <w:t xml:space="preserve">. No mesmo sentido, a Convenção Americana Sobre Direito Humanos (Pacto José da Costa Rica), em seu artigo 6º estabelece a </w:t>
      </w:r>
      <w:r w:rsidR="008B2BC3">
        <w:rPr>
          <w:rFonts w:ascii="Open Sans" w:hAnsi="Open Sans"/>
          <w:sz w:val="24"/>
        </w:rPr>
        <w:t>‘</w:t>
      </w:r>
      <w:r w:rsidR="00EE5EE1" w:rsidRPr="0010507F">
        <w:rPr>
          <w:rFonts w:ascii="Open Sans" w:hAnsi="Open Sans"/>
          <w:sz w:val="24"/>
        </w:rPr>
        <w:t>Proibição da Escravidão e da Servidão</w:t>
      </w:r>
      <w:r w:rsidR="008B2BC3">
        <w:rPr>
          <w:rFonts w:ascii="Open Sans" w:hAnsi="Open Sans"/>
          <w:sz w:val="24"/>
        </w:rPr>
        <w:t>’</w:t>
      </w:r>
      <w:r w:rsidR="00EE5EE1" w:rsidRPr="0010507F">
        <w:rPr>
          <w:rFonts w:ascii="Open Sans" w:hAnsi="Open Sans"/>
          <w:sz w:val="24"/>
        </w:rPr>
        <w:t xml:space="preserve">, destacando que ninguém pode ser submetido à escravidão ou a servidão. 8. Ainda, a Organização Internacional do Trabalho – OIT editou diversos normativos visando coibir a realização de trabalho escravo contemporâneo, conforme evidenciado na Convenção nº 29 de 1930, Convenção nº 105 de 1957, e Protocolo de </w:t>
      </w:r>
      <w:proofErr w:type="gramStart"/>
      <w:r w:rsidR="00EE5EE1" w:rsidRPr="0010507F">
        <w:rPr>
          <w:rFonts w:ascii="Open Sans" w:hAnsi="Open Sans"/>
          <w:sz w:val="24"/>
        </w:rPr>
        <w:t>2014 relativo</w:t>
      </w:r>
      <w:proofErr w:type="gramEnd"/>
      <w:r w:rsidR="00EE5EE1" w:rsidRPr="0010507F">
        <w:rPr>
          <w:rFonts w:ascii="Open Sans" w:hAnsi="Open Sans"/>
          <w:sz w:val="24"/>
        </w:rPr>
        <w:t xml:space="preserve"> à Convenção sobre Trabalho Forçado e Recomendação nº 203 sobre o Trabalho escravo contemporâneo. Em amplo atendimento aos normativos da OIT, o artigo 6º da Convenção Americana Sobre Direito Humanos, ao qual o Brasil é signatário, fixa norma que veda a execução em trabalho forçado. No âmbito do </w:t>
      </w:r>
      <w:proofErr w:type="gramStart"/>
      <w:r w:rsidR="00EE5EE1" w:rsidRPr="0010507F">
        <w:rPr>
          <w:rFonts w:ascii="Open Sans" w:hAnsi="Open Sans"/>
          <w:sz w:val="24"/>
        </w:rPr>
        <w:t>Mercosul</w:t>
      </w:r>
      <w:proofErr w:type="gramEnd"/>
      <w:r w:rsidR="00EE5EE1" w:rsidRPr="0010507F">
        <w:rPr>
          <w:rFonts w:ascii="Open Sans" w:hAnsi="Open Sans"/>
          <w:sz w:val="24"/>
        </w:rPr>
        <w:t xml:space="preserve">, na Declaração </w:t>
      </w:r>
      <w:proofErr w:type="spellStart"/>
      <w:r w:rsidR="00EE5EE1" w:rsidRPr="0010507F">
        <w:rPr>
          <w:rFonts w:ascii="Open Sans" w:hAnsi="Open Sans"/>
          <w:sz w:val="24"/>
        </w:rPr>
        <w:t>Sociolaboral</w:t>
      </w:r>
      <w:proofErr w:type="spellEnd"/>
      <w:r w:rsidR="00EE5EE1" w:rsidRPr="0010507F">
        <w:rPr>
          <w:rFonts w:ascii="Open Sans" w:hAnsi="Open Sans"/>
          <w:sz w:val="24"/>
        </w:rPr>
        <w:t xml:space="preserve"> de 2015, além de se ter referendado o conteúdo da Convenção 105 da OIT, há acréscimo à necessidade de se extirpar o trabalho forçado ou obrigatório, na modalidade de punição por haver o trabalhador participado de atividades sindicais. Por fim, a Agenda 2030 já utiliza a expressão </w:t>
      </w:r>
      <w:r w:rsidR="008B2BC3">
        <w:rPr>
          <w:rFonts w:ascii="Open Sans" w:hAnsi="Open Sans"/>
          <w:sz w:val="24"/>
        </w:rPr>
        <w:t>‘</w:t>
      </w:r>
      <w:r w:rsidR="00EE5EE1" w:rsidRPr="0010507F">
        <w:rPr>
          <w:rFonts w:ascii="Open Sans" w:hAnsi="Open Sans"/>
          <w:sz w:val="24"/>
        </w:rPr>
        <w:t>escravidão moderna</w:t>
      </w:r>
      <w:r w:rsidR="008B2BC3">
        <w:rPr>
          <w:rFonts w:ascii="Open Sans" w:hAnsi="Open Sans"/>
          <w:sz w:val="24"/>
        </w:rPr>
        <w:t>’</w:t>
      </w:r>
      <w:r w:rsidR="00EE5EE1" w:rsidRPr="0010507F">
        <w:rPr>
          <w:rFonts w:ascii="Open Sans" w:hAnsi="Open Sans"/>
          <w:sz w:val="24"/>
        </w:rPr>
        <w:t xml:space="preserve"> e reforça, na ODS </w:t>
      </w:r>
      <w:proofErr w:type="gramStart"/>
      <w:r w:rsidR="00EE5EE1" w:rsidRPr="0010507F">
        <w:rPr>
          <w:rFonts w:ascii="Open Sans" w:hAnsi="Open Sans"/>
          <w:sz w:val="24"/>
        </w:rPr>
        <w:t>8</w:t>
      </w:r>
      <w:proofErr w:type="gramEnd"/>
      <w:r w:rsidR="00EE5EE1" w:rsidRPr="0010507F">
        <w:rPr>
          <w:rFonts w:ascii="Open Sans" w:hAnsi="Open Sans"/>
          <w:sz w:val="24"/>
        </w:rPr>
        <w:t xml:space="preserve">, a necessidade de que sejam </w:t>
      </w:r>
      <w:r w:rsidR="008B2BC3">
        <w:rPr>
          <w:rFonts w:ascii="Open Sans" w:hAnsi="Open Sans"/>
          <w:sz w:val="24"/>
        </w:rPr>
        <w:t>‘</w:t>
      </w:r>
      <w:r w:rsidR="00EE5EE1" w:rsidRPr="0010507F">
        <w:rPr>
          <w:rFonts w:ascii="Open Sans" w:hAnsi="Open Sans"/>
          <w:sz w:val="24"/>
        </w:rPr>
        <w:t>tomar medidas imediatas e eficazes para erradicar o trabalho forçado, acabar com a escravidão moderna e o tráfico de pessoas, e assegurar a proibição e eliminação das piores formas de trabalho infantil, incluindo recrutamento e utilização de crianças-soldado, e até 2025 acabar com o trabalho infantil em todas as suas formas</w:t>
      </w:r>
      <w:r w:rsidR="008B2BC3">
        <w:rPr>
          <w:rFonts w:ascii="Open Sans" w:hAnsi="Open Sans"/>
          <w:sz w:val="24"/>
        </w:rPr>
        <w:t>’</w:t>
      </w:r>
      <w:r w:rsidR="00EE5EE1" w:rsidRPr="0010507F">
        <w:rPr>
          <w:rFonts w:ascii="Open Sans" w:hAnsi="Open Sans"/>
          <w:sz w:val="24"/>
        </w:rPr>
        <w:t xml:space="preserve">. De fato, os documentos internacionais analisados são importantes caminhos institucionais para </w:t>
      </w:r>
      <w:r w:rsidR="008B2BC3">
        <w:rPr>
          <w:rFonts w:ascii="Open Sans" w:hAnsi="Open Sans"/>
          <w:sz w:val="24"/>
        </w:rPr>
        <w:t>‘</w:t>
      </w:r>
      <w:r w:rsidR="00EE5EE1" w:rsidRPr="0010507F">
        <w:rPr>
          <w:rFonts w:ascii="Open Sans" w:hAnsi="Open Sans"/>
          <w:sz w:val="24"/>
        </w:rPr>
        <w:t xml:space="preserve">buscar justiça racial com o encaminhamento da denúncia a pessoas ou instituições que têm o dever de garantir algum patamar de dignidade, </w:t>
      </w:r>
      <w:r w:rsidR="00EE5EE1" w:rsidRPr="0010507F">
        <w:rPr>
          <w:rFonts w:ascii="Open Sans" w:hAnsi="Open Sans"/>
          <w:sz w:val="24"/>
        </w:rPr>
        <w:lastRenderedPageBreak/>
        <w:t>para gerar mudança de postura e melhoria de toda comunidade</w:t>
      </w:r>
      <w:r w:rsidR="008B2BC3">
        <w:rPr>
          <w:rFonts w:ascii="Open Sans" w:hAnsi="Open Sans"/>
          <w:sz w:val="24"/>
        </w:rPr>
        <w:t>’</w:t>
      </w:r>
      <w:r w:rsidR="00EE5EE1" w:rsidRPr="0010507F">
        <w:rPr>
          <w:rFonts w:ascii="Open Sans" w:hAnsi="Open Sans"/>
          <w:sz w:val="24"/>
        </w:rPr>
        <w:t xml:space="preserve"> (Soares &amp; </w:t>
      </w:r>
      <w:proofErr w:type="spellStart"/>
      <w:r w:rsidR="00EE5EE1" w:rsidRPr="0010507F">
        <w:rPr>
          <w:rFonts w:ascii="Open Sans" w:hAnsi="Open Sans"/>
          <w:sz w:val="24"/>
        </w:rPr>
        <w:t>Fachin</w:t>
      </w:r>
      <w:proofErr w:type="spellEnd"/>
      <w:r w:rsidR="00EE5EE1" w:rsidRPr="0010507F">
        <w:rPr>
          <w:rFonts w:ascii="Open Sans" w:hAnsi="Open Sans"/>
          <w:sz w:val="24"/>
        </w:rPr>
        <w:t xml:space="preserve">, 2022). 9. Em âmbito nacional, a Constituição Federal, em seu artigo 170, inciso VII, estabelece que a ordem econômica do estado brasileiro se fixa na valorização do trabalho humano, tendo como finalidade assegurar a existência digna dentro dos ditames da justiça social. Portanto, o legislador constituinte estabelece que a proteção do trabalho não se </w:t>
      </w:r>
      <w:proofErr w:type="gramStart"/>
      <w:r w:rsidR="00EE5EE1" w:rsidRPr="0010507F">
        <w:rPr>
          <w:rFonts w:ascii="Open Sans" w:hAnsi="Open Sans"/>
          <w:sz w:val="24"/>
        </w:rPr>
        <w:t>trata</w:t>
      </w:r>
      <w:proofErr w:type="gramEnd"/>
      <w:r w:rsidR="00EE5EE1" w:rsidRPr="0010507F">
        <w:rPr>
          <w:rFonts w:ascii="Open Sans" w:hAnsi="Open Sans"/>
          <w:sz w:val="24"/>
        </w:rPr>
        <w:t xml:space="preserve"> de medida eminentemente filantrópica, mas politicamente racional. Ainda, no âmbito </w:t>
      </w:r>
      <w:proofErr w:type="spellStart"/>
      <w:r w:rsidR="00EE5EE1" w:rsidRPr="0010507F">
        <w:rPr>
          <w:rFonts w:ascii="Open Sans" w:hAnsi="Open Sans"/>
          <w:sz w:val="24"/>
        </w:rPr>
        <w:t>infralegal</w:t>
      </w:r>
      <w:proofErr w:type="spellEnd"/>
      <w:r w:rsidR="00EE5EE1" w:rsidRPr="0010507F">
        <w:rPr>
          <w:rFonts w:ascii="Open Sans" w:hAnsi="Open Sans"/>
          <w:sz w:val="24"/>
        </w:rPr>
        <w:t xml:space="preserve">, possuem relevo a Portaria MTP Nº 671/2021 e a Portaria Interministerial MTE/MDHC/ nº 15 de 2024, que fornecem conceitos valiosos para a identificação de quais condutas podem ser consideradas como trabalho escravo contemporâneo. 10. Nesse espectro, quando constatadas quaisquer violações à sua integridade física ou psíquica como, pesarosamente, ocorre nos casos de trabalho degradante, exsurge à parte trabalhadora o direito de ser indenizada pela extensão do dano extrapatrimonial sofrido, conforme estabelecem o artigo 5º, inciso X e V, da Constituição Federal e os artigos 186 e 927 do Código Civil. A seu turno, à reclamada se impõe o dever de compensar o dano sofrido pela parte trabalhadora, diante do desrespeito tanto às citadas normas, quanto à dignidade, integridade e saúde de seus empregados. Por sua vez, quando provocado, compete ao judiciário fixar as indenizações por danos morais em estrita atenção ao grau de culpa e à capacidade econômica da empresa, à extensão e gravidade do dano, a vedação ao enriquecimento ilícito da parte indenizada é à função pedagógica da medida. Ademais, o direito </w:t>
      </w:r>
      <w:proofErr w:type="gramStart"/>
      <w:r w:rsidR="00EE5EE1" w:rsidRPr="0010507F">
        <w:rPr>
          <w:rFonts w:ascii="Open Sans" w:hAnsi="Open Sans"/>
          <w:sz w:val="24"/>
        </w:rPr>
        <w:t>à</w:t>
      </w:r>
      <w:proofErr w:type="gramEnd"/>
      <w:r w:rsidR="00EE5EE1" w:rsidRPr="0010507F">
        <w:rPr>
          <w:rFonts w:ascii="Open Sans" w:hAnsi="Open Sans"/>
          <w:sz w:val="24"/>
        </w:rPr>
        <w:t xml:space="preserve"> não escravização se insere no contexto de demandas estruturais, assim compreendidas como aquelas que envolvem um grave estado de desconformidade cuja solução exige uma mudança de índole profunda (ZANETI J; DIDIER Jr., 2019). Nesse sentido, a criação de uma cultura de vedação total à escravização é tanto essencial, quanto complexa e, portanto, possui tipicidade própria dos litígios estruturais. Em função disso, é dever do Judiciário e da jurisprudência brasileira apontar nas mesmas direções do constituinte de 1988, assentando mensagens estruturais de respeito aos valores sociais do trabalho e do respeito à dignidade humana. A ideia por trás das mensagens estruturais está fundada na arquitetura de escolhas, a partir da qual são oferecidos incentivos ou comandos que conduzam à mudança de comportamento empresarial (são os chamados </w:t>
      </w:r>
      <w:r w:rsidR="008B2BC3">
        <w:rPr>
          <w:rFonts w:ascii="Open Sans" w:hAnsi="Open Sans"/>
          <w:sz w:val="24"/>
        </w:rPr>
        <w:t>‘</w:t>
      </w:r>
      <w:proofErr w:type="spellStart"/>
      <w:r w:rsidR="00EE5EE1" w:rsidRPr="00FB29C7">
        <w:rPr>
          <w:rFonts w:ascii="Open Sans" w:hAnsi="Open Sans"/>
          <w:i/>
          <w:sz w:val="24"/>
        </w:rPr>
        <w:t>nudges</w:t>
      </w:r>
      <w:proofErr w:type="spellEnd"/>
      <w:r w:rsidR="008B2BC3">
        <w:rPr>
          <w:rFonts w:ascii="Open Sans" w:hAnsi="Open Sans"/>
          <w:sz w:val="24"/>
        </w:rPr>
        <w:t>’</w:t>
      </w:r>
      <w:r w:rsidR="00EE5EE1" w:rsidRPr="0010507F">
        <w:rPr>
          <w:rFonts w:ascii="Open Sans" w:hAnsi="Open Sans"/>
          <w:sz w:val="24"/>
        </w:rPr>
        <w:t xml:space="preserve"> (THALER; SUNSTEIN, 2019), que deve se curvar à disciplina constitucional de proteção ao meio ambiente do trabalho e à dignidade humana. A partir disso, a jurisprudência constitucional-trabalhista deve estar robustecida com decisões que direcionem </w:t>
      </w:r>
      <w:r w:rsidR="008B2BC3">
        <w:rPr>
          <w:rFonts w:ascii="Open Sans" w:hAnsi="Open Sans"/>
          <w:sz w:val="24"/>
        </w:rPr>
        <w:t>‘</w:t>
      </w:r>
      <w:r w:rsidR="00EE5EE1" w:rsidRPr="0010507F">
        <w:rPr>
          <w:rFonts w:ascii="Open Sans" w:hAnsi="Open Sans"/>
          <w:sz w:val="24"/>
        </w:rPr>
        <w:t>mudanças de culturas, comportamentos, pensamentos etc., de modo que, em longo prazo, possa se ter um ganho significativo em algum objetivo específico</w:t>
      </w:r>
      <w:r w:rsidR="008B2BC3">
        <w:rPr>
          <w:rFonts w:ascii="Open Sans" w:hAnsi="Open Sans"/>
          <w:sz w:val="24"/>
        </w:rPr>
        <w:t>’</w:t>
      </w:r>
      <w:r w:rsidR="00EE5EE1" w:rsidRPr="0010507F">
        <w:rPr>
          <w:rFonts w:ascii="Open Sans" w:hAnsi="Open Sans"/>
          <w:sz w:val="24"/>
        </w:rPr>
        <w:t xml:space="preserve"> (BENEVIDES; ALMEIDA; MARANHÃO, 2020), qual seja, o máximo respeito à vida com dignidade e ao trabalho decente. Portanto, na hipótese, a mensagem estrutural é complexa, mas objetiva: o direito ao trabalho livre de condições degradantes não deve ser exceção. O mais valioso bem jurídico tutelado pela hermenêutica contida nessas normas é a dignidade física e psíquica da parte trabalhadora, o que não comporta tergiversação. Do contrário, deverão ser aplicadas medidas que induzam à observância das regras atinentes à </w:t>
      </w:r>
      <w:r w:rsidR="007E7398" w:rsidRPr="0010507F">
        <w:rPr>
          <w:rFonts w:ascii="Open Sans" w:hAnsi="Open Sans"/>
          <w:sz w:val="24"/>
        </w:rPr>
        <w:t xml:space="preserve">matéria, como é o caso da indenização por dano moral extrapatrimonial, especialmente na acepção de sua função pedagógica. 11. Além do mais, é assente a função também pedagógica das </w:t>
      </w:r>
      <w:r w:rsidR="007E7398" w:rsidRPr="0010507F">
        <w:rPr>
          <w:rFonts w:ascii="Open Sans" w:hAnsi="Open Sans"/>
          <w:sz w:val="24"/>
        </w:rPr>
        <w:lastRenderedPageBreak/>
        <w:t xml:space="preserve">indenizações por danos extrapatrimoniais, razão pela qual carregam o potencial estrutural das </w:t>
      </w:r>
      <w:proofErr w:type="spellStart"/>
      <w:r w:rsidR="007E7398" w:rsidRPr="002D5C50">
        <w:rPr>
          <w:rFonts w:ascii="Open Sans" w:hAnsi="Open Sans"/>
          <w:i/>
          <w:sz w:val="24"/>
        </w:rPr>
        <w:t>nudges</w:t>
      </w:r>
      <w:proofErr w:type="spellEnd"/>
      <w:r w:rsidR="007E7398" w:rsidRPr="0010507F">
        <w:rPr>
          <w:rFonts w:ascii="Open Sans" w:hAnsi="Open Sans"/>
          <w:sz w:val="24"/>
        </w:rPr>
        <w:t xml:space="preserve">. Especificamente a respeito do </w:t>
      </w:r>
      <w:r w:rsidR="007E7398" w:rsidRPr="00267CDD">
        <w:rPr>
          <w:rFonts w:ascii="Open Sans" w:hAnsi="Open Sans"/>
          <w:i/>
          <w:sz w:val="24"/>
        </w:rPr>
        <w:t>quantum</w:t>
      </w:r>
      <w:r w:rsidR="007E7398" w:rsidRPr="0010507F">
        <w:rPr>
          <w:rFonts w:ascii="Open Sans" w:hAnsi="Open Sans"/>
          <w:sz w:val="24"/>
        </w:rPr>
        <w:t xml:space="preserve"> indenizatório a Subseção I Especializada em Dissídios Individuais já fixou que somente cabe revisão dos valores indenizatórios nas situações em que se vislumbram montantes exorbitantes ou irrisórios, haja vista a função exclusivamente uniformizadora da jurisprudência desta Corte (</w:t>
      </w:r>
      <w:proofErr w:type="gramStart"/>
      <w:r w:rsidR="007E7398" w:rsidRPr="0010507F">
        <w:rPr>
          <w:rFonts w:ascii="Open Sans" w:hAnsi="Open Sans"/>
          <w:sz w:val="24"/>
        </w:rPr>
        <w:t>AgR</w:t>
      </w:r>
      <w:proofErr w:type="gramEnd"/>
      <w:r w:rsidR="007E7398" w:rsidRPr="0010507F">
        <w:rPr>
          <w:rFonts w:ascii="Open Sans" w:hAnsi="Open Sans"/>
          <w:sz w:val="24"/>
        </w:rPr>
        <w:t xml:space="preserve">-ED-E-ED-RR-1495-48.2012.5.03.0035, Subseção I Especializada em Dissídios Individuais, Relator Ministro Alexandre Luiz Ramos, DEJT 03/04/2020). 12. No caso dos autos, constam no acórdão regional as seguintes premissas fáticas sobre as condições gerais de </w:t>
      </w:r>
      <w:proofErr w:type="gramStart"/>
      <w:r w:rsidR="007E7398" w:rsidRPr="0010507F">
        <w:rPr>
          <w:rFonts w:ascii="Open Sans" w:hAnsi="Open Sans"/>
          <w:sz w:val="24"/>
        </w:rPr>
        <w:t>trabalhos</w:t>
      </w:r>
      <w:proofErr w:type="gramEnd"/>
      <w:r w:rsidR="007E7398" w:rsidRPr="0010507F">
        <w:rPr>
          <w:rFonts w:ascii="Open Sans" w:hAnsi="Open Sans"/>
          <w:sz w:val="24"/>
        </w:rPr>
        <w:t>: (i) o reclamante e outros 23 trabalhadores (não demandantes da presente ação individua) eram transportados em caminhão sem proteção, sujeitos a graves riscos; (</w:t>
      </w:r>
      <w:proofErr w:type="spellStart"/>
      <w:r w:rsidR="007E7398" w:rsidRPr="0010507F">
        <w:rPr>
          <w:rFonts w:ascii="Open Sans" w:hAnsi="Open Sans"/>
          <w:sz w:val="24"/>
        </w:rPr>
        <w:t>ii</w:t>
      </w:r>
      <w:proofErr w:type="spellEnd"/>
      <w:r w:rsidR="007E7398" w:rsidRPr="0010507F">
        <w:rPr>
          <w:rFonts w:ascii="Open Sans" w:hAnsi="Open Sans"/>
          <w:sz w:val="24"/>
        </w:rPr>
        <w:t>) os trabalhadores faziam suas refeições sentados em uma lona, sem que houvesse mesa ou cadeiras; (</w:t>
      </w:r>
      <w:proofErr w:type="spellStart"/>
      <w:r w:rsidR="007E7398" w:rsidRPr="0010507F">
        <w:rPr>
          <w:rFonts w:ascii="Open Sans" w:hAnsi="Open Sans"/>
          <w:sz w:val="24"/>
        </w:rPr>
        <w:t>iv</w:t>
      </w:r>
      <w:proofErr w:type="spellEnd"/>
      <w:r w:rsidR="007E7398" w:rsidRPr="0010507F">
        <w:rPr>
          <w:rFonts w:ascii="Open Sans" w:hAnsi="Open Sans"/>
          <w:sz w:val="24"/>
        </w:rPr>
        <w:t>) algumas camas dos empregados ficavam em espaço aberto, algumas dentro de uma casa (cômodo fechado com pouco espaço para disposição de 23 camas) e outras camas do lado de fora da casa, em alpendre (ID. ddeb728) e (v) o trabalhador foi arregimentado para o trabalho em condições degradantes. Especificamente em relação ao alojamento, há registros no acórdão que revelam a ausência de: (i) divisão dos banheiros; (</w:t>
      </w:r>
      <w:proofErr w:type="spellStart"/>
      <w:proofErr w:type="gramStart"/>
      <w:r w:rsidR="007E7398" w:rsidRPr="0010507F">
        <w:rPr>
          <w:rFonts w:ascii="Open Sans" w:hAnsi="Open Sans"/>
          <w:sz w:val="24"/>
        </w:rPr>
        <w:t>ii</w:t>
      </w:r>
      <w:proofErr w:type="spellEnd"/>
      <w:proofErr w:type="gramEnd"/>
      <w:r w:rsidR="007E7398" w:rsidRPr="0010507F">
        <w:rPr>
          <w:rFonts w:ascii="Open Sans" w:hAnsi="Open Sans"/>
          <w:sz w:val="24"/>
        </w:rPr>
        <w:t>) armários e de espaço para movimentação dos empregados no quarto; (</w:t>
      </w:r>
      <w:proofErr w:type="spellStart"/>
      <w:r w:rsidR="007E7398" w:rsidRPr="0010507F">
        <w:rPr>
          <w:rFonts w:ascii="Open Sans" w:hAnsi="Open Sans"/>
          <w:sz w:val="24"/>
        </w:rPr>
        <w:t>iv</w:t>
      </w:r>
      <w:proofErr w:type="spellEnd"/>
      <w:r w:rsidR="007E7398" w:rsidRPr="0010507F">
        <w:rPr>
          <w:rFonts w:ascii="Open Sans" w:hAnsi="Open Sans"/>
          <w:sz w:val="24"/>
        </w:rPr>
        <w:t>) conforto térmico, mormente ante a inexistência de janelas e, em média, um ventilador por quarto</w:t>
      </w:r>
      <w:r w:rsidR="008B2BC3">
        <w:rPr>
          <w:rFonts w:ascii="Open Sans" w:hAnsi="Open Sans"/>
          <w:sz w:val="24"/>
        </w:rPr>
        <w:t>’</w:t>
      </w:r>
      <w:r w:rsidR="007E7398" w:rsidRPr="0010507F">
        <w:rPr>
          <w:rFonts w:ascii="Open Sans" w:hAnsi="Open Sans"/>
          <w:sz w:val="24"/>
        </w:rPr>
        <w:t xml:space="preserve">. Assim, as condições degradantes de trabalho às quais a parte reclamante estava submetida são inequívocas. Ademais, revelam a conduta omissa patronal de preservação do direito à não escravização, à vida com dignidade e ao trabalho decente. Esta conduta vai de encontro a todas as normas nacionais e internações de proteção ao direito ao trabalho livre de condições degradantes, mormente aquelas previstas na Declaração Universal de Direito Humanos de 1948, Convenção Americana Sobre Direito Humanos, Convenção nº 29 de 1930, Convenção nº 105 de 1957, e Protocolo de </w:t>
      </w:r>
      <w:proofErr w:type="gramStart"/>
      <w:r w:rsidR="007E7398" w:rsidRPr="0010507F">
        <w:rPr>
          <w:rFonts w:ascii="Open Sans" w:hAnsi="Open Sans"/>
          <w:sz w:val="24"/>
        </w:rPr>
        <w:t>2014 relativo</w:t>
      </w:r>
      <w:proofErr w:type="gramEnd"/>
      <w:r w:rsidR="007E7398" w:rsidRPr="0010507F">
        <w:rPr>
          <w:rFonts w:ascii="Open Sans" w:hAnsi="Open Sans"/>
          <w:sz w:val="24"/>
        </w:rPr>
        <w:t xml:space="preserve"> à Convenção sobre Trabalho Forçado e Recomendação nº 203 sobre o Trabalho Forçado, e artigos 1º, inciso III, 170, </w:t>
      </w:r>
      <w:r w:rsidR="009A0B8A" w:rsidRPr="009A0B8A">
        <w:rPr>
          <w:rFonts w:ascii="Open Sans" w:hAnsi="Open Sans"/>
          <w:i/>
          <w:sz w:val="24"/>
        </w:rPr>
        <w:t>caput</w:t>
      </w:r>
      <w:r w:rsidR="007E7398" w:rsidRPr="0010507F">
        <w:rPr>
          <w:rFonts w:ascii="Open Sans" w:hAnsi="Open Sans"/>
          <w:sz w:val="24"/>
        </w:rPr>
        <w:t xml:space="preserve">, e 225 da Constituição Federal. 13. Nada obstante, embora seja impossível reparar os danos extrapatrimoniais sofridos pelo trabalhador, o valor de R$ 5.000,00 (cinco mil reais) arbitrado pela Corte Regional é quantia que não possibilita ressarcir-lhe na real extensão do dano sofrido, ainda que o contrato de trabalho tenha sido pactuado entre 15.7.2023 a 23.9.23 (fato incontroverso constante na sentença – fl. 278). Trata-se, portanto, de indenização irrisória, o que autoriza a excepcional revisão por esta Corte, conforme orientado pela </w:t>
      </w:r>
      <w:proofErr w:type="spellStart"/>
      <w:r w:rsidR="007E7398" w:rsidRPr="0010507F">
        <w:rPr>
          <w:rFonts w:ascii="Open Sans" w:hAnsi="Open Sans"/>
          <w:sz w:val="24"/>
        </w:rPr>
        <w:t>Eg</w:t>
      </w:r>
      <w:proofErr w:type="spellEnd"/>
      <w:r w:rsidR="007E7398" w:rsidRPr="0010507F">
        <w:rPr>
          <w:rFonts w:ascii="Open Sans" w:hAnsi="Open Sans"/>
          <w:sz w:val="24"/>
        </w:rPr>
        <w:t>. SBDI-1 desta Corte (AgRED-E-ED-RR-1495-48.2012.5.03.0035, Subseção I Especializada em Dissídios Individuais, Relator Ministro Alexandre Luiz Ramos, DEJT 03/04/2020). Com efeito, este Tribunal Superior do Trabalho em casos atinentes a trabalho em condições degradantes tem fixado montante consideravelmente superior àquele estabelecido pela Corte Regional no caso dos autos (entre R$ 100.000,00 e R$ 200.000,00). Assim, em estrita atenção ao grau de culpa e à capacidade econômica da empresa, à extensão e gravidade do dano, a vedação ao enriquecimento ilícito da parte indenizada é à função pedagógica da medida (</w:t>
      </w:r>
      <w:r w:rsidR="008B2BC3">
        <w:rPr>
          <w:rFonts w:ascii="Open Sans" w:hAnsi="Open Sans"/>
          <w:sz w:val="24"/>
        </w:rPr>
        <w:t>‘</w:t>
      </w:r>
      <w:proofErr w:type="spellStart"/>
      <w:r w:rsidR="007E7398" w:rsidRPr="0010507F">
        <w:rPr>
          <w:rFonts w:ascii="Open Sans" w:hAnsi="Open Sans"/>
          <w:sz w:val="24"/>
        </w:rPr>
        <w:t>nudges</w:t>
      </w:r>
      <w:proofErr w:type="spellEnd"/>
      <w:r w:rsidR="008B2BC3">
        <w:rPr>
          <w:rFonts w:ascii="Open Sans" w:hAnsi="Open Sans"/>
          <w:sz w:val="24"/>
        </w:rPr>
        <w:t>’</w:t>
      </w:r>
      <w:r w:rsidR="007E7398" w:rsidRPr="0010507F">
        <w:rPr>
          <w:rFonts w:ascii="Open Sans" w:hAnsi="Open Sans"/>
          <w:sz w:val="24"/>
        </w:rPr>
        <w:t xml:space="preserve">), bem como a jurisprudência desta Corte, e, enfim, o período do vínculo empregatício (15.7.2023 a 23.9.2023) é o caso de reformar o acórdão regional para majorar a indenização por danos morais para R$ 50.000,00 </w:t>
      </w:r>
      <w:r w:rsidR="007E7398" w:rsidRPr="0010507F">
        <w:rPr>
          <w:rFonts w:ascii="Open Sans" w:hAnsi="Open Sans"/>
          <w:sz w:val="24"/>
        </w:rPr>
        <w:lastRenderedPageBreak/>
        <w:t xml:space="preserve">(cinquenta mil reais). </w:t>
      </w:r>
      <w:proofErr w:type="gramStart"/>
      <w:r w:rsidR="007E7398" w:rsidRPr="0010507F">
        <w:rPr>
          <w:rFonts w:ascii="Open Sans" w:hAnsi="Open Sans"/>
          <w:sz w:val="24"/>
        </w:rPr>
        <w:t>Recurso de revista de que se conhece e a que se dá parcial provimento.</w:t>
      </w:r>
      <w:r w:rsidR="002D5C50">
        <w:rPr>
          <w:rFonts w:ascii="Open Sans" w:hAnsi="Open Sans"/>
          <w:sz w:val="24"/>
        </w:rPr>
        <w:t>”</w:t>
      </w:r>
      <w:proofErr w:type="gramEnd"/>
      <w:r w:rsidR="004255DC" w:rsidRPr="0010507F">
        <w:rPr>
          <w:rFonts w:ascii="Open Sans" w:hAnsi="Open Sans"/>
          <w:sz w:val="24"/>
        </w:rPr>
        <w:t xml:space="preserve"> (</w:t>
      </w:r>
      <w:hyperlink r:id="rId15" w:anchor="97e1b35" w:history="1">
        <w:r w:rsidR="00B22C2D" w:rsidRPr="0010507F">
          <w:rPr>
            <w:rStyle w:val="Hyperlink"/>
            <w:rFonts w:ascii="Open Sans" w:hAnsi="Open Sans"/>
            <w:sz w:val="24"/>
          </w:rPr>
          <w:t xml:space="preserve">TST-AIRR-0000787-87.2023.5.23.0121, 3ª Turma, rel. Min. </w:t>
        </w:r>
        <w:r w:rsidR="002024D3" w:rsidRPr="0010507F">
          <w:rPr>
            <w:rStyle w:val="Hyperlink"/>
            <w:rFonts w:ascii="Open Sans" w:hAnsi="Open Sans"/>
            <w:sz w:val="24"/>
          </w:rPr>
          <w:t>Alberto Bastos Balazeiro, julgado em 10/9/2025</w:t>
        </w:r>
      </w:hyperlink>
      <w:r w:rsidR="002024D3" w:rsidRPr="0010507F">
        <w:rPr>
          <w:rFonts w:ascii="Open Sans" w:hAnsi="Open Sans"/>
          <w:sz w:val="24"/>
        </w:rPr>
        <w:t>)</w:t>
      </w:r>
      <w:r w:rsidR="007E7398" w:rsidRPr="0010507F">
        <w:rPr>
          <w:rFonts w:ascii="Open Sans" w:hAnsi="Open Sans"/>
          <w:sz w:val="24"/>
        </w:rPr>
        <w:t xml:space="preserve"> </w:t>
      </w:r>
    </w:p>
    <w:p w:rsidR="006C1995" w:rsidRPr="0010507F" w:rsidRDefault="006C1995" w:rsidP="00F76068">
      <w:pPr>
        <w:widowControl w:val="0"/>
        <w:suppressAutoHyphens/>
        <w:ind w:left="-255" w:right="340"/>
        <w:jc w:val="both"/>
        <w:rPr>
          <w:rFonts w:ascii="Open Sans" w:hAnsi="Open Sans"/>
          <w:sz w:val="24"/>
        </w:rPr>
      </w:pPr>
    </w:p>
    <w:p w:rsidR="00E5496D" w:rsidRPr="0010507F" w:rsidRDefault="008341E5" w:rsidP="00F76068">
      <w:pPr>
        <w:widowControl w:val="0"/>
        <w:suppressAutoHyphens/>
        <w:ind w:left="-255" w:right="340"/>
        <w:jc w:val="both"/>
        <w:rPr>
          <w:rFonts w:ascii="Open Sans" w:hAnsi="Open Sans"/>
          <w:sz w:val="24"/>
        </w:rPr>
      </w:pPr>
      <w:r>
        <w:rPr>
          <w:rFonts w:ascii="Open Sans" w:hAnsi="Open Sans"/>
          <w:sz w:val="24"/>
        </w:rPr>
        <w:t>“</w:t>
      </w:r>
      <w:r w:rsidR="00403319" w:rsidRPr="0010507F">
        <w:rPr>
          <w:rFonts w:ascii="Open Sans" w:hAnsi="Open Sans"/>
          <w:sz w:val="24"/>
        </w:rPr>
        <w:t xml:space="preserve">[...] </w:t>
      </w:r>
      <w:r w:rsidR="00E5496D" w:rsidRPr="0010507F">
        <w:rPr>
          <w:rFonts w:ascii="Open Sans" w:hAnsi="Open Sans"/>
          <w:sz w:val="24"/>
        </w:rPr>
        <w:t>RECURSO DE REVISTA DOS RECLAMANTES</w:t>
      </w:r>
      <w:r w:rsidR="00D4499E" w:rsidRPr="0010507F">
        <w:rPr>
          <w:rFonts w:ascii="Open Sans" w:hAnsi="Open Sans"/>
          <w:sz w:val="24"/>
        </w:rPr>
        <w:t>.</w:t>
      </w:r>
      <w:r w:rsidR="00E5496D" w:rsidRPr="0010507F">
        <w:rPr>
          <w:rFonts w:ascii="Open Sans" w:hAnsi="Open Sans"/>
          <w:sz w:val="24"/>
        </w:rPr>
        <w:t xml:space="preserve"> INDENIZAÇÃO POR DANOS MORAIS E MATERIAIS. RESPONSABILIDADE INDENIZATÓRIA OBJETIVA DO EMPREGADOR. EMPREGADO MOTORISTA CARRETEIRO QUE CONTRAIU COVID-19 DURANTE A PANDEMIA. FALECIMENTO. EXPOSIÇÃO HABITUAL AO RISCO DE CONTÁGIO DURANTE ESTADO DE CALAMIDADE PÚBLICA. INDENIZAÇÃO DEVIDA. MEDIDA PROVISÓRIA Nº 927/2020. DECLARAÇÃO DE INCONSTITUCIONALIDADE DOS ARTIGOS 29 E 31 PELO SUPREMO TRIBUNAL FEDERAL NA AÇÃO DIRETA DE INCONSTITUCIONALIDADE (ADI Nº 6.342/DF). REPARAÇÃO INDENIZATÓRIA POR DANOS </w:t>
      </w:r>
      <w:proofErr w:type="gramStart"/>
      <w:r w:rsidR="00E5496D" w:rsidRPr="0010507F">
        <w:rPr>
          <w:rFonts w:ascii="Open Sans" w:hAnsi="Open Sans"/>
          <w:sz w:val="24"/>
        </w:rPr>
        <w:t>MORAIS ORA FIXADA</w:t>
      </w:r>
      <w:proofErr w:type="gramEnd"/>
      <w:r w:rsidR="00E5496D" w:rsidRPr="0010507F">
        <w:rPr>
          <w:rFonts w:ascii="Open Sans" w:hAnsi="Open Sans"/>
          <w:sz w:val="24"/>
        </w:rPr>
        <w:t xml:space="preserve"> EM R$ 100.000,00 (CEM MIL REAIS) PARA CADA POSTULANTE (VIÚVA E FILHO). REPARAÇÃO INDENIZATÓRIA POR DANOS MATERIAIS CORRESPONDENTE A 2/3 DA ÚLTIMA REMUNERAÇÃO DO </w:t>
      </w:r>
      <w:r w:rsidR="00E5496D" w:rsidRPr="00264E79">
        <w:rPr>
          <w:rFonts w:ascii="Open Sans" w:hAnsi="Open Sans"/>
          <w:i/>
          <w:sz w:val="24"/>
        </w:rPr>
        <w:t>DE CUJUS</w:t>
      </w:r>
      <w:r w:rsidR="00E5496D" w:rsidRPr="0010507F">
        <w:rPr>
          <w:rFonts w:ascii="Open Sans" w:hAnsi="Open Sans"/>
          <w:sz w:val="24"/>
        </w:rPr>
        <w:t xml:space="preserve">. Trata-se de pedido de indenização por danos morais e materiais formulado pelos herdeiros do trabalhador falecido (viúva e filho do </w:t>
      </w:r>
      <w:r w:rsidR="00E5496D" w:rsidRPr="003601A1">
        <w:rPr>
          <w:rFonts w:ascii="Open Sans" w:hAnsi="Open Sans"/>
          <w:i/>
          <w:sz w:val="24"/>
        </w:rPr>
        <w:t>de cujus</w:t>
      </w:r>
      <w:r w:rsidR="00E5496D" w:rsidRPr="0010507F">
        <w:rPr>
          <w:rFonts w:ascii="Open Sans" w:hAnsi="Open Sans"/>
          <w:sz w:val="24"/>
        </w:rPr>
        <w:t xml:space="preserve">), fundado na alegação de doença adquirida em razão do trabalho e que resultou no falecimento do </w:t>
      </w:r>
      <w:proofErr w:type="spellStart"/>
      <w:r w:rsidR="00E5496D" w:rsidRPr="0010507F">
        <w:rPr>
          <w:rFonts w:ascii="Open Sans" w:hAnsi="Open Sans"/>
          <w:sz w:val="24"/>
        </w:rPr>
        <w:t>ex-empregado</w:t>
      </w:r>
      <w:proofErr w:type="spellEnd"/>
      <w:r w:rsidR="00E5496D" w:rsidRPr="0010507F">
        <w:rPr>
          <w:rFonts w:ascii="Open Sans" w:hAnsi="Open Sans"/>
          <w:sz w:val="24"/>
        </w:rPr>
        <w:t xml:space="preserve">. A responsabilidade indenizatória do empregador em face de doença desenvolvida pelo empregado demanda a comprovação do trabalho, o nexo de causalidade com a atividade laboral, além da conduta ilícita patronal. Nos termos do acórdão regional, o </w:t>
      </w:r>
      <w:r w:rsidR="00E5496D" w:rsidRPr="00AE13FC">
        <w:rPr>
          <w:rFonts w:ascii="Open Sans" w:hAnsi="Open Sans"/>
          <w:i/>
          <w:sz w:val="24"/>
        </w:rPr>
        <w:t>de cujos</w:t>
      </w:r>
      <w:r w:rsidR="00E5496D" w:rsidRPr="0010507F">
        <w:rPr>
          <w:rFonts w:ascii="Open Sans" w:hAnsi="Open Sans"/>
          <w:sz w:val="24"/>
        </w:rPr>
        <w:t xml:space="preserve">, no exercício da função de motorista carreteiro, que atuava especificamente na função de carreamento de bovinos, foi acometido de Covid-19, que resultou no seu óbito. O Tribunal </w:t>
      </w:r>
      <w:r w:rsidR="00E5496D" w:rsidRPr="003601A1">
        <w:rPr>
          <w:rFonts w:ascii="Open Sans" w:hAnsi="Open Sans"/>
          <w:i/>
          <w:sz w:val="24"/>
        </w:rPr>
        <w:t>a quo</w:t>
      </w:r>
      <w:r w:rsidR="00E5496D" w:rsidRPr="0010507F">
        <w:rPr>
          <w:rFonts w:ascii="Open Sans" w:hAnsi="Open Sans"/>
          <w:sz w:val="24"/>
        </w:rPr>
        <w:t xml:space="preserve"> rejeitou a pretensão indenizatória, ao fundamento de que a atividade laboral exercida pelo </w:t>
      </w:r>
      <w:r w:rsidR="00E5496D" w:rsidRPr="00AE13FC">
        <w:rPr>
          <w:rFonts w:ascii="Open Sans" w:hAnsi="Open Sans"/>
          <w:i/>
          <w:sz w:val="24"/>
        </w:rPr>
        <w:t xml:space="preserve">de </w:t>
      </w:r>
      <w:proofErr w:type="spellStart"/>
      <w:r w:rsidR="00E5496D" w:rsidRPr="00AE13FC">
        <w:rPr>
          <w:rFonts w:ascii="Open Sans" w:hAnsi="Open Sans"/>
          <w:i/>
          <w:sz w:val="24"/>
        </w:rPr>
        <w:t>cuju</w:t>
      </w:r>
      <w:proofErr w:type="spellEnd"/>
      <w:r w:rsidR="008B2BC3" w:rsidRPr="00AE13FC">
        <w:rPr>
          <w:rFonts w:ascii="Open Sans" w:hAnsi="Open Sans"/>
          <w:i/>
          <w:sz w:val="24"/>
        </w:rPr>
        <w:t>’</w:t>
      </w:r>
      <w:r w:rsidR="00E5496D" w:rsidRPr="0010507F">
        <w:rPr>
          <w:rFonts w:ascii="Open Sans" w:hAnsi="Open Sans"/>
          <w:sz w:val="24"/>
        </w:rPr>
        <w:t xml:space="preserve"> não se qualifica como atividade de risco, tampouco a contaminação pelo </w:t>
      </w:r>
      <w:proofErr w:type="spellStart"/>
      <w:r w:rsidR="00E5496D" w:rsidRPr="0010507F">
        <w:rPr>
          <w:rFonts w:ascii="Open Sans" w:hAnsi="Open Sans"/>
          <w:sz w:val="24"/>
        </w:rPr>
        <w:t>coronavírus</w:t>
      </w:r>
      <w:proofErr w:type="spellEnd"/>
      <w:r w:rsidR="00E5496D" w:rsidRPr="0010507F">
        <w:rPr>
          <w:rFonts w:ascii="Open Sans" w:hAnsi="Open Sans"/>
          <w:sz w:val="24"/>
        </w:rPr>
        <w:t xml:space="preserve"> se enquadraria como doença ocupacional, além de destacar que a reclamada tomou todas as providências e orientações cabíveis para a prevenção da Covid-19. Ressalta-se que, diante da instalação do estado de pandemia da Covid-19, foi editada a Medida Provisória nº 927/2020, que, no seu artigo 29, excluiu a contaminação pelo </w:t>
      </w:r>
      <w:proofErr w:type="spellStart"/>
      <w:r w:rsidR="00E5496D" w:rsidRPr="0010507F">
        <w:rPr>
          <w:rFonts w:ascii="Open Sans" w:hAnsi="Open Sans"/>
          <w:sz w:val="24"/>
        </w:rPr>
        <w:t>coronavírus</w:t>
      </w:r>
      <w:proofErr w:type="spellEnd"/>
      <w:r w:rsidR="00E5496D" w:rsidRPr="0010507F">
        <w:rPr>
          <w:rFonts w:ascii="Open Sans" w:hAnsi="Open Sans"/>
          <w:sz w:val="24"/>
        </w:rPr>
        <w:t xml:space="preserve"> da lista de doenças ocupacionais, destacando-se o ônus do empregado quanto à comprovação de eventual nexo de causalidade com a atividade laboral. Todavia, o STF, no exame da Ação Direta de Inconstitucionalidade (ADI nº 6.342/DF), declarou a inconstitucionalidade dos artigos 29 e 31 da referida norma, sob o fundamento de haver desrespeito à teoria da responsabilidade indenizatória objetiva do empregador já fixada em outros precedentes, como no julgamento do RE nº 828.840, publicado no </w:t>
      </w:r>
      <w:proofErr w:type="spellStart"/>
      <w:proofErr w:type="gramStart"/>
      <w:r w:rsidR="00E5496D" w:rsidRPr="0010507F">
        <w:rPr>
          <w:rFonts w:ascii="Open Sans" w:hAnsi="Open Sans"/>
          <w:sz w:val="24"/>
        </w:rPr>
        <w:t>DJe</w:t>
      </w:r>
      <w:proofErr w:type="spellEnd"/>
      <w:proofErr w:type="gramEnd"/>
      <w:r w:rsidR="00E5496D" w:rsidRPr="0010507F">
        <w:rPr>
          <w:rFonts w:ascii="Open Sans" w:hAnsi="Open Sans"/>
          <w:sz w:val="24"/>
        </w:rPr>
        <w:t xml:space="preserve"> de 19/3 /2020. A Suprema Corte fixou a tese de que, nos casos em que a atividade laboral desenvolvida apresentar exposição habitual a risco especial, com potencialidade lesiva ao trabalhador, a responsabilidade indenizatória do empregador é objetiva. Entendeu-se que não é possível transferir o ônus probatório ao trabalhador, </w:t>
      </w:r>
      <w:proofErr w:type="gramStart"/>
      <w:r w:rsidR="00E5496D" w:rsidRPr="0010507F">
        <w:rPr>
          <w:rFonts w:ascii="Open Sans" w:hAnsi="Open Sans"/>
          <w:sz w:val="24"/>
        </w:rPr>
        <w:t>sob pena</w:t>
      </w:r>
      <w:proofErr w:type="gramEnd"/>
      <w:r w:rsidR="00E5496D" w:rsidRPr="0010507F">
        <w:rPr>
          <w:rFonts w:ascii="Open Sans" w:hAnsi="Open Sans"/>
          <w:sz w:val="24"/>
        </w:rPr>
        <w:t xml:space="preserve"> de desrespeito aos princípios constitucionais que asseguram a proteção contra acidentes de trabalho, à luz do disposto no artigo 7º, inciso XXVIII, da Constituição Federal. A Organização Internacional do Trabalho constatou, em relatório de 2023, o que a experiência empírica já vem atestando desde o início dos trágicos eventos de saúde pública iniciados, de forma geral, no início de 2020: que o mundo do </w:t>
      </w:r>
      <w:r w:rsidR="00E5496D" w:rsidRPr="0010507F">
        <w:rPr>
          <w:rFonts w:ascii="Open Sans" w:hAnsi="Open Sans"/>
          <w:sz w:val="24"/>
        </w:rPr>
        <w:lastRenderedPageBreak/>
        <w:t xml:space="preserve">trabalho foi profundamente afetado pela pandemia global </w:t>
      </w:r>
      <w:proofErr w:type="gramStart"/>
      <w:r w:rsidR="00E5496D" w:rsidRPr="0010507F">
        <w:rPr>
          <w:rFonts w:ascii="Open Sans" w:hAnsi="Open Sans"/>
          <w:sz w:val="24"/>
        </w:rPr>
        <w:t>do Corona</w:t>
      </w:r>
      <w:proofErr w:type="gramEnd"/>
      <w:r w:rsidR="00E5496D" w:rsidRPr="0010507F">
        <w:rPr>
          <w:rFonts w:ascii="Open Sans" w:hAnsi="Open Sans"/>
          <w:sz w:val="24"/>
        </w:rPr>
        <w:t xml:space="preserve"> vírus. Além da ameaça à saúde pública, a pandemia acarretou impactos econômicos e sociais que afetaram os meios de subsistência, a vida e o bem-estar de milhões de pessoas no longo prazo. Além disso, o relatório da OIT </w:t>
      </w:r>
      <w:r w:rsidR="008B2BC3" w:rsidRPr="008341E5">
        <w:rPr>
          <w:rFonts w:ascii="Open Sans" w:hAnsi="Open Sans"/>
          <w:i/>
          <w:sz w:val="24"/>
        </w:rPr>
        <w:t>‘</w:t>
      </w:r>
      <w:r w:rsidR="00E5496D" w:rsidRPr="008341E5">
        <w:rPr>
          <w:rFonts w:ascii="Open Sans" w:hAnsi="Open Sans"/>
          <w:i/>
          <w:sz w:val="24"/>
        </w:rPr>
        <w:t xml:space="preserve">World </w:t>
      </w:r>
      <w:proofErr w:type="spellStart"/>
      <w:r w:rsidR="00E5496D" w:rsidRPr="008341E5">
        <w:rPr>
          <w:rFonts w:ascii="Open Sans" w:hAnsi="Open Sans"/>
          <w:i/>
          <w:sz w:val="24"/>
        </w:rPr>
        <w:t>Employment</w:t>
      </w:r>
      <w:proofErr w:type="spellEnd"/>
      <w:r w:rsidR="00E5496D" w:rsidRPr="008341E5">
        <w:rPr>
          <w:rFonts w:ascii="Open Sans" w:hAnsi="Open Sans"/>
          <w:i/>
          <w:sz w:val="24"/>
        </w:rPr>
        <w:t xml:space="preserve"> </w:t>
      </w:r>
      <w:proofErr w:type="spellStart"/>
      <w:r w:rsidR="00E5496D" w:rsidRPr="008341E5">
        <w:rPr>
          <w:rFonts w:ascii="Open Sans" w:hAnsi="Open Sans"/>
          <w:i/>
          <w:sz w:val="24"/>
        </w:rPr>
        <w:t>and</w:t>
      </w:r>
      <w:proofErr w:type="spellEnd"/>
      <w:r w:rsidR="00E5496D" w:rsidRPr="008341E5">
        <w:rPr>
          <w:rFonts w:ascii="Open Sans" w:hAnsi="Open Sans"/>
          <w:i/>
          <w:sz w:val="24"/>
        </w:rPr>
        <w:t xml:space="preserve"> Social Outlook </w:t>
      </w:r>
      <w:r w:rsidR="00E5496D" w:rsidRPr="0010507F">
        <w:rPr>
          <w:rFonts w:ascii="Open Sans" w:hAnsi="Open Sans"/>
          <w:sz w:val="24"/>
        </w:rPr>
        <w:t xml:space="preserve">2023: </w:t>
      </w:r>
      <w:r w:rsidR="00E5496D" w:rsidRPr="008341E5">
        <w:rPr>
          <w:rFonts w:ascii="Open Sans" w:hAnsi="Open Sans"/>
          <w:i/>
          <w:sz w:val="24"/>
        </w:rPr>
        <w:t xml:space="preserve">The </w:t>
      </w:r>
      <w:proofErr w:type="spellStart"/>
      <w:r w:rsidR="00E5496D" w:rsidRPr="008341E5">
        <w:rPr>
          <w:rFonts w:ascii="Open Sans" w:hAnsi="Open Sans"/>
          <w:i/>
          <w:sz w:val="24"/>
        </w:rPr>
        <w:t>Value</w:t>
      </w:r>
      <w:proofErr w:type="spellEnd"/>
      <w:r w:rsidR="00E5496D" w:rsidRPr="008341E5">
        <w:rPr>
          <w:rFonts w:ascii="Open Sans" w:hAnsi="Open Sans"/>
          <w:i/>
          <w:sz w:val="24"/>
        </w:rPr>
        <w:t xml:space="preserve"> </w:t>
      </w:r>
      <w:proofErr w:type="spellStart"/>
      <w:r w:rsidR="00E5496D" w:rsidRPr="008341E5">
        <w:rPr>
          <w:rFonts w:ascii="Open Sans" w:hAnsi="Open Sans"/>
          <w:i/>
          <w:sz w:val="24"/>
        </w:rPr>
        <w:t>of</w:t>
      </w:r>
      <w:proofErr w:type="spellEnd"/>
      <w:r w:rsidR="00E5496D" w:rsidRPr="008341E5">
        <w:rPr>
          <w:rFonts w:ascii="Open Sans" w:hAnsi="Open Sans"/>
          <w:i/>
          <w:sz w:val="24"/>
        </w:rPr>
        <w:t xml:space="preserve"> </w:t>
      </w:r>
      <w:proofErr w:type="spellStart"/>
      <w:r w:rsidR="00E5496D" w:rsidRPr="008341E5">
        <w:rPr>
          <w:rFonts w:ascii="Open Sans" w:hAnsi="Open Sans"/>
          <w:i/>
          <w:sz w:val="24"/>
        </w:rPr>
        <w:t>Essential</w:t>
      </w:r>
      <w:proofErr w:type="spellEnd"/>
      <w:r w:rsidR="00E5496D" w:rsidRPr="008341E5">
        <w:rPr>
          <w:rFonts w:ascii="Open Sans" w:hAnsi="Open Sans"/>
          <w:i/>
          <w:sz w:val="24"/>
        </w:rPr>
        <w:t xml:space="preserve"> </w:t>
      </w:r>
      <w:proofErr w:type="spellStart"/>
      <w:r w:rsidR="00E5496D" w:rsidRPr="008341E5">
        <w:rPr>
          <w:rFonts w:ascii="Open Sans" w:hAnsi="Open Sans"/>
          <w:i/>
          <w:sz w:val="24"/>
        </w:rPr>
        <w:t>Work</w:t>
      </w:r>
      <w:proofErr w:type="spellEnd"/>
      <w:r w:rsidR="008B2BC3" w:rsidRPr="008341E5">
        <w:rPr>
          <w:rFonts w:ascii="Open Sans" w:hAnsi="Open Sans"/>
          <w:i/>
          <w:sz w:val="24"/>
        </w:rPr>
        <w:t>’</w:t>
      </w:r>
      <w:r w:rsidR="00E5496D" w:rsidRPr="0010507F">
        <w:rPr>
          <w:rFonts w:ascii="Open Sans" w:hAnsi="Open Sans"/>
          <w:sz w:val="24"/>
        </w:rPr>
        <w:t xml:space="preserve"> destaca o quanto as economias e as sociedades dependem de trabalhadores e trabalhadoras essenciais e como esses e essas profissionais são subvalorizados. Considera como </w:t>
      </w:r>
      <w:proofErr w:type="gramStart"/>
      <w:r w:rsidR="00E5496D" w:rsidRPr="0010507F">
        <w:rPr>
          <w:rFonts w:ascii="Open Sans" w:hAnsi="Open Sans"/>
          <w:sz w:val="24"/>
        </w:rPr>
        <w:t>trabalhadores e trabalhadoras essenciais oito grandes</w:t>
      </w:r>
      <w:proofErr w:type="gramEnd"/>
      <w:r w:rsidR="00E5496D" w:rsidRPr="0010507F">
        <w:rPr>
          <w:rFonts w:ascii="Open Sans" w:hAnsi="Open Sans"/>
          <w:sz w:val="24"/>
        </w:rPr>
        <w:t xml:space="preserve"> setores de atividades: saúde, abastecimento e distribuição de alimentos, varejo, segurança, limpeza e saneamento, transporte, ocupações manuais, e técnicas e administrativas. Como se percebe, nessas atividades está inclusa aquela exercida </w:t>
      </w:r>
      <w:proofErr w:type="gramStart"/>
      <w:r w:rsidR="00E5496D" w:rsidRPr="0010507F">
        <w:rPr>
          <w:rFonts w:ascii="Open Sans" w:hAnsi="Open Sans"/>
          <w:sz w:val="24"/>
        </w:rPr>
        <w:t>pela empregado</w:t>
      </w:r>
      <w:proofErr w:type="gramEnd"/>
      <w:r w:rsidR="00E5496D" w:rsidRPr="0010507F">
        <w:rPr>
          <w:rFonts w:ascii="Open Sans" w:hAnsi="Open Sans"/>
          <w:sz w:val="24"/>
        </w:rPr>
        <w:t xml:space="preserve"> falecido de motorista carreteiro. O referido relatório constatou ainda que, durante a crise da COVID-19, os trabalhadores e as trabalhadoras essenciais, em geral, sofreram taxas de mortalidade mais altas do que </w:t>
      </w:r>
      <w:proofErr w:type="gramStart"/>
      <w:r w:rsidR="00E5496D" w:rsidRPr="0010507F">
        <w:rPr>
          <w:rFonts w:ascii="Open Sans" w:hAnsi="Open Sans"/>
          <w:sz w:val="24"/>
        </w:rPr>
        <w:t>os não</w:t>
      </w:r>
      <w:proofErr w:type="gramEnd"/>
      <w:r w:rsidR="00E5496D" w:rsidRPr="0010507F">
        <w:rPr>
          <w:rFonts w:ascii="Open Sans" w:hAnsi="Open Sans"/>
          <w:sz w:val="24"/>
        </w:rPr>
        <w:t xml:space="preserve"> essenciais, revelando a importância da proteção da saúde e segurança no trabalho. Ressalta-se que a Lei nº 13.979/20, </w:t>
      </w:r>
      <w:proofErr w:type="gramStart"/>
      <w:r w:rsidR="00E5496D" w:rsidRPr="0010507F">
        <w:rPr>
          <w:rFonts w:ascii="Open Sans" w:hAnsi="Open Sans"/>
          <w:sz w:val="24"/>
        </w:rPr>
        <w:t>editada</w:t>
      </w:r>
      <w:proofErr w:type="gramEnd"/>
      <w:r w:rsidR="00E5496D" w:rsidRPr="0010507F">
        <w:rPr>
          <w:rFonts w:ascii="Open Sans" w:hAnsi="Open Sans"/>
          <w:sz w:val="24"/>
        </w:rPr>
        <w:t xml:space="preserve"> no contexto da pandemia do Covid-19, definiu as medidas que deveriam ser adotadas para o enfrentamento da emergência de saúde pública. No decreto que a regulamentou, especificamente no art. 3º, definem-se as atividades consideradas essenciais para a manutenção de serviços indispensáveis ao atendimento das necessidades inadiáveis da comunidade, no seguinte sentido: </w:t>
      </w:r>
      <w:r w:rsidR="008B2BC3">
        <w:rPr>
          <w:rFonts w:ascii="Open Sans" w:hAnsi="Open Sans"/>
          <w:sz w:val="24"/>
        </w:rPr>
        <w:t>‘</w:t>
      </w:r>
      <w:r w:rsidR="00E5496D" w:rsidRPr="0010507F">
        <w:rPr>
          <w:rFonts w:ascii="Open Sans" w:hAnsi="Open Sans"/>
          <w:sz w:val="24"/>
        </w:rPr>
        <w:t xml:space="preserve">assim considerados aqueles que, se não atendidos, colocam em perigo a sobrevivência, a saúde ou a segurança da população, tais como: </w:t>
      </w:r>
      <w:r w:rsidR="008B2BC3">
        <w:rPr>
          <w:rFonts w:ascii="Open Sans" w:hAnsi="Open Sans"/>
          <w:sz w:val="24"/>
        </w:rPr>
        <w:t>‘</w:t>
      </w:r>
      <w:r w:rsidR="00E5496D" w:rsidRPr="0010507F">
        <w:rPr>
          <w:rFonts w:ascii="Open Sans" w:hAnsi="Open Sans"/>
          <w:sz w:val="24"/>
        </w:rPr>
        <w:t>inciso XXII – ‘transporte e entrega de cargas em geral’</w:t>
      </w:r>
      <w:r w:rsidR="008B2BC3">
        <w:rPr>
          <w:rFonts w:ascii="Open Sans" w:hAnsi="Open Sans"/>
          <w:sz w:val="24"/>
        </w:rPr>
        <w:t>’</w:t>
      </w:r>
      <w:r w:rsidR="00E5496D" w:rsidRPr="0010507F">
        <w:rPr>
          <w:rFonts w:ascii="Open Sans" w:hAnsi="Open Sans"/>
          <w:sz w:val="24"/>
        </w:rPr>
        <w:t xml:space="preserve">. Esse mesmo dispositivo, no § 3º, ao determinar a continuidade dos serviços, proibiu a restrição de circulação de trabalhadores que pudesse afetar o funcionamento dos serviços e atividades essenciais e de cargas de qualquer espécie, </w:t>
      </w:r>
      <w:r w:rsidR="008B2BC3">
        <w:rPr>
          <w:rFonts w:ascii="Open Sans" w:hAnsi="Open Sans"/>
          <w:sz w:val="24"/>
        </w:rPr>
        <w:t>‘</w:t>
      </w:r>
      <w:r w:rsidR="00E5496D" w:rsidRPr="0010507F">
        <w:rPr>
          <w:rFonts w:ascii="Open Sans" w:hAnsi="Open Sans"/>
          <w:sz w:val="24"/>
        </w:rPr>
        <w:t>que possam acarretar desabastecimento de gêneros necessários para a população</w:t>
      </w:r>
      <w:r w:rsidR="008B2BC3">
        <w:rPr>
          <w:rFonts w:ascii="Open Sans" w:hAnsi="Open Sans"/>
          <w:sz w:val="24"/>
        </w:rPr>
        <w:t>’</w:t>
      </w:r>
      <w:r w:rsidR="00E5496D" w:rsidRPr="0010507F">
        <w:rPr>
          <w:rFonts w:ascii="Open Sans" w:hAnsi="Open Sans"/>
          <w:sz w:val="24"/>
        </w:rPr>
        <w:t xml:space="preserve">, ou seja, o Legislador cercou-se de cautelas exatamente para evitar que houvesse, além da própria consequência grave da crise, houvesse a piora com o desabastecimento da vida em sociedade e, para tanto, classificou a atividade de transporte de cargas como sendo imprescindível. Por isso mesmo, as pessoas que estavam a laborar nesses afazeres, estavam, sim, sujeitas presumidamente a uma condição de maior probabilidade de riscos. No caso, o </w:t>
      </w:r>
      <w:proofErr w:type="spellStart"/>
      <w:proofErr w:type="gramStart"/>
      <w:r w:rsidR="00E5496D" w:rsidRPr="0010507F">
        <w:rPr>
          <w:rFonts w:ascii="Open Sans" w:hAnsi="Open Sans"/>
          <w:sz w:val="24"/>
        </w:rPr>
        <w:t>ex</w:t>
      </w:r>
      <w:proofErr w:type="spellEnd"/>
      <w:r w:rsidR="00910809" w:rsidRPr="0010507F">
        <w:rPr>
          <w:rFonts w:ascii="Open Sans" w:hAnsi="Open Sans"/>
          <w:sz w:val="24"/>
        </w:rPr>
        <w:t xml:space="preserve"> </w:t>
      </w:r>
      <w:r w:rsidR="00E5496D" w:rsidRPr="0010507F">
        <w:rPr>
          <w:rFonts w:ascii="Open Sans" w:hAnsi="Open Sans"/>
          <w:sz w:val="24"/>
        </w:rPr>
        <w:t>empregado</w:t>
      </w:r>
      <w:proofErr w:type="gramEnd"/>
      <w:r w:rsidR="00E5496D" w:rsidRPr="0010507F">
        <w:rPr>
          <w:rFonts w:ascii="Open Sans" w:hAnsi="Open Sans"/>
          <w:sz w:val="24"/>
        </w:rPr>
        <w:t xml:space="preserve"> empreendeu a viagem entre 19 e 23 de maio de 2021, tendo iniciado os sintomas da doença em 23/05 com teste positivo para a COVID-19 em 25/05/2021. De acordo com o site do Ministério da Saúde, sobre a incubação, </w:t>
      </w:r>
      <w:r w:rsidR="008B2BC3">
        <w:rPr>
          <w:rFonts w:ascii="Open Sans" w:hAnsi="Open Sans"/>
          <w:sz w:val="24"/>
        </w:rPr>
        <w:t>‘</w:t>
      </w:r>
      <w:r w:rsidR="00E5496D" w:rsidRPr="0010507F">
        <w:rPr>
          <w:rFonts w:ascii="Open Sans" w:hAnsi="Open Sans"/>
          <w:sz w:val="24"/>
        </w:rPr>
        <w:t xml:space="preserve">atualmente, após a predominância da </w:t>
      </w:r>
      <w:proofErr w:type="spellStart"/>
      <w:r w:rsidR="00E5496D" w:rsidRPr="0010507F">
        <w:rPr>
          <w:rFonts w:ascii="Open Sans" w:hAnsi="Open Sans"/>
          <w:sz w:val="24"/>
        </w:rPr>
        <w:t>viariante</w:t>
      </w:r>
      <w:proofErr w:type="spellEnd"/>
      <w:r w:rsidR="00E5496D" w:rsidRPr="0010507F">
        <w:rPr>
          <w:rFonts w:ascii="Open Sans" w:hAnsi="Open Sans"/>
          <w:sz w:val="24"/>
        </w:rPr>
        <w:t xml:space="preserve"> </w:t>
      </w:r>
      <w:proofErr w:type="spellStart"/>
      <w:r w:rsidR="00E5496D" w:rsidRPr="0010507F">
        <w:rPr>
          <w:rFonts w:ascii="Open Sans" w:hAnsi="Open Sans"/>
          <w:sz w:val="24"/>
        </w:rPr>
        <w:t>ômicron</w:t>
      </w:r>
      <w:proofErr w:type="spellEnd"/>
      <w:r w:rsidR="00E5496D" w:rsidRPr="0010507F">
        <w:rPr>
          <w:rFonts w:ascii="Open Sans" w:hAnsi="Open Sans"/>
          <w:sz w:val="24"/>
        </w:rPr>
        <w:t xml:space="preserve"> no Brasil e no mundo o tempo entre a exposição ao vírus e o início dos sintomas varia de 1 a 10 dias, com uma média de 3 a 4 dias</w:t>
      </w:r>
      <w:r w:rsidR="008B2BC3">
        <w:rPr>
          <w:rFonts w:ascii="Open Sans" w:hAnsi="Open Sans"/>
          <w:sz w:val="24"/>
        </w:rPr>
        <w:t>’</w:t>
      </w:r>
      <w:r w:rsidR="00E5496D" w:rsidRPr="0010507F">
        <w:rPr>
          <w:rFonts w:ascii="Open Sans" w:hAnsi="Open Sans"/>
          <w:sz w:val="24"/>
        </w:rPr>
        <w:t xml:space="preserve"> e, no caso, os sintomas apareceram no quarto dia. Desse modo, verificado que o de cujus trafegava em vias públicas e em contato com diversas pessoas, evidente o risco acentuado de contaminação pelo </w:t>
      </w:r>
      <w:proofErr w:type="spellStart"/>
      <w:r w:rsidR="00E5496D" w:rsidRPr="0010507F">
        <w:rPr>
          <w:rFonts w:ascii="Open Sans" w:hAnsi="Open Sans"/>
          <w:sz w:val="24"/>
        </w:rPr>
        <w:t>coronavírus</w:t>
      </w:r>
      <w:proofErr w:type="spellEnd"/>
      <w:r w:rsidR="00E5496D" w:rsidRPr="0010507F">
        <w:rPr>
          <w:rFonts w:ascii="Open Sans" w:hAnsi="Open Sans"/>
          <w:sz w:val="24"/>
        </w:rPr>
        <w:t xml:space="preserve">, tendo resultado em morte logo após uma viagem realizada em benefício da empresa reclamada, tem-se por caracterizado o nexo causal com a atividade laboral, nos termos do parágrafo único do artigo 927 do Código Civil. Tendo em vista o dano grave experimentado pelos herdeiros do empregado falecido, e, em respeito aos princípios da proporcionalidade e razoabilidade da medida punitiva indenizatória, fixa-se a reparação por danos morais em R$ 100.000,00 (cem mil reais) para cada um dos </w:t>
      </w:r>
      <w:r w:rsidR="00E5496D" w:rsidRPr="0010507F">
        <w:rPr>
          <w:rFonts w:ascii="Open Sans" w:hAnsi="Open Sans"/>
          <w:sz w:val="24"/>
        </w:rPr>
        <w:lastRenderedPageBreak/>
        <w:t xml:space="preserve">postulantes afetados, e, a título de danos materiais, o pagamento do valor equivalente a 2/3 da última remuneração do empregado. </w:t>
      </w:r>
      <w:proofErr w:type="gramStart"/>
      <w:r w:rsidR="00E5496D" w:rsidRPr="0010507F">
        <w:rPr>
          <w:rFonts w:ascii="Open Sans" w:hAnsi="Open Sans"/>
          <w:sz w:val="24"/>
        </w:rPr>
        <w:t>Recurso de revista conhecido e provido.</w:t>
      </w:r>
      <w:r>
        <w:rPr>
          <w:rFonts w:ascii="Open Sans" w:hAnsi="Open Sans"/>
          <w:sz w:val="24"/>
        </w:rPr>
        <w:t>”</w:t>
      </w:r>
      <w:proofErr w:type="gramEnd"/>
      <w:r w:rsidR="00D4499E" w:rsidRPr="0010507F">
        <w:rPr>
          <w:rFonts w:ascii="Open Sans" w:hAnsi="Open Sans"/>
          <w:sz w:val="24"/>
        </w:rPr>
        <w:t xml:space="preserve"> (</w:t>
      </w:r>
      <w:hyperlink r:id="rId16" w:anchor="25ff1f2" w:history="1">
        <w:r w:rsidR="00D4499E" w:rsidRPr="0010507F">
          <w:rPr>
            <w:rStyle w:val="Hyperlink"/>
            <w:rFonts w:ascii="Open Sans" w:hAnsi="Open Sans"/>
            <w:sz w:val="24"/>
          </w:rPr>
          <w:t xml:space="preserve">TST-AIRR-0011285-87.2022.5.15.0062, 3ª Turma, rel. Min. </w:t>
        </w:r>
        <w:r w:rsidR="00801375" w:rsidRPr="0010507F">
          <w:rPr>
            <w:rStyle w:val="Hyperlink"/>
            <w:rFonts w:ascii="Open Sans" w:hAnsi="Open Sans"/>
            <w:sz w:val="24"/>
          </w:rPr>
          <w:t xml:space="preserve">José Roberto Freire Pimenta, julgado em </w:t>
        </w:r>
        <w:r w:rsidR="00237254" w:rsidRPr="0010507F">
          <w:rPr>
            <w:rStyle w:val="Hyperlink"/>
            <w:rFonts w:ascii="Open Sans" w:hAnsi="Open Sans"/>
            <w:sz w:val="24"/>
          </w:rPr>
          <w:t>17/9/2025</w:t>
        </w:r>
      </w:hyperlink>
      <w:r w:rsidR="00237254" w:rsidRPr="0010507F">
        <w:rPr>
          <w:rFonts w:ascii="Open Sans" w:hAnsi="Open Sans"/>
          <w:sz w:val="24"/>
        </w:rPr>
        <w:t>)</w:t>
      </w:r>
    </w:p>
    <w:p w:rsidR="00A0667C" w:rsidRPr="0010507F" w:rsidRDefault="00A0667C" w:rsidP="00F76068">
      <w:pPr>
        <w:widowControl w:val="0"/>
        <w:suppressAutoHyphens/>
        <w:ind w:left="-255" w:right="340"/>
        <w:jc w:val="both"/>
        <w:rPr>
          <w:rFonts w:ascii="Open Sans" w:hAnsi="Open Sans"/>
          <w:sz w:val="24"/>
        </w:rPr>
      </w:pPr>
    </w:p>
    <w:p w:rsidR="008D4C32" w:rsidRPr="0010507F" w:rsidRDefault="00A220A5" w:rsidP="00F76068">
      <w:pPr>
        <w:widowControl w:val="0"/>
        <w:suppressAutoHyphens/>
        <w:ind w:left="-255" w:right="340"/>
        <w:jc w:val="both"/>
        <w:rPr>
          <w:rFonts w:ascii="Open Sans" w:hAnsi="Open Sans"/>
          <w:sz w:val="24"/>
        </w:rPr>
      </w:pPr>
      <w:r>
        <w:rPr>
          <w:rFonts w:ascii="Open Sans" w:hAnsi="Open Sans"/>
          <w:sz w:val="24"/>
        </w:rPr>
        <w:t>“</w:t>
      </w:r>
      <w:r w:rsidR="008D4C32" w:rsidRPr="0010507F">
        <w:rPr>
          <w:rFonts w:ascii="Open Sans" w:hAnsi="Open Sans"/>
          <w:sz w:val="24"/>
        </w:rPr>
        <w:t>RECURSO DE REVISTA SOB A ÉGIDE DAS LEIS NOS 13.015/2014 E 13.467/2017, DO CPC/2015 E DA INSTRUÇÃO NORMATIVA Nº 40/2016 DO TRIBUNAL SUPERIOR DO TRABALHO. AÇÃO CIVIL PÚBLICA AJUIZADA EM FACE DE MUNICÍPIO. COMPETÊNCIA MATERIAL DA JUSTIÇA DO TRABALHO. IMPOSIÇÃO DE OBRIGAÇÕES DE FAZER AO MUNICÍPIO. REALIZAÇÃO DE POLÍTICAS PÚBLICAS. REGULARIZAÇÃO DO CONTRATO DE APRENDIZAGEM. EFETIVIDADE DE DIREITOS SOCIAIS.</w:t>
      </w:r>
      <w:r w:rsidR="008D4C32" w:rsidRPr="0010507F">
        <w:rPr>
          <w:rFonts w:ascii="Open Sans" w:hAnsi="Open Sans"/>
          <w:b/>
          <w:sz w:val="24"/>
        </w:rPr>
        <w:t xml:space="preserve"> </w:t>
      </w:r>
      <w:r w:rsidR="008D4C32" w:rsidRPr="0010507F">
        <w:rPr>
          <w:rFonts w:ascii="Open Sans" w:hAnsi="Open Sans"/>
          <w:sz w:val="24"/>
        </w:rPr>
        <w:t>Cinge-se a controvérsia em se reconhecer a competência material da Justiça do Trabalho para processar e julgar Ação Civil Pública ajuizada pelo MPT contra o Município de Sabará, a fim de se exigir que este preveja, em todos os editais de licitação lançados, que a contratante deverá cumprir a cota de aprendiz a que está obrigada pelo artigo 429 e seguintes da CLT, como condição para a participação no certame e para a celebração de contrato com o Município. Destaca-se que o princípio basilar do Direito do Trabalho é a proteção do trabalhador, o qual visa a equilibrar as relações entre empregados e empregadores, garantindo, assim, condições dignas de trabalho. Importante mencionar que o princípio tutelar, decorrência do princípio da igualdade material, tem como propósito corrigir desigualdades, a partir da criação de uma superioridade jurídica em favor do empregado, parte hipossuficiente da relação empregatícia. Nesse contexto, conclui-se que zelar pelo cumprimento da cota de aprendizes no âmbito do Município reclamado, a fim de promover a proteção e a promoção de direitos desse grupo de trabalhadores,</w:t>
      </w:r>
      <w:r w:rsidR="008D4C32" w:rsidRPr="0010507F">
        <w:rPr>
          <w:rFonts w:ascii="Open Sans" w:hAnsi="Open Sans"/>
          <w:b/>
          <w:sz w:val="24"/>
        </w:rPr>
        <w:t xml:space="preserve"> </w:t>
      </w:r>
      <w:r w:rsidR="008D4C32" w:rsidRPr="0010507F">
        <w:rPr>
          <w:rFonts w:ascii="Open Sans" w:hAnsi="Open Sans"/>
          <w:sz w:val="24"/>
        </w:rPr>
        <w:t>é medida de manifesto interesse ao Direito do Trabalho, que está sendo tutelado pelo Ministério Púbico do Trabalho por meio do pedido de concretização de políticas públicas.</w:t>
      </w:r>
      <w:r w:rsidR="008D4C32" w:rsidRPr="0010507F">
        <w:rPr>
          <w:rFonts w:ascii="Open Sans" w:hAnsi="Open Sans"/>
          <w:b/>
          <w:sz w:val="24"/>
        </w:rPr>
        <w:t xml:space="preserve"> </w:t>
      </w:r>
      <w:r w:rsidR="008D4C32" w:rsidRPr="0010507F">
        <w:rPr>
          <w:rFonts w:ascii="Open Sans" w:hAnsi="Open Sans"/>
          <w:sz w:val="24"/>
        </w:rPr>
        <w:t xml:space="preserve">Com efeito, ao pretender a inclusão, em todos os editais de licitação lançados, de cláusula prevendo a obrigação de cumprimento da cota legal de aprendizes como condição para a participação no certame e para a celebração de contrato com o Município, o MPT visa, primordialmente, ao cumprimento </w:t>
      </w:r>
      <w:proofErr w:type="gramStart"/>
      <w:r w:rsidR="008D4C32" w:rsidRPr="0010507F">
        <w:rPr>
          <w:rFonts w:ascii="Open Sans" w:hAnsi="Open Sans"/>
          <w:sz w:val="24"/>
        </w:rPr>
        <w:t>da</w:t>
      </w:r>
      <w:proofErr w:type="gramEnd"/>
      <w:r w:rsidR="008D4C32" w:rsidRPr="0010507F">
        <w:rPr>
          <w:rFonts w:ascii="Open Sans" w:hAnsi="Open Sans"/>
          <w:sz w:val="24"/>
        </w:rPr>
        <w:t xml:space="preserve"> </w:t>
      </w:r>
      <w:proofErr w:type="gramStart"/>
      <w:r w:rsidR="008D4C32" w:rsidRPr="0010507F">
        <w:rPr>
          <w:rFonts w:ascii="Open Sans" w:hAnsi="Open Sans"/>
          <w:sz w:val="24"/>
        </w:rPr>
        <w:t>legislação</w:t>
      </w:r>
      <w:proofErr w:type="gramEnd"/>
      <w:r w:rsidR="008D4C32" w:rsidRPr="0010507F">
        <w:rPr>
          <w:rFonts w:ascii="Open Sans" w:hAnsi="Open Sans"/>
          <w:sz w:val="24"/>
        </w:rPr>
        <w:t xml:space="preserve"> trabalhista protetiva dos direitos dos jovens aprendizes. Ressalta-se que o processo de licitação é, efetivamente, um instrumento essencial à materialização de políticas públicas relacionadas a diversos aspectos da cidadania, sendo dever do Poder </w:t>
      </w:r>
      <w:proofErr w:type="gramStart"/>
      <w:r w:rsidR="008D4C32" w:rsidRPr="0010507F">
        <w:rPr>
          <w:rFonts w:ascii="Open Sans" w:hAnsi="Open Sans"/>
          <w:sz w:val="24"/>
        </w:rPr>
        <w:t>Público a observância de normas sociais e de proteção do meio ambiente do trabalho</w:t>
      </w:r>
      <w:proofErr w:type="gramEnd"/>
      <w:r w:rsidR="008D4C32" w:rsidRPr="0010507F">
        <w:rPr>
          <w:rFonts w:ascii="Open Sans" w:hAnsi="Open Sans"/>
          <w:sz w:val="24"/>
        </w:rPr>
        <w:t xml:space="preserve"> para a celebração de contratos no âmbito da Administração Pública. Destaca-se que o cumprimento da cota de aprendizes não se trata apenas de uma obrigação legal, mas, também, de uma forma de se garantir o direito dos jovens à aprendizagem profissional, contribuindo para o desenvolvimento de competências para o mundo do trabalho e, consequentemente, promovendo sua inclusão social. Acrescenta-se que a </w:t>
      </w:r>
      <w:proofErr w:type="gramStart"/>
      <w:r w:rsidR="008D4C32" w:rsidRPr="0010507F">
        <w:rPr>
          <w:rFonts w:ascii="Open Sans" w:hAnsi="Open Sans"/>
          <w:sz w:val="24"/>
        </w:rPr>
        <w:t>SbDI</w:t>
      </w:r>
      <w:proofErr w:type="gramEnd"/>
      <w:r w:rsidR="008D4C32" w:rsidRPr="0010507F">
        <w:rPr>
          <w:rFonts w:ascii="Open Sans" w:hAnsi="Open Sans"/>
          <w:sz w:val="24"/>
        </w:rPr>
        <w:t xml:space="preserve">-1 desta Corte firmou o entendimento no sentido de que o Poder Público detém a discricionariedade de elaborar políticas públicas que conciliem a valorização do trabalho humano e a livre iniciativa, tendo por fim assegurar existência digna segundo os ditames da justiça social (art. 170 da Constituição federal). No entanto, em casos como o dos presentes autos, que envolvem direitos sociais tutelados pelo Direito do </w:t>
      </w:r>
      <w:r w:rsidR="008D4C32" w:rsidRPr="0010507F">
        <w:rPr>
          <w:rFonts w:ascii="Open Sans" w:hAnsi="Open Sans"/>
          <w:sz w:val="24"/>
        </w:rPr>
        <w:lastRenderedPageBreak/>
        <w:t xml:space="preserve">Trabalho, como a busca do pleno emprego e a redução das desigualdades sociais, a Justiça do Trabalho detém competência para impor ao Município a elaboração e materialização de políticas públicas legalmente previstas para a proteção do trabalho infanto-juvenil. Precedentes. </w:t>
      </w:r>
      <w:proofErr w:type="gramStart"/>
      <w:r w:rsidR="008D4C32" w:rsidRPr="0010507F">
        <w:rPr>
          <w:rFonts w:ascii="Open Sans" w:hAnsi="Open Sans"/>
          <w:sz w:val="24"/>
        </w:rPr>
        <w:t>Recurso de revista conhecido e provido.</w:t>
      </w:r>
      <w:r>
        <w:rPr>
          <w:rFonts w:ascii="Open Sans" w:hAnsi="Open Sans"/>
          <w:sz w:val="24"/>
        </w:rPr>
        <w:t>”</w:t>
      </w:r>
      <w:proofErr w:type="gramEnd"/>
      <w:r w:rsidR="002D5DD2" w:rsidRPr="0010507F">
        <w:rPr>
          <w:rFonts w:ascii="Open Sans" w:hAnsi="Open Sans"/>
          <w:sz w:val="24"/>
        </w:rPr>
        <w:t xml:space="preserve"> (</w:t>
      </w:r>
      <w:hyperlink r:id="rId17" w:history="1">
        <w:r w:rsidR="002D5DD2" w:rsidRPr="0010507F">
          <w:rPr>
            <w:rStyle w:val="Hyperlink"/>
            <w:rFonts w:ascii="Open Sans" w:hAnsi="Open Sans"/>
            <w:sz w:val="24"/>
          </w:rPr>
          <w:t xml:space="preserve">TST-RR-10838-36.2022.5.03.0094, 3ª Turma, rel. Min. </w:t>
        </w:r>
        <w:r w:rsidR="0019383E" w:rsidRPr="0010507F">
          <w:rPr>
            <w:rStyle w:val="Hyperlink"/>
            <w:rFonts w:ascii="Open Sans" w:hAnsi="Open Sans"/>
            <w:sz w:val="24"/>
          </w:rPr>
          <w:t xml:space="preserve">José Roberto Freire Pimenta, </w:t>
        </w:r>
        <w:r w:rsidR="0055436A" w:rsidRPr="0010507F">
          <w:rPr>
            <w:rStyle w:val="Hyperlink"/>
            <w:rFonts w:ascii="Open Sans" w:hAnsi="Open Sans"/>
            <w:sz w:val="24"/>
          </w:rPr>
          <w:t>julgado em 17/9/2025</w:t>
        </w:r>
      </w:hyperlink>
      <w:r w:rsidR="0055436A" w:rsidRPr="0010507F">
        <w:rPr>
          <w:rFonts w:ascii="Open Sans" w:hAnsi="Open Sans"/>
          <w:sz w:val="24"/>
        </w:rPr>
        <w:t>)</w:t>
      </w:r>
    </w:p>
    <w:p w:rsidR="00FA327E" w:rsidRPr="0010507F" w:rsidRDefault="00FA327E" w:rsidP="00F76068">
      <w:pPr>
        <w:widowControl w:val="0"/>
        <w:suppressAutoHyphens/>
        <w:ind w:left="-255" w:right="340"/>
        <w:jc w:val="both"/>
        <w:rPr>
          <w:rFonts w:ascii="Open Sans" w:hAnsi="Open Sans"/>
          <w:sz w:val="24"/>
        </w:rPr>
      </w:pPr>
    </w:p>
    <w:p w:rsidR="002577B3" w:rsidRPr="0010507F" w:rsidRDefault="00B90249" w:rsidP="00F76068">
      <w:pPr>
        <w:widowControl w:val="0"/>
        <w:suppressAutoHyphens/>
        <w:ind w:left="-255" w:right="340"/>
        <w:jc w:val="both"/>
        <w:rPr>
          <w:rFonts w:ascii="Open Sans" w:hAnsi="Open Sans"/>
          <w:sz w:val="24"/>
        </w:rPr>
      </w:pPr>
      <w:r>
        <w:rPr>
          <w:rFonts w:ascii="Open Sans" w:hAnsi="Open Sans"/>
          <w:sz w:val="24"/>
        </w:rPr>
        <w:t>“</w:t>
      </w:r>
      <w:r w:rsidR="002577B3" w:rsidRPr="0010507F">
        <w:rPr>
          <w:rFonts w:ascii="Open Sans" w:hAnsi="Open Sans"/>
          <w:sz w:val="24"/>
        </w:rPr>
        <w:t xml:space="preserve">[...] RECURSO DE REVISTA DO MINISTÉRIO PÚBLICO DO TRABALHO DA 12ª REGIÃO. COMPETÊNCIA DA JUSTIÇA DO TRABALHO. ENTIDADE SINDICAL. CONTROVÉRSIA ENVOLVENDO A COBRANÇA DE HONORÁRIOS ADVOCATÍCIOS DOS EMPREGADOS SINDICALIZADOS. DEVER DE PRESTAÇÃO DE ASSISTÊNCIA JUDICIÁRIA GRATUITA. DISCUSSÃO DIVERSA DA COBRANÇA DE HONORÁRIOS ENTRE CLIENTE E ADVOGADO. O Ministério Público do Trabalho ajuizou presente ação civil pública em face do sindicato reclamado postulando, a sua condenação em obrigações de fazer concernente à prestação de assistência judiciária gratuita para todos os integrantes da categoria, sem cobrança de honorários advocatícios contratuais, bem como de pagamento de indenização por dano moral coletivo devolução dos valores dos honorários advocatícios contratuais descontados dos trabalhadores que foram assistidos. No caso, o Tribunal Regional reformou a sentença de origem em que se entendeu pela competência da Justiça do Trabalho para julgamento da demanda entre o sindicato e o Ministério Público do Trabalho em que se discute a obrigação contratual do sindicato no que se refere à cobrança de honorários contratuais. Fundamentou sua decisão no entendimento de que </w:t>
      </w:r>
      <w:r w:rsidR="008B2BC3">
        <w:rPr>
          <w:rFonts w:ascii="Open Sans" w:hAnsi="Open Sans"/>
          <w:sz w:val="24"/>
        </w:rPr>
        <w:t>‘</w:t>
      </w:r>
      <w:r w:rsidR="002577B3" w:rsidRPr="0010507F">
        <w:rPr>
          <w:rFonts w:ascii="Open Sans" w:hAnsi="Open Sans"/>
          <w:sz w:val="24"/>
        </w:rPr>
        <w:t>a cobrança de honorários contratuais por advogado credenciado é matéria alienígena ao direito sindical, tendo natureza cível, pois ligada à própria validade do contrato de honorários advocatícios</w:t>
      </w:r>
      <w:r w:rsidR="008B2BC3">
        <w:rPr>
          <w:rFonts w:ascii="Open Sans" w:hAnsi="Open Sans"/>
          <w:sz w:val="24"/>
        </w:rPr>
        <w:t>’</w:t>
      </w:r>
      <w:r w:rsidR="002577B3" w:rsidRPr="0010507F">
        <w:rPr>
          <w:rFonts w:ascii="Open Sans" w:hAnsi="Open Sans"/>
          <w:sz w:val="24"/>
        </w:rPr>
        <w:t>. Contudo, esta Corte Superior, com base no art. 114, inciso III, da Constituição Federal, tem se posicionado no sentido de que a Justiça do Trabalho possui competência para processar e julgar as ações em que se discute a cobrança de honorários advocatícios pelo sin</w:t>
      </w:r>
      <w:r w:rsidR="00910809" w:rsidRPr="0010507F">
        <w:rPr>
          <w:rFonts w:ascii="Open Sans" w:hAnsi="Open Sans"/>
          <w:sz w:val="24"/>
        </w:rPr>
        <w:t>di</w:t>
      </w:r>
      <w:r w:rsidR="002577B3" w:rsidRPr="0010507F">
        <w:rPr>
          <w:rFonts w:ascii="Open Sans" w:hAnsi="Open Sans"/>
          <w:sz w:val="24"/>
        </w:rPr>
        <w:t>cato dos empregados sindicalizados. Verifica-se que, na hipótese em exame, não se discute a cobrança de honorários advocatícios contratuais entre cliente e advogado, mas sim a obrigação de fazer do sindicato em prestar assistência gratuita, sem o desconto de honorários contratuais. Precedentes. Recurso de revista conhecido e provido.</w:t>
      </w:r>
      <w:r>
        <w:rPr>
          <w:rFonts w:ascii="Open Sans" w:hAnsi="Open Sans"/>
          <w:sz w:val="24"/>
        </w:rPr>
        <w:t>”</w:t>
      </w:r>
      <w:r w:rsidR="00331AB8" w:rsidRPr="0010507F">
        <w:rPr>
          <w:rFonts w:ascii="Open Sans" w:hAnsi="Open Sans"/>
          <w:sz w:val="24"/>
        </w:rPr>
        <w:t xml:space="preserve"> (</w:t>
      </w:r>
      <w:hyperlink r:id="rId18" w:history="1">
        <w:r w:rsidR="00331AB8" w:rsidRPr="0010507F">
          <w:rPr>
            <w:rStyle w:val="Hyperlink"/>
            <w:rFonts w:ascii="Open Sans" w:hAnsi="Open Sans"/>
            <w:sz w:val="24"/>
          </w:rPr>
          <w:t xml:space="preserve">TST-RRAg-1427-66.2018.5.12.0026, </w:t>
        </w:r>
        <w:r w:rsidR="000E5BB5" w:rsidRPr="0010507F">
          <w:rPr>
            <w:rStyle w:val="Hyperlink"/>
            <w:rFonts w:ascii="Open Sans" w:hAnsi="Open Sans"/>
            <w:sz w:val="24"/>
          </w:rPr>
          <w:t xml:space="preserve">3ª Turma, rel. Min. </w:t>
        </w:r>
        <w:r w:rsidR="00C31A69" w:rsidRPr="0010507F">
          <w:rPr>
            <w:rStyle w:val="Hyperlink"/>
            <w:rFonts w:ascii="Open Sans" w:hAnsi="Open Sans"/>
            <w:sz w:val="24"/>
          </w:rPr>
          <w:t xml:space="preserve">José Roberto Freire Pimenta, </w:t>
        </w:r>
        <w:r w:rsidR="00E55C41" w:rsidRPr="0010507F">
          <w:rPr>
            <w:rStyle w:val="Hyperlink"/>
            <w:rFonts w:ascii="Open Sans" w:hAnsi="Open Sans"/>
            <w:sz w:val="24"/>
          </w:rPr>
          <w:t>julgado em 23/9/2025</w:t>
        </w:r>
      </w:hyperlink>
      <w:r w:rsidR="00E55C41" w:rsidRPr="0010507F">
        <w:rPr>
          <w:rFonts w:ascii="Open Sans" w:hAnsi="Open Sans"/>
          <w:sz w:val="24"/>
        </w:rPr>
        <w:t>)</w:t>
      </w:r>
    </w:p>
    <w:p w:rsidR="00E55C41" w:rsidRPr="0010507F" w:rsidRDefault="00E55C41" w:rsidP="00F76068">
      <w:pPr>
        <w:widowControl w:val="0"/>
        <w:suppressAutoHyphens/>
        <w:ind w:left="-255" w:right="340"/>
        <w:jc w:val="both"/>
        <w:rPr>
          <w:rFonts w:ascii="Open Sans" w:hAnsi="Open Sans"/>
          <w:sz w:val="24"/>
        </w:rPr>
      </w:pPr>
    </w:p>
    <w:p w:rsidR="006531A5" w:rsidRPr="0010507F" w:rsidRDefault="003C491F" w:rsidP="00F76068">
      <w:pPr>
        <w:widowControl w:val="0"/>
        <w:suppressAutoHyphens/>
        <w:ind w:left="-255" w:right="340"/>
        <w:jc w:val="both"/>
        <w:rPr>
          <w:rFonts w:ascii="Open Sans" w:hAnsi="Open Sans"/>
          <w:sz w:val="24"/>
        </w:rPr>
      </w:pPr>
      <w:r>
        <w:rPr>
          <w:rFonts w:ascii="Open Sans" w:hAnsi="Open Sans"/>
          <w:sz w:val="24"/>
        </w:rPr>
        <w:t>“</w:t>
      </w:r>
      <w:r w:rsidR="00833E3C" w:rsidRPr="0010507F">
        <w:rPr>
          <w:rFonts w:ascii="Open Sans" w:hAnsi="Open Sans"/>
          <w:sz w:val="24"/>
        </w:rPr>
        <w:t xml:space="preserve">AGRAVO DA RECLAMADA - RECURSO DE REVISTA DA RECLAMANTE CONHECIDO E PROVIDO - ESTABILIDADE - GESTANTE </w:t>
      </w:r>
      <w:proofErr w:type="gramStart"/>
      <w:r w:rsidR="00833E3C" w:rsidRPr="0010507F">
        <w:rPr>
          <w:rFonts w:ascii="Open Sans" w:hAnsi="Open Sans"/>
          <w:sz w:val="24"/>
        </w:rPr>
        <w:t>1</w:t>
      </w:r>
      <w:proofErr w:type="gramEnd"/>
      <w:r w:rsidR="00833E3C" w:rsidRPr="0010507F">
        <w:rPr>
          <w:rFonts w:ascii="Open Sans" w:hAnsi="Open Sans"/>
          <w:sz w:val="24"/>
        </w:rPr>
        <w:t xml:space="preserve">. O único requisito para que a Empregada tenha reconhecido seu direito à estabilidade provisória (ou à sua conversão em indenização) é a gravidez no momento da rescisão do contrato de trabalho, até porque essa garantia visa, em última análise, à tutela do nascituro. 2. A desistência ou a ausência de pedido de reintegração e a recusa à oferta de reintegração não caracterizam abuso de direito ou má-fé, não obstando, assim, o pagamento da indenização substitutiva relativa ao período </w:t>
      </w:r>
      <w:proofErr w:type="spellStart"/>
      <w:r w:rsidR="00833E3C" w:rsidRPr="0010507F">
        <w:rPr>
          <w:rFonts w:ascii="Open Sans" w:hAnsi="Open Sans"/>
          <w:sz w:val="24"/>
        </w:rPr>
        <w:t>estabilitário</w:t>
      </w:r>
      <w:proofErr w:type="spellEnd"/>
      <w:r w:rsidR="00833E3C" w:rsidRPr="0010507F">
        <w:rPr>
          <w:rFonts w:ascii="Open Sans" w:hAnsi="Open Sans"/>
          <w:sz w:val="24"/>
        </w:rPr>
        <w:t>. Agravo a que se nega provimento.</w:t>
      </w:r>
      <w:r>
        <w:rPr>
          <w:rFonts w:ascii="Open Sans" w:hAnsi="Open Sans"/>
          <w:sz w:val="24"/>
        </w:rPr>
        <w:t>”</w:t>
      </w:r>
      <w:r w:rsidR="00833E3C" w:rsidRPr="0010507F">
        <w:rPr>
          <w:rFonts w:ascii="Open Sans" w:hAnsi="Open Sans"/>
          <w:sz w:val="24"/>
        </w:rPr>
        <w:t xml:space="preserve"> (</w:t>
      </w:r>
      <w:hyperlink r:id="rId19" w:history="1">
        <w:r w:rsidR="00833E3C" w:rsidRPr="0010507F">
          <w:rPr>
            <w:rStyle w:val="Hyperlink"/>
            <w:rFonts w:ascii="Open Sans" w:hAnsi="Open Sans"/>
            <w:sz w:val="24"/>
          </w:rPr>
          <w:t xml:space="preserve">TST-Ag-RR-1000039-26.2020.5.02.0057, </w:t>
        </w:r>
        <w:r w:rsidR="00A4674E" w:rsidRPr="0010507F">
          <w:rPr>
            <w:rStyle w:val="Hyperlink"/>
            <w:rFonts w:ascii="Open Sans" w:hAnsi="Open Sans"/>
            <w:sz w:val="24"/>
          </w:rPr>
          <w:t xml:space="preserve">4ª Turma, rel. Min. </w:t>
        </w:r>
        <w:r w:rsidR="00CE6EA4" w:rsidRPr="0010507F">
          <w:rPr>
            <w:rStyle w:val="Hyperlink"/>
            <w:rFonts w:ascii="Open Sans" w:hAnsi="Open Sans"/>
            <w:sz w:val="24"/>
          </w:rPr>
          <w:t xml:space="preserve">Maria Cristina </w:t>
        </w:r>
        <w:proofErr w:type="spellStart"/>
        <w:r w:rsidR="00CE6EA4" w:rsidRPr="0010507F">
          <w:rPr>
            <w:rStyle w:val="Hyperlink"/>
            <w:rFonts w:ascii="Open Sans" w:hAnsi="Open Sans"/>
            <w:sz w:val="24"/>
          </w:rPr>
          <w:lastRenderedPageBreak/>
          <w:t>Irigoyen</w:t>
        </w:r>
        <w:proofErr w:type="spellEnd"/>
        <w:r w:rsidR="00CE6EA4" w:rsidRPr="0010507F">
          <w:rPr>
            <w:rStyle w:val="Hyperlink"/>
            <w:rFonts w:ascii="Open Sans" w:hAnsi="Open Sans"/>
            <w:sz w:val="24"/>
          </w:rPr>
          <w:t xml:space="preserve"> Peduzzi, julgado em 2/9/2025</w:t>
        </w:r>
      </w:hyperlink>
      <w:r w:rsidR="00CE6EA4" w:rsidRPr="0010507F">
        <w:rPr>
          <w:rFonts w:ascii="Open Sans" w:hAnsi="Open Sans"/>
          <w:sz w:val="24"/>
        </w:rPr>
        <w:t>)</w:t>
      </w:r>
    </w:p>
    <w:p w:rsidR="00A07F3D" w:rsidRPr="0010507F" w:rsidRDefault="00A07F3D" w:rsidP="00F76068">
      <w:pPr>
        <w:widowControl w:val="0"/>
        <w:suppressAutoHyphens/>
        <w:ind w:left="-255" w:right="340"/>
        <w:jc w:val="both"/>
        <w:rPr>
          <w:rFonts w:ascii="Open Sans" w:hAnsi="Open Sans"/>
          <w:sz w:val="24"/>
        </w:rPr>
      </w:pPr>
    </w:p>
    <w:p w:rsidR="00A07F3D" w:rsidRPr="0010507F" w:rsidRDefault="006F26C9" w:rsidP="00F76068">
      <w:pPr>
        <w:widowControl w:val="0"/>
        <w:suppressAutoHyphens/>
        <w:ind w:left="-255" w:right="340"/>
        <w:jc w:val="both"/>
        <w:rPr>
          <w:rFonts w:ascii="Open Sans" w:hAnsi="Open Sans"/>
          <w:sz w:val="24"/>
        </w:rPr>
      </w:pPr>
      <w:r>
        <w:rPr>
          <w:rFonts w:ascii="Open Sans" w:hAnsi="Open Sans"/>
          <w:sz w:val="24"/>
        </w:rPr>
        <w:t>“</w:t>
      </w:r>
      <w:r w:rsidR="00D44A00" w:rsidRPr="0010507F">
        <w:rPr>
          <w:rFonts w:ascii="Open Sans" w:hAnsi="Open Sans"/>
          <w:sz w:val="24"/>
        </w:rPr>
        <w:t xml:space="preserve">RECURSO DE REVISTA REGIDO PELA LEI 13.467/2017. CERCEAMENTO DE DEFESA. EXCEÇÃO DE INCOMPETÊNCIA TERRITORIAL. AUSÊNCIA DE SUSPENSÃO DO PROCESSO. ARTIGO 800, §1º, DA CLT. NÃO COMPARECIMENTO À AUDIÊNCIA. REVELIA. INEXISTÊNCIA DE NULIDADE. PREJUÍZO CAUSADO POR ATO PRÓPRIO. TRANSCENDÊNCIA JURÍDICA CARACTERIZADA. </w:t>
      </w:r>
      <w:proofErr w:type="gramStart"/>
      <w:r w:rsidR="00D44A00" w:rsidRPr="0010507F">
        <w:rPr>
          <w:rFonts w:ascii="Open Sans" w:hAnsi="Open Sans"/>
          <w:sz w:val="24"/>
        </w:rPr>
        <w:t>1</w:t>
      </w:r>
      <w:proofErr w:type="gramEnd"/>
      <w:r w:rsidR="00D44A00" w:rsidRPr="0010507F">
        <w:rPr>
          <w:rFonts w:ascii="Open Sans" w:hAnsi="Open Sans"/>
          <w:sz w:val="24"/>
        </w:rPr>
        <w:t xml:space="preserve">. Controverte-se acerca da aplicação do artigo 800, §1º, da CLT, incluído pela Lei 13.467/17, precisamente se, no caso de apresentação de exceção de incompetência territorial, a ausência de decisão judicial determinando a suspensão do processo e o adiamento a respectiva audiência implica, necessariamente, cerceamento de defesa da excipiente, a ensejar a nulidade dos atos processuais subsequentes. Discute-se, de igual modo, se o prejuízo decorrente dos efeitos da revelia, em razão da ausência à audiência para a qual a excipiente foi regularmente citada, foi consequência direta da possível irregularidade processual (não suspensão do processo) ou da escolha voluntária da parte. Logo, a questão jurídica objeto do recurso de revista representa </w:t>
      </w:r>
      <w:r w:rsidR="008B2BC3">
        <w:rPr>
          <w:rFonts w:ascii="Open Sans" w:hAnsi="Open Sans"/>
          <w:sz w:val="24"/>
        </w:rPr>
        <w:t>‘</w:t>
      </w:r>
      <w:r w:rsidR="00D44A00" w:rsidRPr="0010507F">
        <w:rPr>
          <w:rFonts w:ascii="Open Sans" w:hAnsi="Open Sans"/>
          <w:sz w:val="24"/>
        </w:rPr>
        <w:t>questão nova em torno da interpretação da legislação trabalhista</w:t>
      </w:r>
      <w:r w:rsidR="008B2BC3">
        <w:rPr>
          <w:rFonts w:ascii="Open Sans" w:hAnsi="Open Sans"/>
          <w:sz w:val="24"/>
        </w:rPr>
        <w:t>’</w:t>
      </w:r>
      <w:r w:rsidR="00D44A00" w:rsidRPr="0010507F">
        <w:rPr>
          <w:rFonts w:ascii="Open Sans" w:hAnsi="Open Sans"/>
          <w:sz w:val="24"/>
        </w:rPr>
        <w:t xml:space="preserve">, nos termos do art. 896-A, IV, da CLT, porquanto se trata de inovação legislativa oriunda das alterações promovidas pela Lei 13.467/2017, sobre a qual ainda pende interpretação por esta Corte Trabalhista, o que configura a transcendência jurídica da causa. 2. No caso da alteração realizada no art. 800 da CLT, o legislador, em exercício de ponderação de garantias fundamentais (art. 5º da Constituição Federal), buscou fortalecer a ampla defesa e o contraditório (inciso LV), sacrificando em alguma medida a celeridade ou a </w:t>
      </w:r>
      <w:r w:rsidR="008B2BC3">
        <w:rPr>
          <w:rFonts w:ascii="Open Sans" w:hAnsi="Open Sans"/>
          <w:sz w:val="24"/>
        </w:rPr>
        <w:t>‘</w:t>
      </w:r>
      <w:r w:rsidR="00D44A00" w:rsidRPr="0010507F">
        <w:rPr>
          <w:rFonts w:ascii="Open Sans" w:hAnsi="Open Sans"/>
          <w:sz w:val="24"/>
        </w:rPr>
        <w:t>razoável duração do processo</w:t>
      </w:r>
      <w:r w:rsidR="008B2BC3">
        <w:rPr>
          <w:rFonts w:ascii="Open Sans" w:hAnsi="Open Sans"/>
          <w:sz w:val="24"/>
        </w:rPr>
        <w:t>’</w:t>
      </w:r>
      <w:r w:rsidR="00D44A00" w:rsidRPr="0010507F">
        <w:rPr>
          <w:rFonts w:ascii="Open Sans" w:hAnsi="Open Sans"/>
          <w:sz w:val="24"/>
        </w:rPr>
        <w:t xml:space="preserve"> (inciso LXXVIII). 3. No caso presente, ao receber a peça de exceção de incompetência territorial, a d. autoridade judicial determinou que se aguardasse a audiência já designada, deixando, portanto, de fixar, desde logo, a suspensão do processo e o adiamento daquele ato processual. Ainda, conforme decidiu o Juízo de </w:t>
      </w:r>
      <w:proofErr w:type="gramStart"/>
      <w:r w:rsidR="00D44A00" w:rsidRPr="0010507F">
        <w:rPr>
          <w:rFonts w:ascii="Open Sans" w:hAnsi="Open Sans"/>
          <w:sz w:val="24"/>
        </w:rPr>
        <w:t>primeiro</w:t>
      </w:r>
      <w:proofErr w:type="gramEnd"/>
      <w:r w:rsidR="00D44A00" w:rsidRPr="0010507F">
        <w:rPr>
          <w:rFonts w:ascii="Open Sans" w:hAnsi="Open Sans"/>
          <w:sz w:val="24"/>
        </w:rPr>
        <w:t xml:space="preserve"> grau, a questão processual alusiva à incompetência quanto ao foro competente revelou-se totalmente descabida, à medida que ela própria confessara que, embora contratado na cidade de Embu das Artes – SP, o Reclamante também prestava serviços na capital do Estado de São Paulo, sendo evidente, por isso, a incidência do §3º do art. 651 da CLT. Vale destacar que a excipiente sequer pediu a produção de provas no incidente de incompetência territorial, restringindo a sua alegação de cerceamento de defesa apenas a mera ausência de suspensão do processo. Observa-se que a Recorrente, na verdade buscou apenas postergar o deslinde da causa, ao provocar um incidente infundado, desvirtuando a finalidade do art. 800 da CLT, qual seja: evitar o deslocamento desnecessário da parte para audiência realizada em foro territorialmente incompetente. Tanto é assim que a tese de incompetência territorial sequer foi renovada no recurso ordinário patronal, tampouco no presente recurso de revista. Convém lembrar, no aspecto, que todos os atores processuais têm o dever jurídico de se abster de </w:t>
      </w:r>
      <w:r w:rsidR="008B2BC3">
        <w:rPr>
          <w:rFonts w:ascii="Open Sans" w:hAnsi="Open Sans"/>
          <w:sz w:val="24"/>
        </w:rPr>
        <w:t>‘</w:t>
      </w:r>
      <w:r w:rsidR="00D44A00" w:rsidRPr="0010507F">
        <w:rPr>
          <w:rFonts w:ascii="Open Sans" w:hAnsi="Open Sans"/>
          <w:sz w:val="24"/>
        </w:rPr>
        <w:t>provocar incidente manifestamente infundado</w:t>
      </w:r>
      <w:r w:rsidR="008B2BC3">
        <w:rPr>
          <w:rFonts w:ascii="Open Sans" w:hAnsi="Open Sans"/>
          <w:sz w:val="24"/>
        </w:rPr>
        <w:t>’</w:t>
      </w:r>
      <w:r w:rsidR="00D44A00" w:rsidRPr="0010507F">
        <w:rPr>
          <w:rFonts w:ascii="Open Sans" w:hAnsi="Open Sans"/>
          <w:sz w:val="24"/>
        </w:rPr>
        <w:t xml:space="preserve"> (art. 80 do CPC) </w:t>
      </w:r>
      <w:proofErr w:type="gramStart"/>
      <w:r w:rsidR="00D44A00" w:rsidRPr="0010507F">
        <w:rPr>
          <w:rFonts w:ascii="Open Sans" w:hAnsi="Open Sans"/>
          <w:sz w:val="24"/>
        </w:rPr>
        <w:t>4</w:t>
      </w:r>
      <w:proofErr w:type="gramEnd"/>
      <w:r w:rsidR="00D44A00" w:rsidRPr="0010507F">
        <w:rPr>
          <w:rFonts w:ascii="Open Sans" w:hAnsi="Open Sans"/>
          <w:sz w:val="24"/>
        </w:rPr>
        <w:t xml:space="preserve">. Ao contrário das nulidades absolutas, relacionadas a normas de ordem pública, as nulidades relativas ou as meras irregularidades processuais dizem respeito apenas a interesse particular, de sorte que só podem ser declaradas em caso de manifesto </w:t>
      </w:r>
      <w:r w:rsidR="00D44A00" w:rsidRPr="0010507F">
        <w:rPr>
          <w:rFonts w:ascii="Open Sans" w:hAnsi="Open Sans"/>
          <w:sz w:val="24"/>
        </w:rPr>
        <w:lastRenderedPageBreak/>
        <w:t xml:space="preserve">prejuízo (art. 794 da CLT). Entretanto, se este decorre diretamente do não exercício voluntário de uma obrigação processual (comparecer em audiência), não há nulidade (art. 796, b, da CLT). 5. Ademais, não cabe à parte presumir, por sua própria interpretação da regra processual, que o processo estaria suspenso e a audiência cancelada, sem qualquer manifestação judicial nesse sentido, devendo, na verdade, comparecer à audiência e posteriormente discutir o mérito da decisão que eventualmente tivesse rejeitado a exceção de incompetência territorial (natureza interlocutória) no recurso ordinário, nos termos do art. 893, §1º, c/c 799, §2º, da CLT. Ao optar, por livre e espontânea vontade, por não comparecer à audiência para a qual foi regularmente citada, a Reclamada assumiu o risco de sofrer as consequências processuais advindas de sua ausência. 6. Portanto, mesmo que se vislumbrasse, em tese, uma possível irregularidade processual na forma como processado o incidente de incompetência territorial, o prejuízo processual suportado pela Recorrente (efeitos da revelia) não foi causado pela ausência de suspensão do processo, mas sim por sua opção de não comparecer à audiência para a qual foi regularmente citada, precedida de comportamento ético reprovável ligado ao incidente manifestamente improcedente, de modo que não há nulidade a ser declarada. Diante do exposto, não se verifica violação de lei ou da Constituição Federal na decisão regional que afastou a alegação de nulidade e manteve integralmente a sentença. </w:t>
      </w:r>
      <w:proofErr w:type="gramStart"/>
      <w:r w:rsidR="00D44A00" w:rsidRPr="0010507F">
        <w:rPr>
          <w:rFonts w:ascii="Open Sans" w:hAnsi="Open Sans"/>
          <w:sz w:val="24"/>
        </w:rPr>
        <w:t>Recurso de revista não conhecido.</w:t>
      </w:r>
      <w:r>
        <w:rPr>
          <w:rFonts w:ascii="Open Sans" w:hAnsi="Open Sans"/>
          <w:sz w:val="24"/>
        </w:rPr>
        <w:t>”</w:t>
      </w:r>
      <w:proofErr w:type="gramEnd"/>
      <w:r w:rsidR="00D44A00" w:rsidRPr="0010507F">
        <w:rPr>
          <w:rFonts w:ascii="Open Sans" w:hAnsi="Open Sans"/>
          <w:sz w:val="24"/>
        </w:rPr>
        <w:t xml:space="preserve"> (</w:t>
      </w:r>
      <w:hyperlink r:id="rId20" w:history="1">
        <w:r w:rsidR="00D44A00" w:rsidRPr="0010507F">
          <w:rPr>
            <w:rStyle w:val="Hyperlink"/>
            <w:rFonts w:ascii="Open Sans" w:hAnsi="Open Sans"/>
            <w:sz w:val="24"/>
          </w:rPr>
          <w:t xml:space="preserve">TST-RR-1000314-24.2018.5.02.0031, </w:t>
        </w:r>
        <w:r w:rsidR="00633E81" w:rsidRPr="0010507F">
          <w:rPr>
            <w:rStyle w:val="Hyperlink"/>
            <w:rFonts w:ascii="Open Sans" w:hAnsi="Open Sans"/>
            <w:sz w:val="24"/>
          </w:rPr>
          <w:t xml:space="preserve">5ª Turma, rel. Min. </w:t>
        </w:r>
        <w:r w:rsidR="0092007C" w:rsidRPr="0010507F">
          <w:rPr>
            <w:rStyle w:val="Hyperlink"/>
            <w:rFonts w:ascii="Open Sans" w:hAnsi="Open Sans"/>
            <w:sz w:val="24"/>
          </w:rPr>
          <w:t>Douglas Alencar Rodrigues, julgado em 3/9/2025</w:t>
        </w:r>
      </w:hyperlink>
      <w:r w:rsidR="0092007C" w:rsidRPr="0010507F">
        <w:rPr>
          <w:rFonts w:ascii="Open Sans" w:hAnsi="Open Sans"/>
          <w:sz w:val="24"/>
        </w:rPr>
        <w:t>)</w:t>
      </w:r>
    </w:p>
    <w:p w:rsidR="00CE6EA4" w:rsidRPr="0010507F" w:rsidRDefault="00CE6EA4" w:rsidP="00F76068">
      <w:pPr>
        <w:widowControl w:val="0"/>
        <w:suppressAutoHyphens/>
        <w:ind w:left="-255" w:right="340"/>
        <w:jc w:val="both"/>
        <w:rPr>
          <w:rFonts w:ascii="Open Sans" w:hAnsi="Open Sans"/>
          <w:sz w:val="24"/>
        </w:rPr>
      </w:pPr>
    </w:p>
    <w:p w:rsidR="00D00237" w:rsidRPr="0010507F" w:rsidRDefault="0028337C" w:rsidP="00F76068">
      <w:pPr>
        <w:widowControl w:val="0"/>
        <w:suppressAutoHyphens/>
        <w:ind w:left="-255" w:right="340"/>
        <w:jc w:val="both"/>
        <w:rPr>
          <w:rFonts w:ascii="Open Sans" w:hAnsi="Open Sans"/>
          <w:sz w:val="24"/>
        </w:rPr>
      </w:pPr>
      <w:r>
        <w:rPr>
          <w:rFonts w:ascii="Open Sans" w:hAnsi="Open Sans"/>
          <w:sz w:val="24"/>
        </w:rPr>
        <w:t>“</w:t>
      </w:r>
      <w:r w:rsidR="00332449" w:rsidRPr="0010507F">
        <w:rPr>
          <w:rFonts w:ascii="Open Sans" w:hAnsi="Open Sans"/>
          <w:sz w:val="24"/>
        </w:rPr>
        <w:t xml:space="preserve">AGRAVO. RECURSO DE REVISTA. ACÓRDÃO PUBLICADO NA VIGÊNCIA DA LEI Nº 13.467/2017. ADICIONAL DE PERICULOSIDADE. USO DE MOTOCICLETA. DECISÕES DÍSPARES. TRANSCENDÊNCIA JURÍDICA RECONHECIDA. Cinge-se a controvérsia em discutir se o empregado tem direito ao recebimento do adicional de periculosidade, nos termos do art. 193, § 4º, da CLT, no caso de uso de motocicleta no exercício das suas atividades laborais. O art. 193, </w:t>
      </w:r>
      <w:r w:rsidR="009A0B8A" w:rsidRPr="009A0B8A">
        <w:rPr>
          <w:rFonts w:ascii="Open Sans" w:hAnsi="Open Sans"/>
          <w:i/>
          <w:sz w:val="24"/>
        </w:rPr>
        <w:t>caput</w:t>
      </w:r>
      <w:r w:rsidR="00332449" w:rsidRPr="0010507F">
        <w:rPr>
          <w:rFonts w:ascii="Open Sans" w:hAnsi="Open Sans"/>
          <w:sz w:val="24"/>
        </w:rPr>
        <w:t xml:space="preserve"> e § 4º, da CLT, preconiza que o trabalho em motocicleta enseja o pagamento de adicional de periculosidade. Esse comando legal foi regulamentado pela Portaria nº 1.565/2014, que inseriu tal atividade no Anexo </w:t>
      </w:r>
      <w:proofErr w:type="gramStart"/>
      <w:r w:rsidR="00332449" w:rsidRPr="0010507F">
        <w:rPr>
          <w:rFonts w:ascii="Open Sans" w:hAnsi="Open Sans"/>
          <w:sz w:val="24"/>
        </w:rPr>
        <w:t>5</w:t>
      </w:r>
      <w:proofErr w:type="gramEnd"/>
      <w:r w:rsidR="00332449" w:rsidRPr="0010507F">
        <w:rPr>
          <w:rFonts w:ascii="Open Sans" w:hAnsi="Open Sans"/>
          <w:sz w:val="24"/>
        </w:rPr>
        <w:t xml:space="preserve"> da NR16. Porém, o Ministério do Trabalho, por meio da Portaria n° 5/2015, suspendeu os efeitos da Portaria n° 1.565/2014 em relação aos associados da ABIR - Associação Brasileira das Indústrias de Refrigerantes e de Bebidas não Alcoólicas e aos confederados da Confederação Nacional das Revendas AMBEV e das Empresas de Logística da Distribuição. Em um primeiro momento, então, esta e. 5ª Turma acabou por proferir decisões no sentido de negar o direito ao respectivo adicional de periculosidade aos trabalhadores afetados por essa suspensão da Portaria Ministerial. Contudo, revisitando o tema e percebendo que o comando contido no art. 193, §4º, da CLT não depende de regulamentação adicional para concretização de seus efeitos jurídicos, a concessão da parcela aos trabalhadores deve ser reconhecida por imposição autoaplicável do preceito. Daí por que entende-se ser devido o adicional de periculosidade aos empregados que desempenham suas atividades com a utilização de motocicleta, ante a configuração da atividade perigosa, conforme disposto no art. 193, § 4º, da CLT, ainda que se trate de labor à empresa associada à ABIR e aos </w:t>
      </w:r>
      <w:r w:rsidR="00332449" w:rsidRPr="0010507F">
        <w:rPr>
          <w:rFonts w:ascii="Open Sans" w:hAnsi="Open Sans"/>
          <w:sz w:val="24"/>
        </w:rPr>
        <w:lastRenderedPageBreak/>
        <w:t xml:space="preserve">confederados da Confederação Nacional das Revendas AMBEV e das Empresas de Logística da Distribuição. Isso em razão de tal direito estar positivado no § 4º, do art. 193, da CLT, de aplicação imediata desde 2014, quando da </w:t>
      </w:r>
      <w:proofErr w:type="gramStart"/>
      <w:r w:rsidR="00332449" w:rsidRPr="0010507F">
        <w:rPr>
          <w:rFonts w:ascii="Open Sans" w:hAnsi="Open Sans"/>
          <w:sz w:val="24"/>
        </w:rPr>
        <w:t>publicação</w:t>
      </w:r>
      <w:proofErr w:type="gramEnd"/>
      <w:r w:rsidR="00332449" w:rsidRPr="0010507F">
        <w:rPr>
          <w:rFonts w:ascii="Open Sans" w:hAnsi="Open Sans"/>
          <w:sz w:val="24"/>
        </w:rPr>
        <w:t xml:space="preserve"> da Lei nº 12.997, que já prevê, especificamente, a percepção do referido adicional para esta hipótese, sendo desnecessária sua regulamentação por meio de Portaria Ministerial. Com efeito, o </w:t>
      </w:r>
      <w:r w:rsidR="009A0B8A" w:rsidRPr="009A0B8A">
        <w:rPr>
          <w:rFonts w:ascii="Open Sans" w:hAnsi="Open Sans"/>
          <w:i/>
          <w:sz w:val="24"/>
        </w:rPr>
        <w:t>caput</w:t>
      </w:r>
      <w:r w:rsidR="00332449" w:rsidRPr="0010507F">
        <w:rPr>
          <w:rFonts w:ascii="Open Sans" w:hAnsi="Open Sans"/>
          <w:sz w:val="24"/>
        </w:rPr>
        <w:t xml:space="preserve"> do supracitado dispositivo, de fato, condiciona o pagamento da parcela de adicional de periculosidade à regulamentação pelo Ministério do Trabalho e Emprego das atividades dele constantes. Todavia, considerando-se que </w:t>
      </w:r>
      <w:proofErr w:type="gramStart"/>
      <w:r w:rsidR="00332449" w:rsidRPr="0010507F">
        <w:rPr>
          <w:rFonts w:ascii="Open Sans" w:hAnsi="Open Sans"/>
          <w:sz w:val="24"/>
        </w:rPr>
        <w:t>houve expressa</w:t>
      </w:r>
      <w:proofErr w:type="gramEnd"/>
      <w:r w:rsidR="00332449" w:rsidRPr="0010507F">
        <w:rPr>
          <w:rFonts w:ascii="Open Sans" w:hAnsi="Open Sans"/>
          <w:sz w:val="24"/>
        </w:rPr>
        <w:t xml:space="preserve"> previsão do direito ao adicional aos empregados que realizam trabalho em motocicleta no § 4º do referido artigo, evidencia-se a desnecessidade de regulamentação por meio de Portaria Ministerial. Nesses termos, a regulamentação realizada pelo Ministério do Trabalho e Emprego somente seria cabível para aquelas atividades que não possuem expressa previsão legal de direito ao adicional de periculosidade. Precedente. Assim, correta a decisão regional que condenou a reclamada ao pagamento do adicional de periculosidade. </w:t>
      </w:r>
      <w:proofErr w:type="gramStart"/>
      <w:r w:rsidR="00332449" w:rsidRPr="0010507F">
        <w:rPr>
          <w:rFonts w:ascii="Open Sans" w:hAnsi="Open Sans"/>
          <w:sz w:val="24"/>
        </w:rPr>
        <w:t>Agravo não provido.</w:t>
      </w:r>
      <w:r>
        <w:rPr>
          <w:rFonts w:ascii="Open Sans" w:hAnsi="Open Sans"/>
          <w:sz w:val="24"/>
        </w:rPr>
        <w:t>”</w:t>
      </w:r>
      <w:proofErr w:type="gramEnd"/>
      <w:r w:rsidR="00332449" w:rsidRPr="0010507F">
        <w:rPr>
          <w:rFonts w:ascii="Open Sans" w:hAnsi="Open Sans"/>
          <w:sz w:val="24"/>
        </w:rPr>
        <w:t xml:space="preserve"> (</w:t>
      </w:r>
      <w:hyperlink r:id="rId21" w:anchor="1d10c6c" w:history="1">
        <w:r w:rsidR="00332449" w:rsidRPr="0010507F">
          <w:rPr>
            <w:rStyle w:val="Hyperlink"/>
            <w:rFonts w:ascii="Open Sans" w:hAnsi="Open Sans"/>
            <w:sz w:val="24"/>
          </w:rPr>
          <w:t xml:space="preserve">TST-Ag-RRAg-0000061-45.2022.5.05.0511, </w:t>
        </w:r>
        <w:r w:rsidR="00657CCB" w:rsidRPr="0010507F">
          <w:rPr>
            <w:rStyle w:val="Hyperlink"/>
            <w:rFonts w:ascii="Open Sans" w:hAnsi="Open Sans"/>
            <w:sz w:val="24"/>
          </w:rPr>
          <w:t xml:space="preserve">5ª Turma, rel. Min. </w:t>
        </w:r>
        <w:r w:rsidR="004B13CD" w:rsidRPr="0010507F">
          <w:rPr>
            <w:rStyle w:val="Hyperlink"/>
            <w:rFonts w:ascii="Open Sans" w:hAnsi="Open Sans"/>
            <w:sz w:val="24"/>
          </w:rPr>
          <w:t>Breno Medeiros,</w:t>
        </w:r>
        <w:r w:rsidR="00D55F08" w:rsidRPr="0010507F">
          <w:rPr>
            <w:rStyle w:val="Hyperlink"/>
            <w:rFonts w:ascii="Open Sans" w:hAnsi="Open Sans"/>
            <w:sz w:val="24"/>
          </w:rPr>
          <w:t xml:space="preserve"> julgado em 17/9/2025</w:t>
        </w:r>
      </w:hyperlink>
      <w:r w:rsidR="00D55F08" w:rsidRPr="0010507F">
        <w:rPr>
          <w:rFonts w:ascii="Open Sans" w:hAnsi="Open Sans"/>
          <w:sz w:val="24"/>
        </w:rPr>
        <w:t>)</w:t>
      </w:r>
    </w:p>
    <w:p w:rsidR="009E0FFC" w:rsidRPr="0010507F" w:rsidRDefault="009E0FFC" w:rsidP="00F76068">
      <w:pPr>
        <w:widowControl w:val="0"/>
        <w:suppressAutoHyphens/>
        <w:ind w:left="-255" w:right="340"/>
        <w:jc w:val="both"/>
        <w:rPr>
          <w:rFonts w:ascii="Open Sans" w:hAnsi="Open Sans" w:cs="Open Sans"/>
          <w:b/>
          <w:color w:val="FF0000"/>
          <w:sz w:val="24"/>
          <w:szCs w:val="24"/>
        </w:rPr>
      </w:pPr>
    </w:p>
    <w:p w:rsidR="009E0FFC" w:rsidRPr="0010507F" w:rsidRDefault="003E3836" w:rsidP="00F76068">
      <w:pPr>
        <w:widowControl w:val="0"/>
        <w:suppressAutoHyphens/>
        <w:ind w:left="-255" w:right="340"/>
        <w:jc w:val="both"/>
        <w:rPr>
          <w:rFonts w:ascii="Open Sans" w:hAnsi="Open Sans" w:cs="Open Sans"/>
          <w:sz w:val="24"/>
          <w:szCs w:val="24"/>
        </w:rPr>
      </w:pPr>
      <w:r>
        <w:rPr>
          <w:rFonts w:ascii="Open Sans" w:hAnsi="Open Sans" w:cs="Open Sans"/>
          <w:sz w:val="24"/>
          <w:szCs w:val="24"/>
        </w:rPr>
        <w:t>“</w:t>
      </w:r>
      <w:r w:rsidR="00616EA9" w:rsidRPr="0010507F">
        <w:rPr>
          <w:rFonts w:ascii="Open Sans" w:hAnsi="Open Sans" w:cs="Open Sans"/>
          <w:sz w:val="24"/>
          <w:szCs w:val="24"/>
        </w:rPr>
        <w:t>RECURSOS DE REVISTA. ACÓRDÃO PUBLICADO NA VIGÊNCIA DA LEI Nº 13.467/2017. PARTICIPAÇÃO NOS LUCROS E RESULTADOS DISPOSTA EM CLÁUSULA DE ACORDO EM DISSÍDIO COLETIVO DE GREVE. ANÁLISE CONJUNTA. TRANSCENDÊNCIA JURÍDICA RECONHECIDA. Cinge-se a controvérsia à verificação de cumprimento do acordado no Dissídio Coletivo de Greve nº 0011801-63.2015.5.00.0000, especialmente à aferição de Participação nos Lucros e Resultados. Discute-se se é devido o percentual de 25% da parcela apenas com base no atingimento do índice EBITDA (</w:t>
      </w:r>
      <w:proofErr w:type="spellStart"/>
      <w:r w:rsidR="00616EA9" w:rsidRPr="0010507F">
        <w:rPr>
          <w:rFonts w:ascii="Open Sans" w:hAnsi="Open Sans" w:cs="Open Sans"/>
          <w:i/>
          <w:sz w:val="24"/>
          <w:szCs w:val="24"/>
        </w:rPr>
        <w:t>Earnings</w:t>
      </w:r>
      <w:proofErr w:type="spellEnd"/>
      <w:r w:rsidR="00616EA9" w:rsidRPr="0010507F">
        <w:rPr>
          <w:rFonts w:ascii="Open Sans" w:hAnsi="Open Sans" w:cs="Open Sans"/>
          <w:i/>
          <w:sz w:val="24"/>
          <w:szCs w:val="24"/>
        </w:rPr>
        <w:t xml:space="preserve"> </w:t>
      </w:r>
      <w:proofErr w:type="spellStart"/>
      <w:r w:rsidR="00616EA9" w:rsidRPr="0010507F">
        <w:rPr>
          <w:rFonts w:ascii="Open Sans" w:hAnsi="Open Sans" w:cs="Open Sans"/>
          <w:i/>
          <w:sz w:val="24"/>
          <w:szCs w:val="24"/>
        </w:rPr>
        <w:t>Before</w:t>
      </w:r>
      <w:proofErr w:type="spellEnd"/>
      <w:r w:rsidR="00616EA9" w:rsidRPr="0010507F">
        <w:rPr>
          <w:rFonts w:ascii="Open Sans" w:hAnsi="Open Sans" w:cs="Open Sans"/>
          <w:i/>
          <w:sz w:val="24"/>
          <w:szCs w:val="24"/>
        </w:rPr>
        <w:t xml:space="preserve"> </w:t>
      </w:r>
      <w:proofErr w:type="spellStart"/>
      <w:r w:rsidR="00616EA9" w:rsidRPr="0010507F">
        <w:rPr>
          <w:rFonts w:ascii="Open Sans" w:hAnsi="Open Sans" w:cs="Open Sans"/>
          <w:i/>
          <w:sz w:val="24"/>
          <w:szCs w:val="24"/>
        </w:rPr>
        <w:t>Interest</w:t>
      </w:r>
      <w:proofErr w:type="spellEnd"/>
      <w:r w:rsidR="00616EA9" w:rsidRPr="0010507F">
        <w:rPr>
          <w:rFonts w:ascii="Open Sans" w:hAnsi="Open Sans" w:cs="Open Sans"/>
          <w:i/>
          <w:sz w:val="24"/>
          <w:szCs w:val="24"/>
        </w:rPr>
        <w:t xml:space="preserve"> </w:t>
      </w:r>
      <w:proofErr w:type="spellStart"/>
      <w:r w:rsidR="00616EA9" w:rsidRPr="0010507F">
        <w:rPr>
          <w:rFonts w:ascii="Open Sans" w:hAnsi="Open Sans" w:cs="Open Sans"/>
          <w:i/>
          <w:sz w:val="24"/>
          <w:szCs w:val="24"/>
        </w:rPr>
        <w:t>Taxation</w:t>
      </w:r>
      <w:proofErr w:type="spellEnd"/>
      <w:r w:rsidR="00616EA9" w:rsidRPr="0010507F">
        <w:rPr>
          <w:rFonts w:ascii="Open Sans" w:hAnsi="Open Sans" w:cs="Open Sans"/>
          <w:i/>
          <w:sz w:val="24"/>
          <w:szCs w:val="24"/>
        </w:rPr>
        <w:t xml:space="preserve"> </w:t>
      </w:r>
      <w:proofErr w:type="spellStart"/>
      <w:r w:rsidR="00616EA9" w:rsidRPr="0010507F">
        <w:rPr>
          <w:rFonts w:ascii="Open Sans" w:hAnsi="Open Sans" w:cs="Open Sans"/>
          <w:i/>
          <w:sz w:val="24"/>
          <w:szCs w:val="24"/>
        </w:rPr>
        <w:t>Depreciation</w:t>
      </w:r>
      <w:proofErr w:type="spellEnd"/>
      <w:r w:rsidR="00616EA9" w:rsidRPr="0010507F">
        <w:rPr>
          <w:rFonts w:ascii="Open Sans" w:hAnsi="Open Sans" w:cs="Open Sans"/>
          <w:i/>
          <w:sz w:val="24"/>
          <w:szCs w:val="24"/>
        </w:rPr>
        <w:t xml:space="preserve"> </w:t>
      </w:r>
      <w:proofErr w:type="spellStart"/>
      <w:r w:rsidR="00616EA9" w:rsidRPr="0010507F">
        <w:rPr>
          <w:rFonts w:ascii="Open Sans" w:hAnsi="Open Sans" w:cs="Open Sans"/>
          <w:i/>
          <w:sz w:val="24"/>
          <w:szCs w:val="24"/>
        </w:rPr>
        <w:t>Amortization</w:t>
      </w:r>
      <w:proofErr w:type="spellEnd"/>
      <w:r w:rsidR="00616EA9" w:rsidRPr="0010507F">
        <w:rPr>
          <w:rFonts w:ascii="Open Sans" w:hAnsi="Open Sans" w:cs="Open Sans"/>
          <w:sz w:val="24"/>
          <w:szCs w:val="24"/>
        </w:rPr>
        <w:t xml:space="preserve">) ou se é necessário que a empresa </w:t>
      </w:r>
      <w:r w:rsidR="00616EA9" w:rsidRPr="0010507F">
        <w:rPr>
          <w:rFonts w:ascii="Open Sans" w:hAnsi="Open Sans" w:cs="Open Sans"/>
          <w:i/>
          <w:sz w:val="24"/>
          <w:szCs w:val="24"/>
        </w:rPr>
        <w:t>holding</w:t>
      </w:r>
      <w:r w:rsidR="00616EA9" w:rsidRPr="0010507F">
        <w:rPr>
          <w:rFonts w:ascii="Open Sans" w:hAnsi="Open Sans" w:cs="Open Sans"/>
          <w:sz w:val="24"/>
          <w:szCs w:val="24"/>
        </w:rPr>
        <w:t xml:space="preserve"> tenha </w:t>
      </w:r>
      <w:proofErr w:type="gramStart"/>
      <w:r w:rsidR="00616EA9" w:rsidRPr="0010507F">
        <w:rPr>
          <w:rFonts w:ascii="Open Sans" w:hAnsi="Open Sans" w:cs="Open Sans"/>
          <w:sz w:val="24"/>
          <w:szCs w:val="24"/>
        </w:rPr>
        <w:t>auferido,</w:t>
      </w:r>
      <w:proofErr w:type="gramEnd"/>
      <w:r w:rsidR="00616EA9" w:rsidRPr="0010507F">
        <w:rPr>
          <w:rFonts w:ascii="Open Sans" w:hAnsi="Open Sans" w:cs="Open Sans"/>
          <w:sz w:val="24"/>
          <w:szCs w:val="24"/>
        </w:rPr>
        <w:t xml:space="preserve"> além do índice EBITDA, lucro líquido. O Tribunal Regional, acolhendo a pretensão do sindicato-autor, entendeu que mesmo a Reclamada Centrais Elétricas Brasileiras S.A. – Eletrobrás -, </w:t>
      </w:r>
      <w:r w:rsidR="00616EA9" w:rsidRPr="0010507F">
        <w:rPr>
          <w:rFonts w:ascii="Open Sans" w:hAnsi="Open Sans" w:cs="Open Sans"/>
          <w:i/>
          <w:sz w:val="24"/>
          <w:szCs w:val="24"/>
        </w:rPr>
        <w:t>holding</w:t>
      </w:r>
      <w:r w:rsidR="00616EA9" w:rsidRPr="0010507F">
        <w:rPr>
          <w:rFonts w:ascii="Open Sans" w:hAnsi="Open Sans" w:cs="Open Sans"/>
          <w:sz w:val="24"/>
          <w:szCs w:val="24"/>
        </w:rPr>
        <w:t>, não tenha auferido lucro líquido no ano de 2015, é devida a cota da PLR calculada sobre o índice EBITDA, considerando o atingimento do citado índice pela empresa. Eis o teor da cláusula objeto do acordo no dissídio coletivo de greve</w:t>
      </w:r>
      <w:r w:rsidR="00616EA9" w:rsidRPr="003E3836">
        <w:rPr>
          <w:rFonts w:ascii="Open Sans" w:hAnsi="Open Sans" w:cs="Open Sans"/>
          <w:sz w:val="24"/>
          <w:szCs w:val="24"/>
        </w:rPr>
        <w:t xml:space="preserve">: </w:t>
      </w:r>
      <w:r w:rsidR="008B2BC3" w:rsidRPr="003E3836">
        <w:rPr>
          <w:rFonts w:ascii="Open Sans" w:hAnsi="Open Sans" w:cs="Open Sans"/>
          <w:sz w:val="24"/>
          <w:szCs w:val="24"/>
        </w:rPr>
        <w:t>‘</w:t>
      </w:r>
      <w:r w:rsidR="00616EA9" w:rsidRPr="003E3836">
        <w:rPr>
          <w:rFonts w:ascii="Open Sans" w:hAnsi="Open Sans" w:cs="Open Sans"/>
          <w:sz w:val="24"/>
          <w:szCs w:val="24"/>
        </w:rPr>
        <w:t xml:space="preserve">1) será constituída neste ano de 2015 comissão paritária para fixação dos critérios de pagamento de PLR dos anos de 2015, 2016 ,2017 e 2018; 2) em se tratando de participação nos lucros e resultados, a parcela de resultados, não poderá ter qualquer condicionante a lucratividade das Empresas, sendo a PLR dividida da seguinte forma: a) para os anos de 2015 e 2016 , 50% da PLR baseadas nas metas operacionais (equivalente a </w:t>
      </w:r>
      <w:r w:rsidR="008B2BC3" w:rsidRPr="003E3836">
        <w:rPr>
          <w:rFonts w:ascii="Open Sans" w:hAnsi="Open Sans" w:cs="Open Sans"/>
          <w:sz w:val="24"/>
          <w:szCs w:val="24"/>
        </w:rPr>
        <w:t>‘</w:t>
      </w:r>
      <w:r w:rsidR="00616EA9" w:rsidRPr="003E3836">
        <w:rPr>
          <w:rFonts w:ascii="Open Sans" w:hAnsi="Open Sans" w:cs="Open Sans"/>
          <w:sz w:val="24"/>
          <w:szCs w:val="24"/>
        </w:rPr>
        <w:t>resultados</w:t>
      </w:r>
      <w:r w:rsidR="008B2BC3" w:rsidRPr="003E3836">
        <w:rPr>
          <w:rFonts w:ascii="Open Sans" w:hAnsi="Open Sans" w:cs="Open Sans"/>
          <w:sz w:val="24"/>
          <w:szCs w:val="24"/>
        </w:rPr>
        <w:t>’</w:t>
      </w:r>
      <w:r w:rsidR="00616EA9" w:rsidRPr="003E3836">
        <w:rPr>
          <w:rFonts w:ascii="Open Sans" w:hAnsi="Open Sans" w:cs="Open Sans"/>
          <w:sz w:val="24"/>
          <w:szCs w:val="24"/>
        </w:rPr>
        <w:t>) e 50% da PLR baseada na lucratividade, sendo metade calculada sobre a lucratividade da holding e metade calculada sobre o índice EBITDA</w:t>
      </w:r>
      <w:r w:rsidR="008B2BC3" w:rsidRPr="003E3836">
        <w:rPr>
          <w:rFonts w:ascii="Open Sans" w:hAnsi="Open Sans" w:cs="Open Sans"/>
          <w:sz w:val="24"/>
          <w:szCs w:val="24"/>
        </w:rPr>
        <w:t>’</w:t>
      </w:r>
      <w:r w:rsidR="00616EA9" w:rsidRPr="0010507F">
        <w:rPr>
          <w:rFonts w:ascii="Open Sans" w:hAnsi="Open Sans" w:cs="Open Sans"/>
          <w:sz w:val="24"/>
          <w:szCs w:val="24"/>
        </w:rPr>
        <w:t>. Nos termos do art. 2º, § 1º, da Lei nº 10.101/2000</w:t>
      </w:r>
      <w:r w:rsidR="00616EA9" w:rsidRPr="003E3836">
        <w:rPr>
          <w:rFonts w:ascii="Open Sans" w:hAnsi="Open Sans" w:cs="Open Sans"/>
          <w:sz w:val="24"/>
          <w:szCs w:val="24"/>
        </w:rPr>
        <w:t xml:space="preserve">, </w:t>
      </w:r>
      <w:r w:rsidR="008B2BC3" w:rsidRPr="003E3836">
        <w:rPr>
          <w:rFonts w:ascii="Open Sans" w:hAnsi="Open Sans" w:cs="Open Sans"/>
          <w:sz w:val="24"/>
          <w:szCs w:val="24"/>
        </w:rPr>
        <w:t>‘</w:t>
      </w:r>
      <w:r w:rsidR="00616EA9" w:rsidRPr="003E3836">
        <w:rPr>
          <w:rFonts w:ascii="Open Sans" w:hAnsi="Open Sans" w:cs="Open Sans"/>
          <w:sz w:val="24"/>
          <w:szCs w:val="24"/>
        </w:rPr>
        <w:t xml:space="preserve">a participação nos lucros ou resultados será objeto de negociação entre a empresa e seus empregados, mediante um dos procedimentos a seguir descritos, escolhidos pelas partes de comum acordo: I - comissão paritária escolhida pelas partes, integrada, também, por um representante indicado pelo sindicato </w:t>
      </w:r>
      <w:proofErr w:type="gramStart"/>
      <w:r w:rsidR="00616EA9" w:rsidRPr="003E3836">
        <w:rPr>
          <w:rFonts w:ascii="Open Sans" w:hAnsi="Open Sans" w:cs="Open Sans"/>
          <w:sz w:val="24"/>
          <w:szCs w:val="24"/>
        </w:rPr>
        <w:t>da</w:t>
      </w:r>
      <w:proofErr w:type="gramEnd"/>
      <w:r w:rsidR="00616EA9" w:rsidRPr="003E3836">
        <w:rPr>
          <w:rFonts w:ascii="Open Sans" w:hAnsi="Open Sans" w:cs="Open Sans"/>
          <w:sz w:val="24"/>
          <w:szCs w:val="24"/>
        </w:rPr>
        <w:t xml:space="preserve"> respectiva categoria; II - convenção ou acordo coletivo</w:t>
      </w:r>
      <w:r w:rsidR="008B2BC3" w:rsidRPr="003E3836">
        <w:rPr>
          <w:rFonts w:ascii="Open Sans" w:hAnsi="Open Sans" w:cs="Open Sans"/>
          <w:sz w:val="24"/>
          <w:szCs w:val="24"/>
        </w:rPr>
        <w:t>’</w:t>
      </w:r>
      <w:r w:rsidR="00616EA9" w:rsidRPr="003E3836">
        <w:rPr>
          <w:rFonts w:ascii="Open Sans" w:hAnsi="Open Sans" w:cs="Open Sans"/>
          <w:sz w:val="24"/>
          <w:szCs w:val="24"/>
        </w:rPr>
        <w:t xml:space="preserve">. Por sua vez, o § 1º do referido art. 2º da Lei nº 10.101/2000, dispõe que </w:t>
      </w:r>
      <w:r w:rsidR="008B2BC3" w:rsidRPr="003E3836">
        <w:rPr>
          <w:rFonts w:ascii="Open Sans" w:hAnsi="Open Sans" w:cs="Open Sans"/>
          <w:sz w:val="24"/>
          <w:szCs w:val="24"/>
        </w:rPr>
        <w:t>‘</w:t>
      </w:r>
      <w:r w:rsidR="00616EA9" w:rsidRPr="003E3836">
        <w:rPr>
          <w:rFonts w:ascii="Open Sans" w:hAnsi="Open Sans" w:cs="Open Sans"/>
          <w:sz w:val="24"/>
          <w:szCs w:val="24"/>
        </w:rPr>
        <w:t xml:space="preserve">dos instrumentos decorrentes da negociação deverão constar regras claras e objetivas quanto à fixação </w:t>
      </w:r>
      <w:r w:rsidR="00616EA9" w:rsidRPr="003E3836">
        <w:rPr>
          <w:rFonts w:ascii="Open Sans" w:hAnsi="Open Sans" w:cs="Open Sans"/>
          <w:sz w:val="24"/>
          <w:szCs w:val="24"/>
        </w:rPr>
        <w:lastRenderedPageBreak/>
        <w:t>dos direitos substantivos da participação e das regras adjetivas, inclusive mecanismos de aferição das informações pertinentes ao cumprimento do acordado, periodicidade da distribuição, período de vigência e prazos para revisão do acordo, podendo ser considerados, entre outros, os seguintes critérios e condições: I - índices de produtividade, qualidade ou lucratividade da empresa; II - programas de metas, resultados e prazos, pactuados previamente</w:t>
      </w:r>
      <w:r w:rsidR="008B2BC3" w:rsidRPr="003E3836">
        <w:rPr>
          <w:rFonts w:ascii="Open Sans" w:hAnsi="Open Sans" w:cs="Open Sans"/>
          <w:sz w:val="24"/>
          <w:szCs w:val="24"/>
        </w:rPr>
        <w:t>’</w:t>
      </w:r>
      <w:r w:rsidR="00616EA9" w:rsidRPr="003E3836">
        <w:rPr>
          <w:rFonts w:ascii="Open Sans" w:hAnsi="Open Sans" w:cs="Open Sans"/>
          <w:sz w:val="24"/>
          <w:szCs w:val="24"/>
        </w:rPr>
        <w:t>.</w:t>
      </w:r>
      <w:r w:rsidR="00616EA9" w:rsidRPr="0010507F">
        <w:rPr>
          <w:rFonts w:ascii="Open Sans" w:hAnsi="Open Sans" w:cs="Open Sans"/>
          <w:sz w:val="24"/>
          <w:szCs w:val="24"/>
        </w:rPr>
        <w:t xml:space="preserve"> Examinando o referido dispositivo legal, observa-se que a Participação nos Lucros ou Resultados - PLR - não exige como condição para seu pagamento a existência de lucro contábil efetivo. O pressuposto da parcela, desde que devidamente previsto em instrumento coletivo, é o cumprimento de metas e critérios objetivos previamente ajustados entre empresa e empregados, podendo abranger diversos indicadores de desempenho, como produtividade e qualidade. Nesse sentir, a ausência de lucro formal não invalida, por si só, a obrigação de pagamento da verba, desde que atingidos os parâmetros definidos no acordo firmado no dissídio coletivo de greve. Correta, assim, a conclusão da Corte Regional ao julgar procedente a pretensão, não obstante a transcendência jurídica da matéria. </w:t>
      </w:r>
      <w:proofErr w:type="gramStart"/>
      <w:r w:rsidR="00616EA9" w:rsidRPr="0010507F">
        <w:rPr>
          <w:rFonts w:ascii="Open Sans" w:hAnsi="Open Sans" w:cs="Open Sans"/>
          <w:sz w:val="24"/>
          <w:szCs w:val="24"/>
        </w:rPr>
        <w:t>Recursos de revista conhecidos e não providos.</w:t>
      </w:r>
      <w:r>
        <w:rPr>
          <w:rFonts w:ascii="Open Sans" w:hAnsi="Open Sans" w:cs="Open Sans"/>
          <w:sz w:val="24"/>
          <w:szCs w:val="24"/>
        </w:rPr>
        <w:t>”</w:t>
      </w:r>
      <w:proofErr w:type="gramEnd"/>
      <w:r w:rsidR="00616EA9" w:rsidRPr="0010507F">
        <w:rPr>
          <w:rFonts w:ascii="Open Sans" w:hAnsi="Open Sans" w:cs="Open Sans"/>
          <w:sz w:val="24"/>
          <w:szCs w:val="24"/>
        </w:rPr>
        <w:t xml:space="preserve"> (</w:t>
      </w:r>
      <w:hyperlink r:id="rId22" w:history="1">
        <w:r w:rsidR="00616EA9" w:rsidRPr="0010507F">
          <w:rPr>
            <w:rStyle w:val="Hyperlink"/>
            <w:rFonts w:ascii="Open Sans" w:hAnsi="Open Sans" w:cs="Open Sans"/>
            <w:sz w:val="24"/>
            <w:szCs w:val="24"/>
          </w:rPr>
          <w:t xml:space="preserve">TST-RR-100965-65.2018.5.01.0401, </w:t>
        </w:r>
        <w:r w:rsidR="00EE6DB1" w:rsidRPr="0010507F">
          <w:rPr>
            <w:rStyle w:val="Hyperlink"/>
            <w:rFonts w:ascii="Open Sans" w:hAnsi="Open Sans" w:cs="Open Sans"/>
            <w:sz w:val="24"/>
            <w:szCs w:val="24"/>
          </w:rPr>
          <w:t xml:space="preserve">5ª Turma, </w:t>
        </w:r>
        <w:r w:rsidR="00C773BF" w:rsidRPr="0010507F">
          <w:rPr>
            <w:rStyle w:val="Hyperlink"/>
            <w:rFonts w:ascii="Open Sans" w:hAnsi="Open Sans" w:cs="Open Sans"/>
            <w:sz w:val="24"/>
            <w:szCs w:val="24"/>
          </w:rPr>
          <w:t xml:space="preserve">rel. Min. </w:t>
        </w:r>
        <w:r w:rsidR="004B13CD" w:rsidRPr="0010507F">
          <w:rPr>
            <w:rStyle w:val="Hyperlink"/>
            <w:rFonts w:ascii="Open Sans" w:hAnsi="Open Sans" w:cs="Open Sans"/>
            <w:sz w:val="24"/>
            <w:szCs w:val="24"/>
          </w:rPr>
          <w:t xml:space="preserve">Breno Medeiros, </w:t>
        </w:r>
        <w:r w:rsidR="00141219" w:rsidRPr="0010507F">
          <w:rPr>
            <w:rStyle w:val="Hyperlink"/>
            <w:rFonts w:ascii="Open Sans" w:hAnsi="Open Sans" w:cs="Open Sans"/>
            <w:sz w:val="24"/>
            <w:szCs w:val="24"/>
          </w:rPr>
          <w:t>julgado em 17/9/2025</w:t>
        </w:r>
      </w:hyperlink>
      <w:r w:rsidR="00141219" w:rsidRPr="0010507F">
        <w:rPr>
          <w:rFonts w:ascii="Open Sans" w:hAnsi="Open Sans" w:cs="Open Sans"/>
          <w:sz w:val="24"/>
          <w:szCs w:val="24"/>
        </w:rPr>
        <w:t>)</w:t>
      </w:r>
    </w:p>
    <w:p w:rsidR="00D55F08" w:rsidRPr="0010507F" w:rsidRDefault="00D55F08" w:rsidP="00F76068">
      <w:pPr>
        <w:widowControl w:val="0"/>
        <w:suppressAutoHyphens/>
        <w:ind w:left="-255" w:right="340"/>
        <w:jc w:val="both"/>
        <w:rPr>
          <w:rFonts w:ascii="Open Sans" w:hAnsi="Open Sans"/>
          <w:sz w:val="24"/>
        </w:rPr>
      </w:pPr>
    </w:p>
    <w:p w:rsidR="00CE6EA4" w:rsidRPr="0010507F" w:rsidRDefault="00240F76" w:rsidP="00F76068">
      <w:pPr>
        <w:widowControl w:val="0"/>
        <w:suppressAutoHyphens/>
        <w:ind w:left="-255" w:right="340"/>
        <w:jc w:val="both"/>
        <w:rPr>
          <w:rFonts w:ascii="Open Sans" w:hAnsi="Open Sans"/>
          <w:sz w:val="24"/>
        </w:rPr>
      </w:pPr>
      <w:proofErr w:type="gramStart"/>
      <w:r>
        <w:rPr>
          <w:rFonts w:ascii="Open Sans" w:hAnsi="Open Sans"/>
          <w:sz w:val="24"/>
        </w:rPr>
        <w:t>“</w:t>
      </w:r>
      <w:r w:rsidR="007060F4" w:rsidRPr="0010507F">
        <w:rPr>
          <w:rFonts w:ascii="Open Sans" w:hAnsi="Open Sans"/>
          <w:sz w:val="24"/>
        </w:rPr>
        <w:t>RECURSO DE REVISTA DA EXECUTADA.</w:t>
      </w:r>
      <w:proofErr w:type="gramEnd"/>
      <w:r w:rsidR="007060F4" w:rsidRPr="0010507F">
        <w:rPr>
          <w:rFonts w:ascii="Open Sans" w:hAnsi="Open Sans"/>
          <w:sz w:val="24"/>
        </w:rPr>
        <w:t xml:space="preserve"> LEI Nº 13.467/2017. EXECUÇÃO. DESCUMPRIMENTO DE OBRIGAÇÃO DE FAZER. MULTA (ASTREINTES). NECESSIDADE DE CITAÇÃO NA FASE DE EXECUÇÃO. 1 – Deve ser reconhecida a transcendência jurídica quando se mostra aconselhável o exame mais detido da controvérsia devido às peculiaridades do caso concreto. O enfoque exegético da aferição dos indicadores de transcendência em princípio deve ser positivo, especialmente nos casos de alguma complexidade, em que se torna aconselhável o debate mais aprofundado da matéria. 2 -</w:t>
      </w:r>
      <w:r w:rsidR="007060F4" w:rsidRPr="0010507F">
        <w:rPr>
          <w:rFonts w:ascii="Open Sans" w:hAnsi="Open Sans"/>
          <w:b/>
          <w:sz w:val="24"/>
        </w:rPr>
        <w:t xml:space="preserve"> </w:t>
      </w:r>
      <w:r w:rsidR="007060F4" w:rsidRPr="0010507F">
        <w:rPr>
          <w:rFonts w:ascii="Open Sans" w:hAnsi="Open Sans"/>
          <w:sz w:val="24"/>
        </w:rPr>
        <w:t xml:space="preserve">A controvérsia cinge-se à necessidade, ou não, de citação prévia da parte, na execução, para o cumprimento de obrigação de fazer constante da sentença da fase de conhecimento que determinou a imediata reintegração do reclamante com o pagamento dos salários vencidos e vincendos e demais vantagens, cominando em multa diária de R$1.000,00, após o trânsito em julgado, na hipótese de descumprimento da obrigação de fazer, havendo o registro pelo TRT de não cumprimento da obrigação. 3 - A Corte Regional, ao reformar a sentença apenas para limitar o valor da multa cominatória a R$ 100.000,00 (cem mil reais), concluiu que seria desnecessária a intimação da executada, pois esta já tinha ciência da obrigação de fazer e da penalidade em caso de não cumprimento. A propósito, destacou </w:t>
      </w:r>
      <w:r w:rsidR="007060F4" w:rsidRPr="00240F76">
        <w:rPr>
          <w:rFonts w:ascii="Open Sans" w:hAnsi="Open Sans"/>
          <w:sz w:val="24"/>
        </w:rPr>
        <w:t xml:space="preserve">que </w:t>
      </w:r>
      <w:r w:rsidR="008B2BC3" w:rsidRPr="00240F76">
        <w:rPr>
          <w:rFonts w:ascii="Open Sans" w:hAnsi="Open Sans"/>
          <w:sz w:val="24"/>
        </w:rPr>
        <w:t>‘</w:t>
      </w:r>
      <w:r w:rsidR="007060F4" w:rsidRPr="00240F76">
        <w:rPr>
          <w:rFonts w:ascii="Open Sans" w:hAnsi="Open Sans"/>
          <w:sz w:val="24"/>
        </w:rPr>
        <w:t xml:space="preserve">a executada teve ciência dos parâmetros arbitrados no referido acórdão, desde que tomou ciência do mesmo, deixando de providenciar a reintegração do empregado, dentro do prazo fixado pelo referido acórdão, razão pela qual entendo não ter havido nenhuma nulidade na cobrança da </w:t>
      </w:r>
      <w:proofErr w:type="spellStart"/>
      <w:r w:rsidR="007060F4" w:rsidRPr="00240F76">
        <w:rPr>
          <w:rFonts w:ascii="Open Sans" w:hAnsi="Open Sans"/>
          <w:sz w:val="24"/>
        </w:rPr>
        <w:t>astreinte</w:t>
      </w:r>
      <w:proofErr w:type="spellEnd"/>
      <w:r w:rsidR="008B2BC3" w:rsidRPr="00240F76">
        <w:rPr>
          <w:rFonts w:ascii="Open Sans" w:hAnsi="Open Sans"/>
          <w:sz w:val="24"/>
        </w:rPr>
        <w:t>’</w:t>
      </w:r>
      <w:r w:rsidR="007060F4" w:rsidRPr="00240F76">
        <w:rPr>
          <w:rFonts w:ascii="Open Sans" w:hAnsi="Open Sans"/>
          <w:sz w:val="24"/>
        </w:rPr>
        <w:t>.</w:t>
      </w:r>
      <w:r w:rsidR="007060F4" w:rsidRPr="0010507F">
        <w:rPr>
          <w:rFonts w:ascii="Open Sans" w:hAnsi="Open Sans"/>
          <w:i/>
          <w:sz w:val="24"/>
        </w:rPr>
        <w:t xml:space="preserve"> </w:t>
      </w:r>
      <w:r w:rsidR="007060F4" w:rsidRPr="0010507F">
        <w:rPr>
          <w:rFonts w:ascii="Open Sans" w:hAnsi="Open Sans"/>
          <w:sz w:val="24"/>
        </w:rPr>
        <w:t xml:space="preserve">4 - Dispõe o art. 880 da CLT: </w:t>
      </w:r>
      <w:r w:rsidR="008B2BC3">
        <w:rPr>
          <w:rFonts w:ascii="Open Sans" w:hAnsi="Open Sans"/>
          <w:sz w:val="24"/>
        </w:rPr>
        <w:t>‘</w:t>
      </w:r>
      <w:r w:rsidR="007060F4" w:rsidRPr="0010507F">
        <w:rPr>
          <w:rFonts w:ascii="Open Sans" w:hAnsi="Open Sans"/>
          <w:sz w:val="24"/>
        </w:rPr>
        <w:t xml:space="preserve">Requerida a execução, o juiz ou presidente do tribunal mandará expedir mandado de citação do executado, a fim de que cumpra a decisão ou o acordo no prazo, pelo modo e sob as cominações estabelecidas ou, quando se tratar de pagamento em dinheiro, inclusive de contribuições sociais devidas à União, para que o faça em 48 (quarenta e oito) horas ou </w:t>
      </w:r>
      <w:proofErr w:type="gramStart"/>
      <w:r w:rsidR="007060F4" w:rsidRPr="0010507F">
        <w:rPr>
          <w:rFonts w:ascii="Open Sans" w:hAnsi="Open Sans"/>
          <w:sz w:val="24"/>
        </w:rPr>
        <w:t>garanta</w:t>
      </w:r>
      <w:proofErr w:type="gramEnd"/>
      <w:r w:rsidR="007060F4" w:rsidRPr="0010507F">
        <w:rPr>
          <w:rFonts w:ascii="Open Sans" w:hAnsi="Open Sans"/>
          <w:sz w:val="24"/>
        </w:rPr>
        <w:t xml:space="preserve"> a execução, sob pena de penhora. (Redação dada pela Lei nº 11.457, de </w:t>
      </w:r>
      <w:r w:rsidR="007060F4" w:rsidRPr="0010507F">
        <w:rPr>
          <w:rFonts w:ascii="Open Sans" w:hAnsi="Open Sans"/>
          <w:sz w:val="24"/>
        </w:rPr>
        <w:lastRenderedPageBreak/>
        <w:t xml:space="preserve">2007). 5 - Os princípios da celeridade, informalidade e efetividade que norteiam a Justiça do Trabalho não podem se sobrepor ao citado dispositivo, sob pena de criação de obrigação não prevista em lei. Ressalta-se, por oportuno, que nem mesmo o disposto no art. 832, §1º, da CLT, pode se sobrepujar à norma específica do processo de execução, que determina a citação. 6 - Com efeito, o rito no processo de trabalho, para a execução, é diferenciado, pois prevê a citação por via oficial de justiça ou edital inclusive (art. 880, § 2º, da CLT), tamanho é o prestígio do procedimento. 7 - A jurisprudência do TST firmou-se no sentido de que é necessária a prévia citação do executado no início da execução com vistas a permitir o cumprimento da obrigação imposta na sentença ou facultar-lhe garantir o juízo. Precedentes. 8 - A Súmula n° 410 do STJ consagrou o entendimento segundo o qual a </w:t>
      </w:r>
      <w:r w:rsidR="008B2BC3">
        <w:rPr>
          <w:rFonts w:ascii="Open Sans" w:hAnsi="Open Sans"/>
          <w:sz w:val="24"/>
        </w:rPr>
        <w:t>‘</w:t>
      </w:r>
      <w:r w:rsidR="007060F4" w:rsidRPr="0010507F">
        <w:rPr>
          <w:rFonts w:ascii="Open Sans" w:hAnsi="Open Sans"/>
          <w:sz w:val="24"/>
        </w:rPr>
        <w:t xml:space="preserve">prévia intimação pessoal do devedor constitui condição necessária para a cobrança de multa pelo descumprimento de obrigação de fazer ou não </w:t>
      </w:r>
      <w:proofErr w:type="gramStart"/>
      <w:r w:rsidR="007060F4" w:rsidRPr="0010507F">
        <w:rPr>
          <w:rFonts w:ascii="Open Sans" w:hAnsi="Open Sans"/>
          <w:sz w:val="24"/>
        </w:rPr>
        <w:t>fazer.</w:t>
      </w:r>
      <w:proofErr w:type="gramEnd"/>
      <w:r w:rsidR="008B2BC3">
        <w:rPr>
          <w:rFonts w:ascii="Open Sans" w:hAnsi="Open Sans"/>
          <w:sz w:val="24"/>
        </w:rPr>
        <w:t>’</w:t>
      </w:r>
      <w:r w:rsidR="007060F4" w:rsidRPr="0010507F">
        <w:rPr>
          <w:rFonts w:ascii="Open Sans" w:hAnsi="Open Sans"/>
          <w:sz w:val="24"/>
        </w:rPr>
        <w:t xml:space="preserve"> Há julgados do STJ. 9 - Nesse contexto, especificamente quanto à obrigação de fazer, exige-se, no início da execução, a expedição de mandado de citação para que a executada proceda ao cumprimento da decisão. Mesmo que, na fase de conhecimento, a parte tenha ciência de que a obrigação de fazer será exigida após certo prazo contado do trânsito em julgado, é primordial proceder à respectiva citação prévia nos moldes do artigo 880, </w:t>
      </w:r>
      <w:r w:rsidR="009A0B8A" w:rsidRPr="009A0B8A">
        <w:rPr>
          <w:rFonts w:ascii="Open Sans" w:hAnsi="Open Sans"/>
          <w:i/>
          <w:sz w:val="24"/>
        </w:rPr>
        <w:t>caput</w:t>
      </w:r>
      <w:r w:rsidR="007060F4" w:rsidRPr="0010507F">
        <w:rPr>
          <w:rFonts w:ascii="Open Sans" w:hAnsi="Open Sans"/>
          <w:sz w:val="24"/>
        </w:rPr>
        <w:t xml:space="preserve">, da CLT, para que ela tome ciência da data de trânsito em julgado e cumpra a obrigação imposta na sentença, porquanto não é possível impor-lhe o ônus de consultar diariamente o andamento processual até que a secretaria certifique nos autos a data do trânsito em julgado. 10 - No caso concreto, ao considerar desnecessária a intimação/citação da executada e aplicar-lhe a multa diária fixada na sentença, sob o fundamento de que ela já tinha ciência da obrigação de fazer e da multa diária por seu descumprimento, o TRT incorreu em violação do artigo 5°, LIV, da Constituição Federal.  11 - Conforme consignado no acórdão regional, o descumprimento da obrigação foi reconhecido e a multa diária imposta, a despeito de não ter sido realizada a prévia citação da executada para cumprir a obrigação. </w:t>
      </w:r>
      <w:proofErr w:type="gramStart"/>
      <w:r w:rsidR="007060F4" w:rsidRPr="0010507F">
        <w:rPr>
          <w:rFonts w:ascii="Open Sans" w:hAnsi="Open Sans"/>
          <w:sz w:val="24"/>
        </w:rPr>
        <w:t>12 - Recurso de revista de que se conhece e a que se dá provimento.</w:t>
      </w:r>
      <w:r>
        <w:rPr>
          <w:rFonts w:ascii="Open Sans" w:hAnsi="Open Sans"/>
          <w:sz w:val="24"/>
        </w:rPr>
        <w:t>”</w:t>
      </w:r>
      <w:proofErr w:type="gramEnd"/>
      <w:r w:rsidR="007060F4" w:rsidRPr="0010507F">
        <w:rPr>
          <w:rFonts w:ascii="Open Sans" w:hAnsi="Open Sans"/>
          <w:sz w:val="24"/>
        </w:rPr>
        <w:t xml:space="preserve"> (</w:t>
      </w:r>
      <w:hyperlink r:id="rId23" w:history="1">
        <w:r w:rsidR="007060F4" w:rsidRPr="0010507F">
          <w:rPr>
            <w:rStyle w:val="Hyperlink"/>
            <w:rFonts w:ascii="Open Sans" w:hAnsi="Open Sans"/>
            <w:sz w:val="24"/>
          </w:rPr>
          <w:t>TST-RR-400-30.2005.5.05.0016,</w:t>
        </w:r>
        <w:r w:rsidR="00295445" w:rsidRPr="0010507F">
          <w:rPr>
            <w:rStyle w:val="Hyperlink"/>
            <w:rFonts w:ascii="Open Sans" w:hAnsi="Open Sans"/>
            <w:sz w:val="24"/>
          </w:rPr>
          <w:t xml:space="preserve"> 6ª Turma, rel. Min. </w:t>
        </w:r>
        <w:r w:rsidR="00AB0F24" w:rsidRPr="0010507F">
          <w:rPr>
            <w:rStyle w:val="Hyperlink"/>
            <w:rFonts w:ascii="Open Sans" w:hAnsi="Open Sans"/>
            <w:sz w:val="24"/>
          </w:rPr>
          <w:t>Kátia Magalhães Arruda, julgado em 10/9/2025</w:t>
        </w:r>
      </w:hyperlink>
      <w:r w:rsidR="00AB0F24" w:rsidRPr="0010507F">
        <w:rPr>
          <w:rFonts w:ascii="Open Sans" w:hAnsi="Open Sans"/>
          <w:sz w:val="24"/>
        </w:rPr>
        <w:t>)</w:t>
      </w:r>
    </w:p>
    <w:p w:rsidR="005A3BA6" w:rsidRPr="0010507F" w:rsidRDefault="005A3BA6" w:rsidP="00F76068">
      <w:pPr>
        <w:widowControl w:val="0"/>
        <w:suppressAutoHyphens/>
        <w:ind w:left="-255" w:right="340"/>
        <w:jc w:val="both"/>
        <w:rPr>
          <w:rFonts w:ascii="Open Sans" w:hAnsi="Open Sans"/>
          <w:sz w:val="24"/>
        </w:rPr>
      </w:pPr>
    </w:p>
    <w:p w:rsidR="00AD69AA" w:rsidRPr="0010507F" w:rsidRDefault="00100430" w:rsidP="00F76068">
      <w:pPr>
        <w:widowControl w:val="0"/>
        <w:suppressAutoHyphens/>
        <w:ind w:left="-255" w:right="340"/>
        <w:jc w:val="both"/>
        <w:rPr>
          <w:rFonts w:ascii="Open Sans" w:hAnsi="Open Sans"/>
          <w:bCs/>
          <w:sz w:val="24"/>
        </w:rPr>
      </w:pPr>
      <w:r>
        <w:rPr>
          <w:rFonts w:ascii="Open Sans" w:hAnsi="Open Sans"/>
          <w:sz w:val="24"/>
        </w:rPr>
        <w:t>“</w:t>
      </w:r>
      <w:r w:rsidR="00AE69E7" w:rsidRPr="0010507F">
        <w:rPr>
          <w:rFonts w:ascii="Open Sans" w:hAnsi="Open Sans"/>
          <w:sz w:val="24"/>
        </w:rPr>
        <w:t xml:space="preserve">[...] III – RECURSO DE REVISTA. RECLAMADO. LEI 13.467/2017. EMPREGADA PÚBLICA, MÃE DE CRIANÇA COM TRANSTORNO DO ESPECTRO AUTISTA. REDUÇÃO DE JORNADA, SEM DIMINUIÇÃO DA REMUNERAÇÃO. DEVIDA, CONFORME INTERPRETAÇÃO CONFERIDA AO DISPOSITIVO DE LEI APLICÁVEL POR ANALOGIA AO CASO DOS AUTOS. NECESSÁRIA OBSERVÂNCIA DOS PRINCÍPIOS QUE REGEM A ADMINISTRAÇÃO PÚBLICA O QUE IMPEDE, NO CASO ESPECÍFICO, A REDUÇÃO DE JORNADA NO PERCENTUAL DE 50%. </w:t>
      </w:r>
      <w:r w:rsidR="00940C56" w:rsidRPr="0010507F">
        <w:rPr>
          <w:rFonts w:ascii="Open Sans" w:hAnsi="Open Sans"/>
          <w:sz w:val="24"/>
        </w:rPr>
        <w:t xml:space="preserve">1 – O TRT manteve a sentença que deferiu à reclamante redução de jornada sem redução de remuneração. Como bem pontuado pelo Tribunal Regional, a jurisprudência majoritária desta Corte tem adotado o entendimento de que os empregados cujos filhos sejam pessoas com deficiência, a exemplo das que sejam diagnosticadas com transtorno do espectro autista (TEA), têm direito subjetivo à redução da jornada de trabalho pelo tempo necessário ao oferecimento dos cuidados necessários ao filho, sem redução da sua remuneração pelo tempo correspondente, </w:t>
      </w:r>
      <w:r w:rsidR="00940C56" w:rsidRPr="0010507F">
        <w:rPr>
          <w:rFonts w:ascii="Open Sans" w:hAnsi="Open Sans"/>
          <w:sz w:val="24"/>
        </w:rPr>
        <w:lastRenderedPageBreak/>
        <w:t xml:space="preserve">quando a extensão da carga horária original represente séria dificuldade ao cumprimento efetivo, e com qualidade, dos deveres familiares consistentes nos cuidados básicos de pessoa com deficiência que necessite de assistência direta. </w:t>
      </w:r>
      <w:proofErr w:type="gramStart"/>
      <w:r w:rsidR="00940C56" w:rsidRPr="0010507F">
        <w:rPr>
          <w:rFonts w:ascii="Open Sans" w:hAnsi="Open Sans"/>
          <w:sz w:val="24"/>
        </w:rPr>
        <w:t>Julgados .</w:t>
      </w:r>
      <w:proofErr w:type="gramEnd"/>
      <w:r w:rsidR="00940C56" w:rsidRPr="0010507F">
        <w:rPr>
          <w:rFonts w:ascii="Open Sans" w:hAnsi="Open Sans"/>
          <w:sz w:val="24"/>
        </w:rPr>
        <w:t xml:space="preserve"> 2 - O Estatuto da Pessoa com Deficiência (Lei n. 13.146 /2015), aplicável à pessoa com transtorno do espectro autista por força do art. 1°, § 2°, da Lei n. 12.764 /2012, consagra o dever de proteção prioritária e efetiva da pessoa com deficiência, relativamente a todas as dimensões de seus direitos humanos, como elemento integrante do complexo de obrigações jurídicas de toda a sociedade, bem como do Estado, nos seguintes termos: </w:t>
      </w:r>
      <w:r w:rsidR="008B2BC3">
        <w:rPr>
          <w:rFonts w:ascii="Open Sans" w:hAnsi="Open Sans"/>
          <w:sz w:val="24"/>
        </w:rPr>
        <w:t>‘</w:t>
      </w:r>
      <w:r w:rsidR="00940C56" w:rsidRPr="0010507F">
        <w:rPr>
          <w:rFonts w:ascii="Open Sans" w:hAnsi="Open Sans"/>
          <w:sz w:val="24"/>
        </w:rPr>
        <w:t xml:space="preserve">Art. 8°. É dever do Estado, da sociedade e da família assegurar à pessoa com deficiência, com prioridade, a efetivação dos direitos referentes à vida, à saúde, à sexualidade, à paternidade e à maternidade, à alimentação, à habitação, à educação, à profissionalização, ao trabalho, à previdência social, à habilitação e à reabilitação, ao transporte, à acessibilidade, à cultura, ao desporto, ao turismo, ao lazer, à informação, à comunicação, aos avanços científicos e tecnológicos, à dignidade, ao respeito, à liberdade, à convivência familiar e comunitária, entre outros decorrentes da Constituição Federal, da Convenção sobre os Direitos das Pessoas com Deficiência e seu Protocolo Facultativo e das leis e de outras normas que garantam seu bem-estar pessoal, social e econômico. 3 - Ademais, a Convenção Americana de Direitos Humanos (Pacto de San José da Costa Rica), no Capítulo V de sua Parte I, enuncia os deveres do ser humano em relação aos demais: </w:t>
      </w:r>
      <w:r w:rsidR="008B2BC3">
        <w:rPr>
          <w:rFonts w:ascii="Open Sans" w:hAnsi="Open Sans"/>
          <w:sz w:val="24"/>
        </w:rPr>
        <w:t>‘</w:t>
      </w:r>
      <w:r w:rsidR="00940C56" w:rsidRPr="0010507F">
        <w:rPr>
          <w:rFonts w:ascii="Open Sans" w:hAnsi="Open Sans"/>
          <w:sz w:val="24"/>
        </w:rPr>
        <w:t xml:space="preserve">CAPÍTULO V Deveres das Pessoas ARTIGO 32 Correlação entre Deveres e Direitos </w:t>
      </w:r>
      <w:proofErr w:type="gramStart"/>
      <w:r w:rsidR="00940C56" w:rsidRPr="0010507F">
        <w:rPr>
          <w:rFonts w:ascii="Open Sans" w:hAnsi="Open Sans"/>
          <w:sz w:val="24"/>
        </w:rPr>
        <w:t>1</w:t>
      </w:r>
      <w:proofErr w:type="gramEnd"/>
      <w:r w:rsidR="00940C56" w:rsidRPr="0010507F">
        <w:rPr>
          <w:rFonts w:ascii="Open Sans" w:hAnsi="Open Sans"/>
          <w:sz w:val="24"/>
        </w:rPr>
        <w:t xml:space="preserve">. Toda pessoa tem deveres para com a família, a comunidade e a humanidade. 2. Os direitos de cada pessoa são limitados pelos direitos dos demais, pela segurança de todos e pelas justas exigências do bem comum, numa sociedade </w:t>
      </w:r>
      <w:proofErr w:type="gramStart"/>
      <w:r w:rsidR="00940C56" w:rsidRPr="0010507F">
        <w:rPr>
          <w:rFonts w:ascii="Open Sans" w:hAnsi="Open Sans"/>
          <w:sz w:val="24"/>
        </w:rPr>
        <w:t>democrática.</w:t>
      </w:r>
      <w:proofErr w:type="gramEnd"/>
      <w:r w:rsidR="008B2BC3">
        <w:rPr>
          <w:rFonts w:ascii="Open Sans" w:hAnsi="Open Sans"/>
          <w:sz w:val="24"/>
        </w:rPr>
        <w:t>’</w:t>
      </w:r>
      <w:r w:rsidR="00940C56" w:rsidRPr="0010507F">
        <w:rPr>
          <w:rFonts w:ascii="Open Sans" w:hAnsi="Open Sans"/>
          <w:sz w:val="24"/>
        </w:rPr>
        <w:t xml:space="preserve"> 4 - Ainda, o art. XXXV da Declaração Americana de Direitos e Deveres do Homem, cujo núcleo informa a interpretação e a substância dos direitos fundamentais no direito brasileiro (cláusula de abertura material do art. 5°, § 2°, da Constituição Federal), estabelece, como dever de todo ser humano, o de cooperar com a coletividade a fim de concretizar a assistência social, na medida de suas possibilidades: </w:t>
      </w:r>
      <w:r w:rsidR="008B2BC3">
        <w:rPr>
          <w:rFonts w:ascii="Open Sans" w:hAnsi="Open Sans"/>
          <w:sz w:val="24"/>
        </w:rPr>
        <w:t>‘</w:t>
      </w:r>
      <w:r w:rsidR="00940C56" w:rsidRPr="0010507F">
        <w:rPr>
          <w:rFonts w:ascii="Open Sans" w:hAnsi="Open Sans"/>
          <w:sz w:val="24"/>
        </w:rPr>
        <w:t xml:space="preserve">Artigo XXXV. Toda pessoa está obrigada a cooperar com o Estado e com a coletividade na assistência e previdência sociais, de acordo com as suas possibilidades e com as </w:t>
      </w:r>
      <w:proofErr w:type="gramStart"/>
      <w:r w:rsidR="00940C56" w:rsidRPr="0010507F">
        <w:rPr>
          <w:rFonts w:ascii="Open Sans" w:hAnsi="Open Sans"/>
          <w:sz w:val="24"/>
        </w:rPr>
        <w:t>circunstâncias.</w:t>
      </w:r>
      <w:proofErr w:type="gramEnd"/>
      <w:r w:rsidR="008B2BC3">
        <w:rPr>
          <w:rFonts w:ascii="Open Sans" w:hAnsi="Open Sans"/>
          <w:sz w:val="24"/>
        </w:rPr>
        <w:t>’</w:t>
      </w:r>
      <w:r w:rsidR="00940C56" w:rsidRPr="0010507F">
        <w:rPr>
          <w:rFonts w:ascii="Open Sans" w:hAnsi="Open Sans"/>
          <w:sz w:val="24"/>
        </w:rPr>
        <w:t xml:space="preserve"> </w:t>
      </w:r>
      <w:r w:rsidR="005D3E7A" w:rsidRPr="0010507F">
        <w:rPr>
          <w:rFonts w:ascii="Open Sans" w:hAnsi="Open Sans"/>
          <w:sz w:val="24"/>
        </w:rPr>
        <w:t xml:space="preserve">5 - O ordenamento jurídico brasileiro ostenta, outrossim, em hierarquia constitucional, a função social da propriedade como princípio da ordem econômica, cujas existência e estruturação são condicionadas à valorização do trabalho humano e à preocupação com a existência digna de toda pessoa, em conformidade com a justiça social: </w:t>
      </w:r>
      <w:r w:rsidR="008B2BC3">
        <w:rPr>
          <w:rFonts w:ascii="Open Sans" w:hAnsi="Open Sans"/>
          <w:sz w:val="24"/>
        </w:rPr>
        <w:t>‘</w:t>
      </w:r>
      <w:r w:rsidR="005D3E7A" w:rsidRPr="0010507F">
        <w:rPr>
          <w:rFonts w:ascii="Open Sans" w:hAnsi="Open Sans"/>
          <w:sz w:val="24"/>
        </w:rPr>
        <w:t xml:space="preserve">Art. 170. A ordem econômica, fundada na valorização do trabalho humano e na livre iniciativa, tem por fim assegurar a todos existência digna, conforme os ditames da justiça social, observados os seguintes princípios: (...) III - função social da </w:t>
      </w:r>
      <w:proofErr w:type="gramStart"/>
      <w:r w:rsidR="005D3E7A" w:rsidRPr="0010507F">
        <w:rPr>
          <w:rFonts w:ascii="Open Sans" w:hAnsi="Open Sans"/>
          <w:sz w:val="24"/>
        </w:rPr>
        <w:t>propriedade;</w:t>
      </w:r>
      <w:proofErr w:type="gramEnd"/>
      <w:r w:rsidR="008B2BC3">
        <w:rPr>
          <w:rFonts w:ascii="Open Sans" w:hAnsi="Open Sans"/>
          <w:sz w:val="24"/>
        </w:rPr>
        <w:t>’</w:t>
      </w:r>
      <w:r w:rsidR="005D3E7A" w:rsidRPr="0010507F">
        <w:rPr>
          <w:rFonts w:ascii="Open Sans" w:hAnsi="Open Sans"/>
          <w:sz w:val="24"/>
        </w:rPr>
        <w:t xml:space="preserve"> 6 - A Convenção Internacional sobre os Direitos da Pessoa com Deficiência, integrada ao ordenamento jurídico nacional como emenda constitucional (art. 5°, § 3°, Constituição Federal), estabelece como princípio </w:t>
      </w:r>
      <w:r w:rsidR="008B2BC3">
        <w:rPr>
          <w:rFonts w:ascii="Open Sans" w:hAnsi="Open Sans"/>
          <w:sz w:val="24"/>
        </w:rPr>
        <w:t>‘</w:t>
      </w:r>
      <w:r w:rsidR="005D3E7A" w:rsidRPr="0010507F">
        <w:rPr>
          <w:rFonts w:ascii="Open Sans" w:hAnsi="Open Sans"/>
          <w:sz w:val="24"/>
        </w:rPr>
        <w:t>o respeito pelo desenvolvimento das capacidades das crianças com deficiência e pelo direito das crianças com deficiência de preservar sua identidade</w:t>
      </w:r>
      <w:r w:rsidR="008B2BC3">
        <w:rPr>
          <w:rFonts w:ascii="Open Sans" w:hAnsi="Open Sans"/>
          <w:sz w:val="24"/>
        </w:rPr>
        <w:t>’</w:t>
      </w:r>
      <w:r w:rsidR="005D3E7A" w:rsidRPr="0010507F">
        <w:rPr>
          <w:rFonts w:ascii="Open Sans" w:hAnsi="Open Sans"/>
          <w:sz w:val="24"/>
        </w:rPr>
        <w:t xml:space="preserve"> (art. 3, </w:t>
      </w:r>
      <w:r w:rsidR="008B2BC3">
        <w:rPr>
          <w:rFonts w:ascii="Open Sans" w:hAnsi="Open Sans"/>
          <w:sz w:val="24"/>
        </w:rPr>
        <w:t>‘</w:t>
      </w:r>
      <w:r w:rsidR="005D3E7A" w:rsidRPr="0010507F">
        <w:rPr>
          <w:rFonts w:ascii="Open Sans" w:hAnsi="Open Sans"/>
          <w:sz w:val="24"/>
        </w:rPr>
        <w:t>h</w:t>
      </w:r>
      <w:r w:rsidR="008B2BC3">
        <w:rPr>
          <w:rFonts w:ascii="Open Sans" w:hAnsi="Open Sans"/>
          <w:sz w:val="24"/>
        </w:rPr>
        <w:t>’</w:t>
      </w:r>
      <w:r w:rsidR="005D3E7A" w:rsidRPr="0010507F">
        <w:rPr>
          <w:rFonts w:ascii="Open Sans" w:hAnsi="Open Sans"/>
          <w:sz w:val="24"/>
        </w:rPr>
        <w:t xml:space="preserve">). Ademais, seu art. 7.2. </w:t>
      </w:r>
      <w:proofErr w:type="gramStart"/>
      <w:r w:rsidR="005D3E7A" w:rsidRPr="0010507F">
        <w:rPr>
          <w:rFonts w:ascii="Open Sans" w:hAnsi="Open Sans"/>
          <w:sz w:val="24"/>
        </w:rPr>
        <w:t>estabelece</w:t>
      </w:r>
      <w:proofErr w:type="gramEnd"/>
      <w:r w:rsidR="005D3E7A" w:rsidRPr="0010507F">
        <w:rPr>
          <w:rFonts w:ascii="Open Sans" w:hAnsi="Open Sans"/>
          <w:sz w:val="24"/>
        </w:rPr>
        <w:t xml:space="preserve"> que </w:t>
      </w:r>
      <w:r w:rsidR="008B2BC3">
        <w:rPr>
          <w:rFonts w:ascii="Open Sans" w:hAnsi="Open Sans"/>
          <w:sz w:val="24"/>
        </w:rPr>
        <w:t>‘</w:t>
      </w:r>
      <w:r w:rsidR="005D3E7A" w:rsidRPr="0010507F">
        <w:rPr>
          <w:rFonts w:ascii="Open Sans" w:hAnsi="Open Sans"/>
          <w:sz w:val="24"/>
        </w:rPr>
        <w:t xml:space="preserve">em todas as ações relativas às crianças com deficiência, o superior interesse da criança receberá </w:t>
      </w:r>
      <w:r w:rsidR="005D3E7A" w:rsidRPr="0010507F">
        <w:rPr>
          <w:rFonts w:ascii="Open Sans" w:hAnsi="Open Sans"/>
          <w:sz w:val="24"/>
        </w:rPr>
        <w:lastRenderedPageBreak/>
        <w:t>consideração primordial</w:t>
      </w:r>
      <w:r w:rsidR="008B2BC3">
        <w:rPr>
          <w:rFonts w:ascii="Open Sans" w:hAnsi="Open Sans"/>
          <w:sz w:val="24"/>
        </w:rPr>
        <w:t>’</w:t>
      </w:r>
      <w:r w:rsidR="005D3E7A" w:rsidRPr="0010507F">
        <w:rPr>
          <w:rFonts w:ascii="Open Sans" w:hAnsi="Open Sans"/>
          <w:sz w:val="24"/>
        </w:rPr>
        <w:t xml:space="preserve">. 7 - A abordagem desses diplomas normativos, quer de força normativa supralegal ou constitucional, quer de caráter predominantemente axiológico, demonstra que a exigibilidade de redução de jornada em favor de empregado que possua filho com deficiência constitui questão jurídica que, certamente, não se limita aos aspectos simplesmente legais e contratuais da relação de emprego. Denota-se, ainda, que a imperatividade de tratamento prioritário à pessoa com deficiência, como se denota do precedente com repercussão geral reconhecida do STF, foi capaz de atenuar a rigidez do princípio constitucional da legalidade, que orienta a Administração Pública como elemento fundamental à sua organização. 8 - O caso em exame ilustra circunstância em que a proteção do trabalhador configura etapa imprescindível à tutela prioritária da pessoa com deficiência que dela depende diretamente, e cujo cuidado responsável constitui dever jurídico constitucional (art. 229 da Constituição Federal). Nesse aspecto, correta a decisão do Tribunal de origem. 9 – Não obstante, é incontroverso nos autos que a reclamante já possui jornada reduzida em relação aos trabalhadores em geral (180 horas mensais - 6 horas diárias, escala 6 X 1), tendo sido deferida redução de 50% na jornada de trabalho (ou seja, determinando-se o cumprimento de 90 horas mensais - 18 horas semanais). Nesse contexto, foi deferido à reclamante mais do que seria deferido aos efetivos destinatários do art. 98, §§ 2º e 3º, da Lei n.º 8.112/90 - cuja aplicação analógica serviu de embasamento à condenação. Isso porque, como em geral estão sujeitos a jornada de 40 horas semanais, eventual redução em 50% ensejaria uma jornada de 20 horas semanais. 10 – Ocorre que o reclamado, como integrante da Administração Pública Indireta </w:t>
      </w:r>
      <w:proofErr w:type="gramStart"/>
      <w:r w:rsidR="005D3E7A" w:rsidRPr="0010507F">
        <w:rPr>
          <w:rFonts w:ascii="Open Sans" w:hAnsi="Open Sans"/>
          <w:sz w:val="24"/>
        </w:rPr>
        <w:t>sujeita-se</w:t>
      </w:r>
      <w:proofErr w:type="gramEnd"/>
      <w:r w:rsidR="005D3E7A" w:rsidRPr="0010507F">
        <w:rPr>
          <w:rFonts w:ascii="Open Sans" w:hAnsi="Open Sans"/>
          <w:sz w:val="24"/>
        </w:rPr>
        <w:t xml:space="preserve">, dentre outros, aos princípios estabelecidos no art. 37, </w:t>
      </w:r>
      <w:r w:rsidR="009A0B8A" w:rsidRPr="009A0B8A">
        <w:rPr>
          <w:rFonts w:ascii="Open Sans" w:hAnsi="Open Sans"/>
          <w:i/>
          <w:sz w:val="24"/>
        </w:rPr>
        <w:t>caput</w:t>
      </w:r>
      <w:r w:rsidR="005D3E7A" w:rsidRPr="0010507F">
        <w:rPr>
          <w:rFonts w:ascii="Open Sans" w:hAnsi="Open Sans"/>
          <w:sz w:val="24"/>
        </w:rPr>
        <w:t xml:space="preserve">, da Constituição Federal: legalidade, impessoalidade, moralidade, publicidade e eficiência. Ressalte-se também </w:t>
      </w:r>
      <w:r w:rsidR="005E30D1" w:rsidRPr="0010507F">
        <w:rPr>
          <w:rFonts w:ascii="Open Sans" w:hAnsi="Open Sans"/>
          <w:sz w:val="24"/>
        </w:rPr>
        <w:t xml:space="preserve">o art. 8º da CLT, segundo o qual </w:t>
      </w:r>
      <w:r w:rsidR="008B2BC3">
        <w:rPr>
          <w:rFonts w:ascii="Open Sans" w:hAnsi="Open Sans"/>
          <w:sz w:val="24"/>
        </w:rPr>
        <w:t>‘</w:t>
      </w:r>
      <w:r w:rsidR="005E30D1" w:rsidRPr="0010507F">
        <w:rPr>
          <w:rFonts w:ascii="Open Sans" w:hAnsi="Open Sans"/>
          <w:sz w:val="24"/>
        </w:rPr>
        <w:t>nenhum interesse de classe ou particular prevaleça sobre o interesse público</w:t>
      </w:r>
      <w:r w:rsidR="008B2BC3">
        <w:rPr>
          <w:rFonts w:ascii="Open Sans" w:hAnsi="Open Sans"/>
          <w:sz w:val="24"/>
        </w:rPr>
        <w:t>’</w:t>
      </w:r>
      <w:r w:rsidR="005E30D1" w:rsidRPr="0010507F">
        <w:rPr>
          <w:rFonts w:ascii="Open Sans" w:hAnsi="Open Sans"/>
          <w:sz w:val="24"/>
        </w:rPr>
        <w:t xml:space="preserve">. 11 – Nesse contexto, há de se aplicar com ponderação e equilíbrio o art. 98, § 3º, da Lei n.º 8.112/90 a fim de que, de um lado, seja garantida proteção à criança ou ao adolescente necessitados de cuidados especiais por sua genitora e, de outro, não seja prejudicada a prestação eficiente dos serviços públicos à população. Sob esse enfoque, o deferimento de redução de jornada em quantitativo superior ao que seria devido ao efetivo destinatário da norma aplicada por analogia aos autos, viola o art. 37, </w:t>
      </w:r>
      <w:r w:rsidR="009A0B8A" w:rsidRPr="009A0B8A">
        <w:rPr>
          <w:rFonts w:ascii="Open Sans" w:hAnsi="Open Sans"/>
          <w:i/>
          <w:sz w:val="24"/>
        </w:rPr>
        <w:t>caput</w:t>
      </w:r>
      <w:r w:rsidR="005E30D1" w:rsidRPr="0010507F">
        <w:rPr>
          <w:rFonts w:ascii="Open Sans" w:hAnsi="Open Sans"/>
          <w:sz w:val="24"/>
        </w:rPr>
        <w:t xml:space="preserve">, da Constituição Federal (princípios da legalidade e eficiência) e o art. 8º da CLT. 12 – Assim, ajusta-se a redução da jornada para 20 horas semanais, medida que concilia a observância ao limite razoável de aplicação do art. 98, § 3º, da Lei nº 8.112/90, com a necessária proteção ao menor e a preservação da eficiência na prestação do serviço público. </w:t>
      </w:r>
      <w:proofErr w:type="gramStart"/>
      <w:r w:rsidR="005E30D1" w:rsidRPr="0010507F">
        <w:rPr>
          <w:rFonts w:ascii="Open Sans" w:hAnsi="Open Sans"/>
          <w:sz w:val="24"/>
        </w:rPr>
        <w:t>13 – Recurso de revista de que se conhece e a que se dá parcial provimento.</w:t>
      </w:r>
      <w:r>
        <w:rPr>
          <w:rFonts w:ascii="Open Sans" w:hAnsi="Open Sans"/>
          <w:sz w:val="24"/>
        </w:rPr>
        <w:t>”</w:t>
      </w:r>
      <w:proofErr w:type="gramEnd"/>
      <w:r w:rsidR="005E30D1" w:rsidRPr="0010507F">
        <w:rPr>
          <w:rFonts w:ascii="Open Sans" w:hAnsi="Open Sans"/>
          <w:sz w:val="24"/>
        </w:rPr>
        <w:t xml:space="preserve"> (</w:t>
      </w:r>
      <w:hyperlink r:id="rId24" w:anchor="22f084c" w:history="1">
        <w:r w:rsidR="005E30D1" w:rsidRPr="0010507F">
          <w:rPr>
            <w:rStyle w:val="Hyperlink"/>
            <w:rFonts w:ascii="Open Sans" w:hAnsi="Open Sans"/>
            <w:sz w:val="24"/>
          </w:rPr>
          <w:t xml:space="preserve">TST-RRAg-0020921-66.2022.5.04.0003, </w:t>
        </w:r>
        <w:r w:rsidR="00AD69AA" w:rsidRPr="0010507F">
          <w:rPr>
            <w:rStyle w:val="Hyperlink"/>
            <w:rFonts w:ascii="Open Sans" w:hAnsi="Open Sans"/>
            <w:sz w:val="24"/>
          </w:rPr>
          <w:t xml:space="preserve">6ª Turma, rel. Min. </w:t>
        </w:r>
        <w:r w:rsidR="00AD69AA" w:rsidRPr="0010507F">
          <w:rPr>
            <w:rStyle w:val="Hyperlink"/>
            <w:rFonts w:ascii="Open Sans" w:hAnsi="Open Sans"/>
            <w:bCs/>
            <w:sz w:val="24"/>
          </w:rPr>
          <w:t xml:space="preserve">Kátia Magalhães Arruda, </w:t>
        </w:r>
        <w:r w:rsidR="008E3562" w:rsidRPr="0010507F">
          <w:rPr>
            <w:rStyle w:val="Hyperlink"/>
            <w:rFonts w:ascii="Open Sans" w:hAnsi="Open Sans"/>
            <w:bCs/>
            <w:sz w:val="24"/>
          </w:rPr>
          <w:t>julgado em 10/9/2025</w:t>
        </w:r>
      </w:hyperlink>
      <w:r w:rsidR="008E3562" w:rsidRPr="0010507F">
        <w:rPr>
          <w:rFonts w:ascii="Open Sans" w:hAnsi="Open Sans"/>
          <w:bCs/>
          <w:sz w:val="24"/>
        </w:rPr>
        <w:t>)</w:t>
      </w:r>
    </w:p>
    <w:p w:rsidR="00B419B5" w:rsidRPr="0010507F" w:rsidRDefault="00B419B5" w:rsidP="00F76068">
      <w:pPr>
        <w:widowControl w:val="0"/>
        <w:suppressAutoHyphens/>
        <w:ind w:left="-255" w:right="340"/>
        <w:jc w:val="both"/>
        <w:rPr>
          <w:rFonts w:ascii="Open Sans" w:hAnsi="Open Sans"/>
          <w:bCs/>
          <w:sz w:val="24"/>
        </w:rPr>
      </w:pPr>
    </w:p>
    <w:p w:rsidR="0025205C" w:rsidRPr="0010507F" w:rsidRDefault="00DE478C" w:rsidP="00F76068">
      <w:pPr>
        <w:widowControl w:val="0"/>
        <w:suppressAutoHyphens/>
        <w:ind w:left="-255" w:right="340"/>
        <w:jc w:val="both"/>
        <w:rPr>
          <w:rFonts w:ascii="Open Sans" w:hAnsi="Open Sans"/>
          <w:bCs/>
          <w:sz w:val="24"/>
        </w:rPr>
      </w:pPr>
      <w:r w:rsidRPr="00186870">
        <w:rPr>
          <w:rFonts w:ascii="Open Sans" w:hAnsi="Open Sans" w:cs="Open Sans"/>
          <w:bCs/>
          <w:sz w:val="24"/>
          <w:szCs w:val="24"/>
        </w:rPr>
        <w:t>“</w:t>
      </w:r>
      <w:r w:rsidR="0025205C" w:rsidRPr="00186870">
        <w:rPr>
          <w:rFonts w:ascii="Open Sans" w:hAnsi="Open Sans" w:cs="Open Sans"/>
          <w:bCs/>
          <w:sz w:val="24"/>
          <w:szCs w:val="24"/>
        </w:rPr>
        <w:t>[...]</w:t>
      </w:r>
      <w:r w:rsidR="00186870">
        <w:rPr>
          <w:rFonts w:ascii="Open Sans" w:hAnsi="Open Sans" w:cs="Open Sans"/>
          <w:bCs/>
          <w:sz w:val="24"/>
          <w:szCs w:val="24"/>
        </w:rPr>
        <w:t xml:space="preserve"> </w:t>
      </w:r>
      <w:r w:rsidR="00186870" w:rsidRPr="00186870">
        <w:rPr>
          <w:rFonts w:ascii="Open Sans" w:hAnsi="Open Sans" w:cs="Open Sans"/>
          <w:sz w:val="24"/>
          <w:szCs w:val="24"/>
        </w:rPr>
        <w:t xml:space="preserve">RECURSO DE REVISTA DA AUTORA. LEI Nº 13.467/2017. ACIDENTE DE TRABALHO. BAILARINA PROFISSIONAL. QUEDA DURANTE TREINO. RISCO RELACIONADO AO EXERCÍCIO DA ATIVIDADE (CONTUSÕES, ENTORSES, ETC.). INDENIZAÇÃO POR DANOS MORAIS, MATERIAIS E ESTÉTICOS. ATIVIDADE DE RISCO. TEORIA DA RESPONSABILIDADE OBJETIVA. TRANSCENDÊNCIA ECONÔMICA RECONHECIDA. Esta </w:t>
      </w:r>
      <w:r w:rsidR="00186870" w:rsidRPr="00186870">
        <w:rPr>
          <w:rFonts w:ascii="Open Sans" w:hAnsi="Open Sans" w:cs="Open Sans"/>
          <w:sz w:val="24"/>
          <w:szCs w:val="24"/>
        </w:rPr>
        <w:lastRenderedPageBreak/>
        <w:t xml:space="preserve">Turma estabeleceu como referência, para o recurso do empregado, o valor fixado no artigo 852-A da CLT e, na hipótese dos autos, há elementos a respaldar a conclusão de que os pedidos rejeitados e devolvidos à apreciação desta Corte ultrapassem o valor de 40 salários mínimos. Assim, foi alcançado o patamar da transcendência. Perante o Direito do Trabalho, a responsabilidade do empregador pela reparação de dano, no seu sentido mais abrangente, derivado do acidente do trabalho ou de doença profissional a ele equiparada, sofrido pelo empregado, é subjetiva, conforme prescreve o artigo 7º, XVIII, da Constituição Federal. No entanto, </w:t>
      </w:r>
      <w:proofErr w:type="gramStart"/>
      <w:r w:rsidR="00186870" w:rsidRPr="00186870">
        <w:rPr>
          <w:rFonts w:ascii="Open Sans" w:hAnsi="Open Sans" w:cs="Open Sans"/>
          <w:sz w:val="24"/>
          <w:szCs w:val="24"/>
        </w:rPr>
        <w:t>pode-se</w:t>
      </w:r>
      <w:proofErr w:type="gramEnd"/>
      <w:r w:rsidR="00186870" w:rsidRPr="00186870">
        <w:rPr>
          <w:rFonts w:ascii="Open Sans" w:hAnsi="Open Sans" w:cs="Open Sans"/>
          <w:sz w:val="24"/>
          <w:szCs w:val="24"/>
        </w:rPr>
        <w:t xml:space="preserve"> considerar algumas situações em que é recomendável a aplicação da responsabilidade objetiva, especialmente quando a atividade desenvolvida pelo empregador causar ao trabalhador risco muito mais acentuado do que aquele imposto aos demais cidadãos em situações semelhantes, conforme previsto no parágrafo único do artigo 927 do Código Civil Brasileiro. Conjugue-se a isso a prevalência, no Direito do Trabalho, da Teoria do Risco do Negócio, prevista no artigo 2º da CLT, que não pode ser imputado ao empregado, notadamente em relação a infortúnios que ocorrem na execução do contrato de trabalho. Não se indaga se houve ou não culpa; atribui-se a responsabilidade em virtude de haver sido criado o risco na atividade habitualmente exercida. O dispositivo do Código Civil autoriza que se conclua pela primeira das formas de responsabilização mencionadas nas atividades habitualmente de risco e este não é outra coisa senão a probabilidade de causar danos à saúde ou integridade de outrem, determinada pela </w:t>
      </w:r>
      <w:proofErr w:type="gramStart"/>
      <w:r w:rsidR="00186870" w:rsidRPr="00186870">
        <w:rPr>
          <w:rFonts w:ascii="Open Sans" w:hAnsi="Open Sans" w:cs="Open Sans"/>
          <w:sz w:val="24"/>
          <w:szCs w:val="24"/>
        </w:rPr>
        <w:t>presença</w:t>
      </w:r>
      <w:proofErr w:type="gramEnd"/>
      <w:r w:rsidR="00186870" w:rsidRPr="00186870">
        <w:rPr>
          <w:rFonts w:ascii="Open Sans" w:hAnsi="Open Sans" w:cs="Open Sans"/>
          <w:sz w:val="24"/>
          <w:szCs w:val="24"/>
        </w:rPr>
        <w:t xml:space="preserve">, no ambiente de trabalho (no caso do empregado), de agentes nocivos, sejam estes de natureza química, física, mecânica, biológica, ergonômica ou psíquica. O risco se caracteriza exatamente pelo fato de submeter determinada pessoa a índice maior de probabilidade da ocorrência do dano em virtude da presença, no ambiente de trabalho, do agente que causa perigo. É, portanto, o conjunto de todos os fatores que, direta ou indiretamente, se relacionam com a execução da atividade do empregado e envolve os elementos materiais (local de trabalho em sentido amplo, máquinas, móveis, utensílios e ferramentas) e imateriais (rotinas, processos de produção e modo de exercício do poder de comando do empregador). Assim, aplica-se a Teoria da Responsabilidade Objetiva, em face do exercício de atividade de risco acentuado, quando presente na execução cotidiana do trabalho, o que justifica o tratamento diferenciado das demais funções vinculadas ao regime geral da responsabilidade, quando se perquire a culpa do empregador. A opção do legislador civil revela a necessidade de colocar-se o homem como centro da proteção de todo o sistema da responsabilidade e de </w:t>
      </w:r>
      <w:proofErr w:type="spellStart"/>
      <w:r w:rsidR="00186870" w:rsidRPr="00186870">
        <w:rPr>
          <w:rFonts w:ascii="Open Sans" w:hAnsi="Open Sans" w:cs="Open Sans"/>
          <w:sz w:val="24"/>
          <w:szCs w:val="24"/>
        </w:rPr>
        <w:t>privilegiarse</w:t>
      </w:r>
      <w:proofErr w:type="spellEnd"/>
      <w:r w:rsidR="00186870" w:rsidRPr="00186870">
        <w:rPr>
          <w:rFonts w:ascii="Open Sans" w:hAnsi="Open Sans" w:cs="Open Sans"/>
          <w:sz w:val="24"/>
          <w:szCs w:val="24"/>
        </w:rPr>
        <w:t xml:space="preserve"> o princípio da dignidade humana como base da sociedade brasileira, o que justifica a inserção, na Carta de 1988, de várias regras em que é utilizada a diretriz da responsabilidade objetiva, de forma coerente com a evolução processada nesse campo, o que permite concluir pelo acolhimento da tese que norteia a regra inserida no precitado dispositivo legal. No aspecto, é de salientar que no julgamento do RE nº 828040 o Supremo Tribunal Federal firmou tese de repercussão geral no Tema 932 no seguinte sentido: </w:t>
      </w:r>
      <w:r w:rsidR="00830363">
        <w:rPr>
          <w:rFonts w:ascii="Open Sans" w:hAnsi="Open Sans" w:cs="Open Sans"/>
          <w:sz w:val="24"/>
          <w:szCs w:val="24"/>
        </w:rPr>
        <w:t>‘</w:t>
      </w:r>
      <w:r w:rsidR="00186870" w:rsidRPr="00186870">
        <w:rPr>
          <w:rFonts w:ascii="Open Sans" w:hAnsi="Open Sans" w:cs="Open Sans"/>
          <w:sz w:val="24"/>
          <w:szCs w:val="24"/>
        </w:rPr>
        <w:t xml:space="preserve">O artigo 927, parágrafo único, do Código Civil é compatível com o artigo 7º, XXVIII, da Constituição Federal, sendo constitucional a responsabilização objetiva do empregador por danos decorrentes de acidentes de trabalho, nos casos especificados em lei, ou </w:t>
      </w:r>
      <w:r w:rsidR="00186870" w:rsidRPr="00186870">
        <w:rPr>
          <w:rFonts w:ascii="Open Sans" w:hAnsi="Open Sans" w:cs="Open Sans"/>
          <w:sz w:val="24"/>
          <w:szCs w:val="24"/>
        </w:rPr>
        <w:lastRenderedPageBreak/>
        <w:t>quando a atividade normalmente desenvolvida, por sua natureza, apresentar exposição habitual a risco especial, com potencialidade lesiva e implicar ao trabalhador ônus maior do que aos demais membros da coletividade</w:t>
      </w:r>
      <w:r w:rsidR="00830363">
        <w:rPr>
          <w:rFonts w:ascii="Open Sans" w:hAnsi="Open Sans" w:cs="Open Sans"/>
          <w:sz w:val="24"/>
          <w:szCs w:val="24"/>
        </w:rPr>
        <w:t>’</w:t>
      </w:r>
      <w:r w:rsidR="00186870" w:rsidRPr="00186870">
        <w:rPr>
          <w:rFonts w:ascii="Open Sans" w:hAnsi="Open Sans" w:cs="Open Sans"/>
          <w:sz w:val="24"/>
          <w:szCs w:val="24"/>
        </w:rPr>
        <w:t xml:space="preserve">. Na hipótese, é incontroversa a ocorrência de acidente de trabalho, pois a reclamante sofreu queda ao realizar um salto durante treino para a apresentação de dança, o que acarretou lesão em seu tornozelo direito. Em análise do mérito, por estar a causa madura, como permite o artigo 1.013, § 4º, do CPC, verifica-se ser devido o pagamento da pensão mensal integral (100%), em valor correspondente à importância do trabalho para que se </w:t>
      </w:r>
      <w:proofErr w:type="gramStart"/>
      <w:r w:rsidR="00186870" w:rsidRPr="00186870">
        <w:rPr>
          <w:rFonts w:ascii="Open Sans" w:hAnsi="Open Sans" w:cs="Open Sans"/>
          <w:sz w:val="24"/>
          <w:szCs w:val="24"/>
        </w:rPr>
        <w:t>inabilitou</w:t>
      </w:r>
      <w:proofErr w:type="gramEnd"/>
      <w:r w:rsidR="00186870" w:rsidRPr="00186870">
        <w:rPr>
          <w:rFonts w:ascii="Open Sans" w:hAnsi="Open Sans" w:cs="Open Sans"/>
          <w:sz w:val="24"/>
          <w:szCs w:val="24"/>
        </w:rPr>
        <w:t>, independentemente de sua readaptação (artigos 949 e 950 do Código Civil). Ainda, a jurisprudência desta Corte Superior segue no sentido de ser incabível a limitação temporal, quando se tratar de pensão mensal decorrente de doença laboral que reduziu permanentemente a capacidade total ou parcial para o trabalho. Assim, a pensão mensal deve ser vitalícia. É devido o ressarcimento de despesas médicas devidamente comprovadas pelo reclamante, conforme se apurar em execução. Devida também a indenização pelos danos morais no importe de R$ 20.000,00 (vinte mil reais). Indevida a indenização por danos estéticos, ante a ausência de comprovação. Recurso de revista conhecido e parcialmente provido.</w:t>
      </w:r>
      <w:r w:rsidRPr="00186870">
        <w:rPr>
          <w:rFonts w:ascii="Open Sans" w:hAnsi="Open Sans" w:cs="Open Sans"/>
          <w:bCs/>
          <w:sz w:val="24"/>
          <w:szCs w:val="24"/>
        </w:rPr>
        <w:t>”</w:t>
      </w:r>
      <w:r w:rsidR="0025205C" w:rsidRPr="0010507F">
        <w:rPr>
          <w:rFonts w:ascii="Open Sans" w:hAnsi="Open Sans"/>
          <w:bCs/>
          <w:sz w:val="24"/>
        </w:rPr>
        <w:t xml:space="preserve"> (</w:t>
      </w:r>
      <w:hyperlink r:id="rId25" w:history="1">
        <w:r w:rsidR="00221A76" w:rsidRPr="0010507F">
          <w:rPr>
            <w:rStyle w:val="Hyperlink"/>
            <w:rFonts w:ascii="Open Sans" w:hAnsi="Open Sans"/>
            <w:bCs/>
            <w:sz w:val="24"/>
          </w:rPr>
          <w:t xml:space="preserve">TST-Ag-AIRR-1072-56.2017.5.12.0005, </w:t>
        </w:r>
        <w:r w:rsidR="00D3709C" w:rsidRPr="0010507F">
          <w:rPr>
            <w:rStyle w:val="Hyperlink"/>
            <w:rFonts w:ascii="Open Sans" w:hAnsi="Open Sans"/>
            <w:bCs/>
            <w:sz w:val="24"/>
          </w:rPr>
          <w:t xml:space="preserve">7ª Turma, rel. Min. </w:t>
        </w:r>
        <w:r w:rsidR="008B28A4" w:rsidRPr="0010507F">
          <w:rPr>
            <w:rStyle w:val="Hyperlink"/>
            <w:rFonts w:ascii="Open Sans" w:hAnsi="Open Sans"/>
            <w:bCs/>
            <w:sz w:val="24"/>
          </w:rPr>
          <w:t>Cláudio Mascarenhas Brandão, julgado em 24/9/2025</w:t>
        </w:r>
      </w:hyperlink>
      <w:r w:rsidR="008B28A4" w:rsidRPr="0010507F">
        <w:rPr>
          <w:rFonts w:ascii="Open Sans" w:hAnsi="Open Sans"/>
          <w:bCs/>
          <w:sz w:val="24"/>
        </w:rPr>
        <w:t>)</w:t>
      </w:r>
    </w:p>
    <w:p w:rsidR="00B65019" w:rsidRPr="0010507F" w:rsidRDefault="00B65019" w:rsidP="00F76068">
      <w:pPr>
        <w:widowControl w:val="0"/>
        <w:suppressAutoHyphens/>
        <w:ind w:left="-255" w:right="340"/>
        <w:jc w:val="both"/>
        <w:rPr>
          <w:rFonts w:ascii="Open Sans" w:hAnsi="Open Sans"/>
          <w:bCs/>
          <w:sz w:val="24"/>
        </w:rPr>
      </w:pPr>
    </w:p>
    <w:p w:rsidR="00E1575C" w:rsidRPr="0010507F" w:rsidRDefault="00D93441" w:rsidP="00E74B59">
      <w:pPr>
        <w:suppressAutoHyphens/>
        <w:ind w:left="-255" w:right="340"/>
        <w:jc w:val="both"/>
        <w:rPr>
          <w:rFonts w:ascii="Open Sans" w:hAnsi="Open Sans"/>
          <w:bCs/>
          <w:sz w:val="24"/>
        </w:rPr>
      </w:pPr>
      <w:r w:rsidRPr="00E74B59">
        <w:rPr>
          <w:rFonts w:ascii="Open Sans" w:hAnsi="Open Sans" w:cs="Open Sans"/>
          <w:bCs/>
          <w:sz w:val="24"/>
          <w:szCs w:val="24"/>
        </w:rPr>
        <w:t>“</w:t>
      </w:r>
      <w:r w:rsidR="00E74B59" w:rsidRPr="00E74B59">
        <w:rPr>
          <w:rFonts w:ascii="Open Sans" w:hAnsi="Open Sans" w:cs="Open Sans"/>
          <w:sz w:val="24"/>
          <w:szCs w:val="24"/>
        </w:rPr>
        <w:t>AGRAVO EM RECURSO DE REVISTA COM AGRAVO. ACÓRDÃO REGIONAL PROFERIDO EM INCIDENTE DE RESOLUÇÃO DE DEMANDAS REPETITIVAS. RECURSO DE REVISTA CONTRA TESE JURÍDICA EM ABSTRATO. DESCABIMENTO. 1-Conforme o Art. 1º da IN 41-A, o recurso de revista é cabível contra o julgamento do mérito de um IRDR ou Incidente de Assunção de Competência (IAC), em processos de competência recursal ordinária do TRT. 2-No entanto, o § 1º do mesmo artigo esclarece que somente a decisão que, ao fixar a tese jurídica, julgar o recurso ordinário ou agravo de petição, permite a interposição do recurso de revista. O parágrafo único do art. 978 do CPC corrobora essa interpretação, determinando que o órgão colegiado responsável por julgar o incidente e fixar a tese jurídica também deve julgar o recurso, remessa necessária ou processo original que deu origem ao incidente. 3- Dessa forma, embora o recurso de revista seja cabível contra decisões de IRDR, ele se restringe aos casos em que o TRT, após fixar a tese jurídica, prossegue com o julgamento do recurso ordinário ou agravo de petição do caso concreto que originou o IRDR. 4- No caso, o recurso de revista foi interposto justamente contra um acórdão que se limitou a firmar a tese jurídica, sendo, pois, é incabível e insuscetível de provimento o agravo de instrumento. Com estes fundamentos, mantenho a decisão agravada, embora por fundamento diverso. Agravo conhecido e desprovido.</w:t>
      </w:r>
      <w:r w:rsidR="001774AC" w:rsidRPr="00E74B59">
        <w:rPr>
          <w:rFonts w:ascii="Open Sans" w:hAnsi="Open Sans" w:cs="Open Sans"/>
          <w:bCs/>
          <w:sz w:val="24"/>
          <w:szCs w:val="24"/>
        </w:rPr>
        <w:t>”</w:t>
      </w:r>
      <w:r w:rsidR="00633F18" w:rsidRPr="0010507F">
        <w:rPr>
          <w:rFonts w:ascii="Open Sans" w:hAnsi="Open Sans"/>
          <w:bCs/>
          <w:sz w:val="24"/>
        </w:rPr>
        <w:t xml:space="preserve"> (</w:t>
      </w:r>
      <w:hyperlink r:id="rId26" w:history="1">
        <w:r w:rsidR="00F02BC3" w:rsidRPr="0010507F">
          <w:rPr>
            <w:rStyle w:val="Hyperlink"/>
            <w:rFonts w:ascii="Open Sans" w:hAnsi="Open Sans"/>
            <w:bCs/>
            <w:sz w:val="24"/>
          </w:rPr>
          <w:t xml:space="preserve">TST-Ag-ARR-11146-05.2018.5.03.0000, </w:t>
        </w:r>
        <w:r w:rsidR="00DF63BA" w:rsidRPr="0010507F">
          <w:rPr>
            <w:rStyle w:val="Hyperlink"/>
            <w:rFonts w:ascii="Open Sans" w:hAnsi="Open Sans"/>
            <w:bCs/>
            <w:sz w:val="24"/>
          </w:rPr>
          <w:t xml:space="preserve">7ª Turma, rel. Min. </w:t>
        </w:r>
        <w:r w:rsidR="00FC149C" w:rsidRPr="0010507F">
          <w:rPr>
            <w:rStyle w:val="Hyperlink"/>
            <w:rFonts w:ascii="Open Sans" w:hAnsi="Open Sans"/>
            <w:bCs/>
            <w:sz w:val="24"/>
          </w:rPr>
          <w:t>Alexandre de Souza Agra Belmonte, julgado em 30/9/2025</w:t>
        </w:r>
      </w:hyperlink>
      <w:proofErr w:type="gramStart"/>
      <w:r w:rsidR="00FC149C" w:rsidRPr="0010507F">
        <w:rPr>
          <w:rFonts w:ascii="Open Sans" w:hAnsi="Open Sans"/>
          <w:bCs/>
          <w:sz w:val="24"/>
        </w:rPr>
        <w:t>)</w:t>
      </w:r>
      <w:proofErr w:type="gramEnd"/>
    </w:p>
    <w:p w:rsidR="00710069" w:rsidRPr="0010507F" w:rsidRDefault="00710069" w:rsidP="00F76068">
      <w:pPr>
        <w:widowControl w:val="0"/>
        <w:suppressAutoHyphens/>
        <w:ind w:left="-255" w:right="340"/>
        <w:jc w:val="both"/>
        <w:rPr>
          <w:rFonts w:ascii="Open Sans" w:hAnsi="Open Sans"/>
          <w:b/>
          <w:bCs/>
          <w:sz w:val="24"/>
        </w:rPr>
      </w:pPr>
    </w:p>
    <w:p w:rsidR="00B65019" w:rsidRPr="0010507F" w:rsidRDefault="001774AC" w:rsidP="00B85794">
      <w:pPr>
        <w:suppressAutoHyphens/>
        <w:ind w:left="-255" w:right="340"/>
        <w:jc w:val="both"/>
        <w:rPr>
          <w:rFonts w:ascii="Open Sans" w:hAnsi="Open Sans"/>
          <w:bCs/>
          <w:sz w:val="24"/>
        </w:rPr>
      </w:pPr>
      <w:r w:rsidRPr="00B85794">
        <w:rPr>
          <w:rFonts w:ascii="Open Sans" w:hAnsi="Open Sans" w:cs="Open Sans"/>
          <w:bCs/>
          <w:sz w:val="24"/>
          <w:szCs w:val="24"/>
        </w:rPr>
        <w:t>“</w:t>
      </w:r>
      <w:r w:rsidR="00B85794" w:rsidRPr="00B85794">
        <w:rPr>
          <w:rFonts w:ascii="Open Sans" w:hAnsi="Open Sans" w:cs="Open Sans"/>
          <w:sz w:val="24"/>
          <w:szCs w:val="24"/>
        </w:rPr>
        <w:t xml:space="preserve">RECURSO DE REVISTA. ACÓRDÃO DO REGIONAL PUBLICADO SOB A ÉGIDE DA LEI 13.467/2017. CONTÁGIO PELA COVID-19 NO AMBIENTE DE TRABALHO. DOENÇA PROFISSIONAL. INDENIZAÇÃO POR DANOS EXTRAPATRIMONIAIS. DANO </w:t>
      </w:r>
      <w:r w:rsidR="00B85794" w:rsidRPr="00AD2DA9">
        <w:rPr>
          <w:rFonts w:ascii="Open Sans" w:hAnsi="Open Sans" w:cs="Open Sans"/>
          <w:i/>
          <w:sz w:val="24"/>
          <w:szCs w:val="24"/>
        </w:rPr>
        <w:t>IN RE IPSA</w:t>
      </w:r>
      <w:r w:rsidR="00B85794" w:rsidRPr="00B85794">
        <w:rPr>
          <w:rFonts w:ascii="Open Sans" w:hAnsi="Open Sans" w:cs="Open Sans"/>
          <w:sz w:val="24"/>
          <w:szCs w:val="24"/>
        </w:rPr>
        <w:t xml:space="preserve">. Trata-se de pedido de indenização por danos extrapatrimoniais em virtude da contaminação pela Covid-19 de empregada, no cargo de enfermeira, caracterizando, </w:t>
      </w:r>
      <w:r w:rsidR="00B85794" w:rsidRPr="00B85794">
        <w:rPr>
          <w:rFonts w:ascii="Open Sans" w:hAnsi="Open Sans" w:cs="Open Sans"/>
          <w:sz w:val="24"/>
          <w:szCs w:val="24"/>
        </w:rPr>
        <w:lastRenderedPageBreak/>
        <w:t>assim, hipótese de doença ocupacional. A Corte Regional entendeu pela responsabilidade objeti</w:t>
      </w:r>
      <w:r w:rsidR="00DC5579">
        <w:rPr>
          <w:rFonts w:ascii="Open Sans" w:hAnsi="Open Sans" w:cs="Open Sans"/>
          <w:sz w:val="24"/>
          <w:szCs w:val="24"/>
        </w:rPr>
        <w:t>va do réu ao fundamento de que ‘</w:t>
      </w:r>
      <w:r w:rsidR="00B85794" w:rsidRPr="00B85794">
        <w:rPr>
          <w:rFonts w:ascii="Open Sans" w:hAnsi="Open Sans" w:cs="Open Sans"/>
          <w:sz w:val="24"/>
          <w:szCs w:val="24"/>
        </w:rPr>
        <w:t xml:space="preserve">a contaminação da autora por </w:t>
      </w:r>
      <w:proofErr w:type="spellStart"/>
      <w:r w:rsidR="00B85794" w:rsidRPr="00B85794">
        <w:rPr>
          <w:rFonts w:ascii="Open Sans" w:hAnsi="Open Sans" w:cs="Open Sans"/>
          <w:sz w:val="24"/>
          <w:szCs w:val="24"/>
        </w:rPr>
        <w:t>coronavírus</w:t>
      </w:r>
      <w:proofErr w:type="spellEnd"/>
      <w:r w:rsidR="00B85794" w:rsidRPr="00B85794">
        <w:rPr>
          <w:rFonts w:ascii="Open Sans" w:hAnsi="Open Sans" w:cs="Open Sans"/>
          <w:sz w:val="24"/>
          <w:szCs w:val="24"/>
        </w:rPr>
        <w:t xml:space="preserve"> decorreu do exercício de suas atividades como enfermeira, dado o risco potencial a que ela estava exposta no desempenho de seu </w:t>
      </w:r>
      <w:proofErr w:type="gramStart"/>
      <w:r w:rsidR="00B85794" w:rsidRPr="00B85794">
        <w:rPr>
          <w:rFonts w:ascii="Open Sans" w:hAnsi="Open Sans" w:cs="Open Sans"/>
          <w:sz w:val="24"/>
          <w:szCs w:val="24"/>
        </w:rPr>
        <w:t>mister</w:t>
      </w:r>
      <w:proofErr w:type="gramEnd"/>
      <w:r w:rsidR="00B85794" w:rsidRPr="00B85794">
        <w:rPr>
          <w:rFonts w:ascii="Open Sans" w:hAnsi="Open Sans" w:cs="Open Sans"/>
          <w:sz w:val="24"/>
          <w:szCs w:val="24"/>
        </w:rPr>
        <w:t xml:space="preserve"> em plena crise sanitária ocasionada pelo Covid-19</w:t>
      </w:r>
      <w:r w:rsidR="00DC5579">
        <w:rPr>
          <w:rFonts w:ascii="Open Sans" w:hAnsi="Open Sans" w:cs="Open Sans"/>
          <w:sz w:val="24"/>
          <w:szCs w:val="24"/>
        </w:rPr>
        <w:t>’</w:t>
      </w:r>
      <w:r w:rsidR="00B85794" w:rsidRPr="00B85794">
        <w:rPr>
          <w:rFonts w:ascii="Open Sans" w:hAnsi="Open Sans" w:cs="Open Sans"/>
          <w:sz w:val="24"/>
          <w:szCs w:val="24"/>
        </w:rPr>
        <w:t xml:space="preserve">. Com base nas provas dos autos registrou que </w:t>
      </w:r>
      <w:r w:rsidR="00DC5579">
        <w:rPr>
          <w:rFonts w:ascii="Open Sans" w:hAnsi="Open Sans" w:cs="Open Sans"/>
          <w:sz w:val="24"/>
          <w:szCs w:val="24"/>
        </w:rPr>
        <w:t>‘</w:t>
      </w:r>
      <w:r w:rsidR="00B85794" w:rsidRPr="00B85794">
        <w:rPr>
          <w:rFonts w:ascii="Open Sans" w:hAnsi="Open Sans" w:cs="Open Sans"/>
          <w:sz w:val="24"/>
          <w:szCs w:val="24"/>
        </w:rPr>
        <w:t>independentemente da atividade desempenhada, o empregador é legalmente obrigado a fornecer um ambiente de trabalho saudável a seus empregados, o que consoante analisado anterior</w:t>
      </w:r>
      <w:r w:rsidR="00DC5579">
        <w:rPr>
          <w:rFonts w:ascii="Open Sans" w:hAnsi="Open Sans" w:cs="Open Sans"/>
          <w:sz w:val="24"/>
          <w:szCs w:val="24"/>
        </w:rPr>
        <w:t>mente não foi observado pela ré’</w:t>
      </w:r>
      <w:r w:rsidR="00B85794" w:rsidRPr="00B85794">
        <w:rPr>
          <w:rFonts w:ascii="Open Sans" w:hAnsi="Open Sans" w:cs="Open Sans"/>
          <w:sz w:val="24"/>
          <w:szCs w:val="24"/>
        </w:rPr>
        <w:t xml:space="preserve"> (pág. 410). Por oportuno, vale ressaltar que mesmo que não exista norma expressa a disciplinar a responsabilidade objetiva do empregador, a possibilidade de reconhecimento da responsabilidade objetiva, tese consagrada na jurisprudência dos Tribunais do Trabalho, foi ratificada pelo plenário do STF, ao julgar o RE nº 828.040, Relator Ministro Alexandre de Moraes, DJE 26/6/2020 e firmar a seguinte tese em repercussão geral (Tema 932): O artigo 927, parágrafo único, do Código Civil é compatível com o artigo 7º, XXVIII, da Constituição Federal, sendo constitucional a responsabilização objetiva do empregador por danos decorrentes de acidentes do trabalho, nos casos especificados em lei ou quando a atividade normalmente desenvolvida, por sua natureza, apresentar exposição habitual a risco especial, com potencialidade lesiva e implicar ao trabalhador ônus maior do que aos demais membros da coletividade. Assim, prevalece no Direito do Trabalho a Teoria do Risco Negocial, que enseja a atribuição da responsabilidade objetiva ao empregador, impondo a este a obrigação de indenizar os danos sofridos pelo empregado, independentemente de culpa, quando a atividade normal da empresa propicie, por si só, riscos à integridade física do empregado. No caso, a prestação de serviços médicos e hospitalares fornecidos pelo réu, no cenário da pandemia por Covid-19, oferece risco acentuado à contaminação dos seus empregados, de tal maneira que a indenização por danos extrapatrimoniais deriva da atividade desenvolvida pelo Hospital. Em tais situações, o dano extrapatrimonial é </w:t>
      </w:r>
      <w:r w:rsidR="00B85794" w:rsidRPr="00FC4254">
        <w:rPr>
          <w:rFonts w:ascii="Open Sans" w:hAnsi="Open Sans" w:cs="Open Sans"/>
          <w:i/>
          <w:sz w:val="24"/>
          <w:szCs w:val="24"/>
        </w:rPr>
        <w:t xml:space="preserve">in </w:t>
      </w:r>
      <w:proofErr w:type="spellStart"/>
      <w:r w:rsidR="00B85794" w:rsidRPr="00FC4254">
        <w:rPr>
          <w:rFonts w:ascii="Open Sans" w:hAnsi="Open Sans" w:cs="Open Sans"/>
          <w:i/>
          <w:sz w:val="24"/>
          <w:szCs w:val="24"/>
        </w:rPr>
        <w:t>re</w:t>
      </w:r>
      <w:proofErr w:type="spellEnd"/>
      <w:r w:rsidR="00B85794" w:rsidRPr="00FC4254">
        <w:rPr>
          <w:rFonts w:ascii="Open Sans" w:hAnsi="Open Sans" w:cs="Open Sans"/>
          <w:i/>
          <w:sz w:val="24"/>
          <w:szCs w:val="24"/>
        </w:rPr>
        <w:t xml:space="preserve"> </w:t>
      </w:r>
      <w:proofErr w:type="spellStart"/>
      <w:r w:rsidR="00B85794" w:rsidRPr="00FC4254">
        <w:rPr>
          <w:rFonts w:ascii="Open Sans" w:hAnsi="Open Sans" w:cs="Open Sans"/>
          <w:i/>
          <w:sz w:val="24"/>
          <w:szCs w:val="24"/>
        </w:rPr>
        <w:t>ipsa</w:t>
      </w:r>
      <w:proofErr w:type="spellEnd"/>
      <w:r w:rsidR="00B85794" w:rsidRPr="00B85794">
        <w:rPr>
          <w:rFonts w:ascii="Open Sans" w:hAnsi="Open Sans" w:cs="Open Sans"/>
          <w:sz w:val="24"/>
          <w:szCs w:val="24"/>
        </w:rPr>
        <w:t xml:space="preserve"> (pela força dos próprios atos), ou seja, independe da demonstração do abalo psicológico sofrido pela vítima, </w:t>
      </w:r>
      <w:proofErr w:type="spellStart"/>
      <w:r w:rsidR="00B85794" w:rsidRPr="00B85794">
        <w:rPr>
          <w:rFonts w:ascii="Open Sans" w:hAnsi="Open Sans" w:cs="Open Sans"/>
          <w:sz w:val="24"/>
          <w:szCs w:val="24"/>
        </w:rPr>
        <w:t>exigindose</w:t>
      </w:r>
      <w:proofErr w:type="spellEnd"/>
      <w:r w:rsidR="00B85794" w:rsidRPr="00B85794">
        <w:rPr>
          <w:rFonts w:ascii="Open Sans" w:hAnsi="Open Sans" w:cs="Open Sans"/>
          <w:sz w:val="24"/>
          <w:szCs w:val="24"/>
        </w:rPr>
        <w:t xml:space="preserve"> apenas a prova dos fatos que balizaram o pedido de indenização. Assim, considera-se desnecessária a prova concreta do dano extrapatrimonial nos casos de pedido de indenização decorrente de doença profissional ou acidente do trabalho. Ademais, a jurisprudência desta C. Corte já se firmou no sentido da dispensabilidade da comprovação do dano extrapatrimonial nas hipóteses em que o pedido de indenização por tais danos decorre de doença profissional. Portanto, a decisão regional encontra-se em conformidade com a jurisprudência pacífica desta Corte. Incide o art. 896, § 7º, da CLT, c/c a Súmula 333, do TST como óbice ao conhecimento do recurso. </w:t>
      </w:r>
      <w:proofErr w:type="gramStart"/>
      <w:r w:rsidR="00B85794" w:rsidRPr="00B85794">
        <w:rPr>
          <w:rFonts w:ascii="Open Sans" w:hAnsi="Open Sans" w:cs="Open Sans"/>
          <w:sz w:val="24"/>
          <w:szCs w:val="24"/>
        </w:rPr>
        <w:t>Recurso de revista não conhecido</w:t>
      </w:r>
      <w:r w:rsidR="00934C8F" w:rsidRPr="00B85794">
        <w:rPr>
          <w:rFonts w:ascii="Open Sans" w:hAnsi="Open Sans" w:cs="Open Sans"/>
          <w:bCs/>
          <w:sz w:val="24"/>
          <w:szCs w:val="24"/>
        </w:rPr>
        <w:t>.</w:t>
      </w:r>
      <w:r w:rsidRPr="00B85794">
        <w:rPr>
          <w:rFonts w:ascii="Open Sans" w:hAnsi="Open Sans" w:cs="Open Sans"/>
          <w:bCs/>
          <w:sz w:val="24"/>
          <w:szCs w:val="24"/>
        </w:rPr>
        <w:t>”</w:t>
      </w:r>
      <w:proofErr w:type="gramEnd"/>
      <w:r w:rsidR="00A72074" w:rsidRPr="00B85794">
        <w:rPr>
          <w:rFonts w:ascii="Open Sans" w:hAnsi="Open Sans" w:cs="Open Sans"/>
          <w:bCs/>
          <w:sz w:val="24"/>
          <w:szCs w:val="24"/>
        </w:rPr>
        <w:t xml:space="preserve"> </w:t>
      </w:r>
      <w:r w:rsidR="00A72074" w:rsidRPr="0010507F">
        <w:rPr>
          <w:rFonts w:ascii="Open Sans" w:hAnsi="Open Sans"/>
          <w:bCs/>
          <w:sz w:val="24"/>
        </w:rPr>
        <w:t>(</w:t>
      </w:r>
      <w:hyperlink r:id="rId27" w:history="1">
        <w:r w:rsidR="00A72074" w:rsidRPr="0010507F">
          <w:rPr>
            <w:rStyle w:val="Hyperlink"/>
            <w:rFonts w:ascii="Open Sans" w:hAnsi="Open Sans"/>
            <w:bCs/>
            <w:sz w:val="24"/>
          </w:rPr>
          <w:t xml:space="preserve">TST-RR-563-46.2021.5.21.0002, </w:t>
        </w:r>
        <w:r w:rsidR="00A95E9C" w:rsidRPr="0010507F">
          <w:rPr>
            <w:rStyle w:val="Hyperlink"/>
            <w:rFonts w:ascii="Open Sans" w:hAnsi="Open Sans"/>
            <w:bCs/>
            <w:sz w:val="24"/>
          </w:rPr>
          <w:t xml:space="preserve">7ª Turma, rel. Min. </w:t>
        </w:r>
        <w:r w:rsidR="00C51E70" w:rsidRPr="0010507F">
          <w:rPr>
            <w:rStyle w:val="Hyperlink"/>
            <w:rFonts w:ascii="Open Sans" w:hAnsi="Open Sans"/>
            <w:bCs/>
            <w:sz w:val="24"/>
          </w:rPr>
          <w:t>Alexandre de Souza Agra Belmonte, julgado em 30/9/2025</w:t>
        </w:r>
      </w:hyperlink>
      <w:r w:rsidR="00C51E70" w:rsidRPr="0010507F">
        <w:rPr>
          <w:rFonts w:ascii="Open Sans" w:hAnsi="Open Sans"/>
          <w:bCs/>
          <w:sz w:val="24"/>
        </w:rPr>
        <w:t>)</w:t>
      </w:r>
    </w:p>
    <w:p w:rsidR="005C4B2A" w:rsidRPr="0010507F" w:rsidRDefault="005C4B2A" w:rsidP="00F76068">
      <w:pPr>
        <w:widowControl w:val="0"/>
        <w:suppressAutoHyphens/>
        <w:ind w:left="-255" w:right="340"/>
        <w:jc w:val="both"/>
        <w:rPr>
          <w:rFonts w:ascii="Open Sans" w:hAnsi="Open Sans"/>
          <w:bCs/>
          <w:sz w:val="24"/>
        </w:rPr>
      </w:pPr>
    </w:p>
    <w:p w:rsidR="005C4B2A" w:rsidRPr="0010507F" w:rsidRDefault="0005216E" w:rsidP="00F76068">
      <w:pPr>
        <w:widowControl w:val="0"/>
        <w:suppressAutoHyphens/>
        <w:ind w:left="-255" w:right="340"/>
        <w:jc w:val="both"/>
        <w:rPr>
          <w:rFonts w:ascii="Open Sans" w:hAnsi="Open Sans"/>
          <w:bCs/>
          <w:sz w:val="24"/>
        </w:rPr>
      </w:pPr>
      <w:r>
        <w:rPr>
          <w:rFonts w:ascii="Open Sans" w:hAnsi="Open Sans"/>
          <w:bCs/>
          <w:sz w:val="24"/>
        </w:rPr>
        <w:t>“</w:t>
      </w:r>
      <w:r w:rsidR="00461E50" w:rsidRPr="0010507F">
        <w:rPr>
          <w:rFonts w:ascii="Open Sans" w:hAnsi="Open Sans"/>
          <w:bCs/>
          <w:sz w:val="24"/>
        </w:rPr>
        <w:t xml:space="preserve">[...] RECURSO DE REVISTA. ACÓRDÃO REGIONAL PUBLICADO NA VIGÊNCIA DA LEI Nº 13.467/2017. CONVÊNIO PARA PROMOÇÃO DE CURSOS DE ESPECIALIZAÇÃO. AUSÊNCIA DE GRUPO ECONÔMICO ENTRE A INSTITUIÇÃO DE ENSINO (FGV) E A EMPRESA CONTRATANTE (IBS). TRANSCENDÊNCIA JURÍDICA. RECONHECIMENTO. I. Esta </w:t>
      </w:r>
      <w:r w:rsidR="00461E50" w:rsidRPr="0010507F">
        <w:rPr>
          <w:rFonts w:ascii="Open Sans" w:hAnsi="Open Sans"/>
          <w:bCs/>
          <w:sz w:val="24"/>
        </w:rPr>
        <w:lastRenderedPageBreak/>
        <w:t xml:space="preserve">Sétima Turma firmou posicionamento de que, em que pese </w:t>
      </w:r>
      <w:proofErr w:type="gramStart"/>
      <w:r w:rsidR="00461E50" w:rsidRPr="0010507F">
        <w:rPr>
          <w:rFonts w:ascii="Open Sans" w:hAnsi="Open Sans"/>
          <w:bCs/>
          <w:sz w:val="24"/>
        </w:rPr>
        <w:t>a</w:t>
      </w:r>
      <w:proofErr w:type="gramEnd"/>
      <w:r w:rsidR="00461E50" w:rsidRPr="0010507F">
        <w:rPr>
          <w:rFonts w:ascii="Open Sans" w:hAnsi="Open Sans"/>
          <w:bCs/>
          <w:sz w:val="24"/>
        </w:rPr>
        <w:t xml:space="preserve"> importância da figura do grupo econômico na proteção dos créditos trabalhistas, o caso do convênio firmado entre a FGV e a IBS apresenta uma particularidade capaz de afastar o referido instituto, além de eventual configuração, até mesmo, da terceirização de serviços, porquanto constatada celebração regular de convênio educacional, não sendo possível reconhecer a existência de grupo econômico entre a instituição de ensino responsável, por aplicar o curso de formação, e a empresa contratante, diante do objetivo comum das empresas envolvidas em impulsionar o conhecimento e da ausência de exploração de atividade econômica. Precedente. II. O Tribunal Regional, não obstante a celebração regular de convênio para promoção de cursos de especialização entre as reclamadas, concluiu pela configuração do grupo econômico entre elas em razão da relação de coordenação entre as empresas, com interesse social integrado. III. Diante desse contexto, tendo em vista a celebração regular de convênio para promoção de cursos de especialização, a decisão regional, ao reconhecer a existência de grupo econômico entre a instituição de ensino responsável por aplicar o curso de formação e a empresa contratante, está em desacordo com o entendimento firmado nesta Turma e com o disposto no art. 2º, § 2º, da CLT, pelo que deve ser afastado o reconhecimento do grupo econômico entre as reclamadas e, por consequência, a responsabilidade solidária da 2ª reclamada (FGV) pelos créditos trabalhistas devidos à parte reclamante. IV.</w:t>
      </w:r>
      <w:r w:rsidR="00461E50" w:rsidRPr="0010507F">
        <w:rPr>
          <w:rFonts w:ascii="Open Sans" w:hAnsi="Open Sans"/>
          <w:b/>
          <w:bCs/>
          <w:sz w:val="24"/>
        </w:rPr>
        <w:t xml:space="preserve"> </w:t>
      </w:r>
      <w:r w:rsidR="00461E50" w:rsidRPr="0010507F">
        <w:rPr>
          <w:rFonts w:ascii="Open Sans" w:hAnsi="Open Sans"/>
          <w:bCs/>
          <w:sz w:val="24"/>
        </w:rPr>
        <w:t>Recurso de revista de que se conhece e a que se dá provimento.</w:t>
      </w:r>
      <w:r>
        <w:rPr>
          <w:rFonts w:ascii="Open Sans" w:hAnsi="Open Sans"/>
          <w:bCs/>
          <w:sz w:val="24"/>
        </w:rPr>
        <w:t>”</w:t>
      </w:r>
      <w:r w:rsidR="00B860BD" w:rsidRPr="0010507F">
        <w:rPr>
          <w:rFonts w:ascii="Open Sans" w:hAnsi="Open Sans"/>
          <w:bCs/>
          <w:sz w:val="24"/>
        </w:rPr>
        <w:t xml:space="preserve"> (</w:t>
      </w:r>
      <w:hyperlink r:id="rId28" w:history="1">
        <w:r w:rsidR="00B860BD" w:rsidRPr="0010507F">
          <w:rPr>
            <w:rStyle w:val="Hyperlink"/>
            <w:rFonts w:ascii="Open Sans" w:hAnsi="Open Sans"/>
            <w:bCs/>
            <w:sz w:val="24"/>
          </w:rPr>
          <w:t xml:space="preserve">TST-RR-10910-61.2019.5.03.0180, 7ª Turma, rel. Min. </w:t>
        </w:r>
        <w:r w:rsidR="000516D3" w:rsidRPr="0010507F">
          <w:rPr>
            <w:rStyle w:val="Hyperlink"/>
            <w:rFonts w:ascii="Open Sans" w:hAnsi="Open Sans"/>
            <w:bCs/>
            <w:sz w:val="24"/>
          </w:rPr>
          <w:t>Evandro Pereira Valadão Lopes, julgado em 30/9/2025</w:t>
        </w:r>
      </w:hyperlink>
      <w:r w:rsidR="000516D3" w:rsidRPr="0010507F">
        <w:rPr>
          <w:rFonts w:ascii="Open Sans" w:hAnsi="Open Sans"/>
          <w:bCs/>
          <w:sz w:val="24"/>
        </w:rPr>
        <w:t>)</w:t>
      </w:r>
    </w:p>
    <w:p w:rsidR="00B65019" w:rsidRPr="0010507F" w:rsidRDefault="00B65019" w:rsidP="00F76068">
      <w:pPr>
        <w:widowControl w:val="0"/>
        <w:suppressAutoHyphens/>
        <w:ind w:left="-255" w:right="340"/>
        <w:jc w:val="both"/>
        <w:rPr>
          <w:rFonts w:ascii="Open Sans" w:hAnsi="Open Sans"/>
          <w:bCs/>
          <w:sz w:val="24"/>
        </w:rPr>
      </w:pPr>
    </w:p>
    <w:p w:rsidR="007F27B7" w:rsidRPr="0010507F" w:rsidRDefault="002A2C48" w:rsidP="00F76068">
      <w:pPr>
        <w:widowControl w:val="0"/>
        <w:suppressAutoHyphens/>
        <w:ind w:left="-255" w:right="340"/>
        <w:jc w:val="both"/>
        <w:rPr>
          <w:rFonts w:ascii="Open Sans" w:hAnsi="Open Sans"/>
          <w:bCs/>
          <w:sz w:val="24"/>
        </w:rPr>
      </w:pPr>
      <w:r>
        <w:rPr>
          <w:rFonts w:ascii="Open Sans" w:hAnsi="Open Sans"/>
          <w:bCs/>
          <w:sz w:val="24"/>
        </w:rPr>
        <w:t>“</w:t>
      </w:r>
      <w:r w:rsidR="00EF32E2" w:rsidRPr="0010507F">
        <w:rPr>
          <w:rFonts w:ascii="Open Sans" w:hAnsi="Open Sans"/>
          <w:bCs/>
          <w:sz w:val="24"/>
        </w:rPr>
        <w:t xml:space="preserve">RECURSO DE REVISTA. REGÊNCIA PELA LEI Nº 13.467/2017. NORMAS COLETIVAS DE TRABALHO. CATEGORIA ECONÔMICA. INEXISTÊNCIA. IMPOSSIBILIDADE DE FIRMAR CONVENÇÃO COLETIVA DE TRABALHO. TRANSCENDÊNCIA RECONHECIDA. Dispõe o inciso XXVI do art. 7º da Constituição o </w:t>
      </w:r>
      <w:r w:rsidR="008B2BC3" w:rsidRPr="002A2C48">
        <w:rPr>
          <w:rFonts w:ascii="Open Sans" w:hAnsi="Open Sans"/>
          <w:bCs/>
          <w:sz w:val="24"/>
        </w:rPr>
        <w:t>‘</w:t>
      </w:r>
      <w:r w:rsidR="00EF32E2" w:rsidRPr="002A2C48">
        <w:rPr>
          <w:rFonts w:ascii="Open Sans" w:hAnsi="Open Sans"/>
          <w:bCs/>
          <w:sz w:val="24"/>
        </w:rPr>
        <w:t>reconhecimento das convenções e acordos coletivos de trabalho</w:t>
      </w:r>
      <w:r w:rsidR="008B2BC3" w:rsidRPr="002A2C48">
        <w:rPr>
          <w:rFonts w:ascii="Open Sans" w:hAnsi="Open Sans"/>
          <w:bCs/>
          <w:sz w:val="24"/>
        </w:rPr>
        <w:t>’</w:t>
      </w:r>
      <w:r w:rsidR="00EF32E2" w:rsidRPr="002A2C48">
        <w:rPr>
          <w:rFonts w:ascii="Open Sans" w:hAnsi="Open Sans"/>
          <w:bCs/>
          <w:sz w:val="24"/>
        </w:rPr>
        <w:t>. A convenção coletiva de trabalho é o negócio jurídico celebrado entre sindicato de empregados e empregador</w:t>
      </w:r>
      <w:r w:rsidR="00EF32E2" w:rsidRPr="0010507F">
        <w:rPr>
          <w:rFonts w:ascii="Open Sans" w:hAnsi="Open Sans"/>
          <w:bCs/>
          <w:sz w:val="24"/>
        </w:rPr>
        <w:t xml:space="preserve"> a respeito de condições de trabalho (art. 611 da CLT). O parágrafo único do art. 7º da Lei Maior menciona que os empregados domésticos têm direito à aplicação do inciso XXVI do art. 7º da Lei Magna. O problema é que o empregador doméstico não é considerado categoria econômica, pois não visa a lucro, tampouco explora atividade econômica. Isso impede, portanto, a possibilidade de serem estabelecidos direitos trabalhistas aos domésticos, justamente porque na convenção coletiva se necessita de sindicatos de empregadores domésticos, e estes não exercem atividade econômica, além de o acordo coletivo </w:t>
      </w:r>
      <w:proofErr w:type="gramStart"/>
      <w:r w:rsidR="00EF32E2" w:rsidRPr="0010507F">
        <w:rPr>
          <w:rFonts w:ascii="Open Sans" w:hAnsi="Open Sans"/>
          <w:bCs/>
          <w:sz w:val="24"/>
        </w:rPr>
        <w:t>ser celebrado com empresa, e o empregador doméstico não é</w:t>
      </w:r>
      <w:proofErr w:type="gramEnd"/>
      <w:r w:rsidR="00EF32E2" w:rsidRPr="0010507F">
        <w:rPr>
          <w:rFonts w:ascii="Open Sans" w:hAnsi="Open Sans"/>
          <w:bCs/>
          <w:sz w:val="24"/>
        </w:rPr>
        <w:t xml:space="preserve"> uma empresa, que é considerada a atividade organizada para a produção de bens e serviços para o mercado, com finalidade de lucro. Nesse contexto, muito embora os direitos dos empregados domésticos tenham sido ampliados após a entrada em vigor da Lei Complementar nº 150/2015 e da Emenda Constitucional 72/2013, o conceito de empregador doméstico continua sendo a pessoa natural ou a família que contrata alguém para trabalhar em sua residência, em atividades de natureza não econômica, razão pela qual não se pode reconhecer os empregadores domésticos como uma categoria econômica, por </w:t>
      </w:r>
      <w:r w:rsidR="00EF32E2" w:rsidRPr="0010507F">
        <w:rPr>
          <w:rFonts w:ascii="Open Sans" w:hAnsi="Open Sans"/>
          <w:bCs/>
          <w:sz w:val="24"/>
        </w:rPr>
        <w:lastRenderedPageBreak/>
        <w:t xml:space="preserve">definição. Ademais, a formalização de uma convenção coletiva está condicionada à bipolaridade de partes. Ou seja, é imperiosa a existência de uma categoria profissional e de uma categoria econômica. Com a inexistência de qualquer uma dessas partes, mostra-se inviável a negociação e a formalização desses instrumentos </w:t>
      </w:r>
      <w:proofErr w:type="gramStart"/>
      <w:r w:rsidR="00EF32E2" w:rsidRPr="0010507F">
        <w:rPr>
          <w:rFonts w:ascii="Open Sans" w:hAnsi="Open Sans"/>
          <w:bCs/>
          <w:sz w:val="24"/>
        </w:rPr>
        <w:t>normativos</w:t>
      </w:r>
      <w:proofErr w:type="gramEnd"/>
      <w:r w:rsidR="00EF32E2" w:rsidRPr="0010507F">
        <w:rPr>
          <w:rFonts w:ascii="Open Sans" w:hAnsi="Open Sans"/>
          <w:bCs/>
          <w:sz w:val="24"/>
        </w:rPr>
        <w:t xml:space="preserve">. Julgados. Portanto, ao determinar a aplicação da convenção coletiva colacionada aos autos, o Tribunal Regional proferiu decisão em descompasso com a legislação pertinente. </w:t>
      </w:r>
      <w:proofErr w:type="gramStart"/>
      <w:r w:rsidR="00EF32E2" w:rsidRPr="0010507F">
        <w:rPr>
          <w:rFonts w:ascii="Open Sans" w:hAnsi="Open Sans"/>
          <w:bCs/>
          <w:sz w:val="24"/>
        </w:rPr>
        <w:t>Recurso de revista de que se conhece e a que se dá provimento.</w:t>
      </w:r>
      <w:r>
        <w:rPr>
          <w:rFonts w:ascii="Open Sans" w:hAnsi="Open Sans"/>
          <w:bCs/>
          <w:sz w:val="24"/>
        </w:rPr>
        <w:t>”</w:t>
      </w:r>
      <w:proofErr w:type="gramEnd"/>
      <w:r>
        <w:rPr>
          <w:rFonts w:ascii="Open Sans" w:hAnsi="Open Sans"/>
          <w:bCs/>
          <w:sz w:val="24"/>
        </w:rPr>
        <w:t xml:space="preserve"> </w:t>
      </w:r>
      <w:r w:rsidR="00184AE3" w:rsidRPr="0010507F">
        <w:rPr>
          <w:rFonts w:ascii="Open Sans" w:hAnsi="Open Sans"/>
          <w:bCs/>
          <w:sz w:val="24"/>
        </w:rPr>
        <w:t>(</w:t>
      </w:r>
      <w:hyperlink r:id="rId29" w:history="1">
        <w:r w:rsidR="00EF32E2" w:rsidRPr="0010507F">
          <w:rPr>
            <w:rStyle w:val="Hyperlink"/>
            <w:rFonts w:ascii="Open Sans" w:hAnsi="Open Sans"/>
            <w:bCs/>
            <w:sz w:val="24"/>
          </w:rPr>
          <w:t>RR-11495-35.2021.5.15.0140,</w:t>
        </w:r>
        <w:r w:rsidR="00D33BB7" w:rsidRPr="0010507F">
          <w:rPr>
            <w:rStyle w:val="Hyperlink"/>
            <w:rFonts w:ascii="Open Sans" w:hAnsi="Open Sans"/>
            <w:bCs/>
            <w:sz w:val="24"/>
          </w:rPr>
          <w:t xml:space="preserve"> </w:t>
        </w:r>
        <w:r w:rsidR="009A5395" w:rsidRPr="0010507F">
          <w:rPr>
            <w:rStyle w:val="Hyperlink"/>
            <w:rFonts w:ascii="Open Sans" w:hAnsi="Open Sans"/>
            <w:bCs/>
            <w:sz w:val="24"/>
          </w:rPr>
          <w:t xml:space="preserve">8ª Turma, rel. Min. </w:t>
        </w:r>
        <w:r w:rsidR="003B25B8" w:rsidRPr="0010507F">
          <w:rPr>
            <w:rStyle w:val="Hyperlink"/>
            <w:rFonts w:ascii="Open Sans" w:hAnsi="Open Sans"/>
            <w:bCs/>
            <w:sz w:val="24"/>
          </w:rPr>
          <w:t>Sergio Pinto Martins, julgado em 3/9/2025</w:t>
        </w:r>
      </w:hyperlink>
      <w:r w:rsidR="003B25B8" w:rsidRPr="0010507F">
        <w:rPr>
          <w:rFonts w:ascii="Open Sans" w:hAnsi="Open Sans"/>
          <w:bCs/>
          <w:sz w:val="24"/>
        </w:rPr>
        <w:t>)</w:t>
      </w:r>
    </w:p>
    <w:p w:rsidR="00B65019" w:rsidRPr="0010507F" w:rsidRDefault="00B65019" w:rsidP="00F76068">
      <w:pPr>
        <w:widowControl w:val="0"/>
        <w:suppressAutoHyphens/>
        <w:ind w:left="-255" w:right="340"/>
        <w:jc w:val="both"/>
        <w:rPr>
          <w:rFonts w:ascii="Open Sans" w:hAnsi="Open Sans"/>
          <w:bCs/>
          <w:sz w:val="24"/>
        </w:rPr>
      </w:pPr>
    </w:p>
    <w:p w:rsidR="00B419B5" w:rsidRPr="0010507F" w:rsidRDefault="00B419B5" w:rsidP="00F76068">
      <w:pPr>
        <w:widowControl w:val="0"/>
        <w:suppressAutoHyphens/>
        <w:ind w:left="-255" w:right="340"/>
        <w:jc w:val="both"/>
        <w:rPr>
          <w:rFonts w:ascii="Open Sans" w:hAnsi="Open Sans"/>
          <w:sz w:val="24"/>
        </w:rPr>
      </w:pPr>
    </w:p>
    <w:p w:rsidR="00371858" w:rsidRDefault="00371858" w:rsidP="00005B29">
      <w:pPr>
        <w:suppressAutoHyphens/>
        <w:ind w:right="340"/>
        <w:jc w:val="both"/>
        <w:rPr>
          <w:rFonts w:ascii="Open Sans" w:hAnsi="Open Sans"/>
          <w:sz w:val="24"/>
        </w:rPr>
      </w:pPr>
    </w:p>
    <w:p w:rsidR="003A1937" w:rsidRDefault="003A1937" w:rsidP="00005B29">
      <w:pPr>
        <w:suppressAutoHyphens/>
        <w:ind w:right="340"/>
        <w:jc w:val="both"/>
        <w:rPr>
          <w:rFonts w:ascii="Open Sans" w:hAnsi="Open Sans"/>
          <w:sz w:val="24"/>
        </w:rPr>
      </w:pPr>
    </w:p>
    <w:p w:rsidR="003B2187" w:rsidRDefault="003B2187" w:rsidP="001666E2">
      <w:pPr>
        <w:suppressAutoHyphens/>
        <w:ind w:left="-255" w:right="340"/>
        <w:jc w:val="both"/>
        <w:rPr>
          <w:rFonts w:ascii="Open Sans" w:hAnsi="Open Sans"/>
          <w:sz w:val="24"/>
        </w:rPr>
      </w:pPr>
    </w:p>
    <w:p w:rsidR="003B2187" w:rsidRDefault="003B2187" w:rsidP="001666E2">
      <w:pPr>
        <w:suppressAutoHyphens/>
        <w:ind w:left="-255" w:right="340"/>
        <w:jc w:val="both"/>
        <w:rPr>
          <w:rFonts w:ascii="Open Sans" w:hAnsi="Open Sans"/>
          <w:sz w:val="24"/>
        </w:rPr>
      </w:pPr>
    </w:p>
    <w:p w:rsidR="006B07FF" w:rsidRPr="001666E2" w:rsidRDefault="006B07FF" w:rsidP="001666E2">
      <w:pPr>
        <w:suppressAutoHyphens/>
        <w:ind w:left="-255" w:right="340"/>
        <w:jc w:val="both"/>
        <w:rPr>
          <w:rFonts w:ascii="Open Sans" w:hAnsi="Open Sans"/>
          <w:sz w:val="24"/>
        </w:rPr>
      </w:pPr>
    </w:p>
    <w:p w:rsidR="00BC020D" w:rsidRPr="009B0CB1" w:rsidRDefault="00BC020D" w:rsidP="009B0CB1">
      <w:pPr>
        <w:pStyle w:val="NormalWeb"/>
        <w:shd w:val="clear" w:color="auto" w:fill="FFFFFF"/>
        <w:suppressAutoHyphens/>
        <w:spacing w:before="0" w:beforeAutospacing="0" w:after="0" w:afterAutospacing="0"/>
        <w:ind w:left="-255" w:right="340"/>
        <w:jc w:val="both"/>
        <w:rPr>
          <w:rFonts w:ascii="Open Sans" w:hAnsi="Open Sans" w:cs="Open Sans"/>
        </w:rPr>
      </w:pPr>
    </w:p>
    <w:p w:rsidR="001A7589" w:rsidRPr="003509A3" w:rsidRDefault="001A7589" w:rsidP="009E652F">
      <w:pPr>
        <w:pStyle w:val="Corpodetexto"/>
        <w:pBdr>
          <w:top w:val="single" w:sz="4" w:space="1" w:color="auto"/>
          <w:left w:val="single" w:sz="4" w:space="6" w:color="auto"/>
          <w:bottom w:val="single" w:sz="4" w:space="1" w:color="auto"/>
          <w:right w:val="single" w:sz="4" w:space="1" w:color="auto"/>
        </w:pBdr>
        <w:shd w:val="clear" w:color="auto" w:fill="B8CCE4"/>
        <w:ind w:left="-142" w:right="368" w:firstLine="142"/>
        <w:outlineLvl w:val="0"/>
        <w:rPr>
          <w:rFonts w:ascii="Open Sans" w:hAnsi="Open Sans" w:cs="Open Sans"/>
          <w:b w:val="0"/>
          <w:bCs w:val="0"/>
          <w:snapToGrid w:val="0"/>
          <w:sz w:val="24"/>
          <w:szCs w:val="24"/>
        </w:rPr>
      </w:pPr>
      <w:r w:rsidRPr="003509A3">
        <w:rPr>
          <w:rFonts w:ascii="Open Sans" w:hAnsi="Open Sans" w:cs="Open Sans"/>
          <w:b w:val="0"/>
          <w:bCs w:val="0"/>
          <w:snapToGrid w:val="0"/>
          <w:sz w:val="24"/>
          <w:szCs w:val="24"/>
        </w:rPr>
        <w:t xml:space="preserve">O Informativo TST é mantido pela </w:t>
      </w:r>
    </w:p>
    <w:p w:rsidR="001A7589" w:rsidRPr="003509A3" w:rsidRDefault="001A7589" w:rsidP="009E652F">
      <w:pPr>
        <w:pStyle w:val="Corpodetexto"/>
        <w:pBdr>
          <w:top w:val="single" w:sz="4" w:space="1" w:color="auto"/>
          <w:left w:val="single" w:sz="4" w:space="6" w:color="auto"/>
          <w:bottom w:val="single" w:sz="4" w:space="1" w:color="auto"/>
          <w:right w:val="single" w:sz="4" w:space="1" w:color="auto"/>
        </w:pBdr>
        <w:shd w:val="clear" w:color="auto" w:fill="B8CCE4"/>
        <w:ind w:left="-142" w:right="368" w:firstLine="142"/>
        <w:rPr>
          <w:rFonts w:ascii="Open Sans" w:hAnsi="Open Sans" w:cs="Open Sans"/>
          <w:b w:val="0"/>
          <w:bCs w:val="0"/>
          <w:snapToGrid w:val="0"/>
          <w:sz w:val="24"/>
          <w:szCs w:val="24"/>
        </w:rPr>
      </w:pPr>
      <w:r w:rsidRPr="003509A3">
        <w:rPr>
          <w:rFonts w:ascii="Open Sans" w:hAnsi="Open Sans" w:cs="Open Sans"/>
          <w:b w:val="0"/>
          <w:bCs w:val="0"/>
          <w:snapToGrid w:val="0"/>
          <w:sz w:val="24"/>
          <w:szCs w:val="24"/>
        </w:rPr>
        <w:t>Coordenadoria de Jurisprudência – CJUR.</w:t>
      </w:r>
    </w:p>
    <w:p w:rsidR="001A7589" w:rsidRPr="003509A3" w:rsidRDefault="001A7589" w:rsidP="009E652F">
      <w:pPr>
        <w:pBdr>
          <w:top w:val="single" w:sz="4" w:space="1" w:color="auto"/>
          <w:left w:val="single" w:sz="4" w:space="6" w:color="auto"/>
          <w:bottom w:val="single" w:sz="4" w:space="1" w:color="auto"/>
          <w:right w:val="single" w:sz="4" w:space="1" w:color="auto"/>
        </w:pBdr>
        <w:shd w:val="clear" w:color="auto" w:fill="B8CCE4"/>
        <w:ind w:left="-142" w:right="368" w:firstLine="142"/>
        <w:jc w:val="center"/>
        <w:rPr>
          <w:rFonts w:ascii="Open Sans" w:hAnsi="Open Sans" w:cs="Open Sans"/>
          <w:snapToGrid w:val="0"/>
          <w:sz w:val="24"/>
          <w:szCs w:val="24"/>
        </w:rPr>
      </w:pPr>
    </w:p>
    <w:p w:rsidR="001A7589" w:rsidRPr="003509A3" w:rsidRDefault="005807AB" w:rsidP="009E652F">
      <w:pPr>
        <w:pBdr>
          <w:top w:val="single" w:sz="4" w:space="1" w:color="auto"/>
          <w:left w:val="single" w:sz="4" w:space="6" w:color="auto"/>
          <w:bottom w:val="single" w:sz="4" w:space="1" w:color="auto"/>
          <w:right w:val="single" w:sz="4" w:space="1" w:color="auto"/>
        </w:pBdr>
        <w:shd w:val="clear" w:color="auto" w:fill="B8CCE4"/>
        <w:ind w:left="-142" w:right="368" w:firstLine="142"/>
        <w:jc w:val="center"/>
        <w:rPr>
          <w:rFonts w:ascii="Open Sans" w:hAnsi="Open Sans" w:cs="Open Sans"/>
          <w:snapToGrid w:val="0"/>
          <w:sz w:val="24"/>
          <w:szCs w:val="24"/>
        </w:rPr>
      </w:pPr>
      <w:r>
        <w:rPr>
          <w:rFonts w:ascii="Open Sans" w:hAnsi="Open Sans" w:cs="Open Sans"/>
          <w:snapToGrid w:val="0"/>
          <w:sz w:val="24"/>
          <w:szCs w:val="24"/>
        </w:rPr>
        <w:t>Informações, sugestões ou c</w:t>
      </w:r>
      <w:r w:rsidR="001A7589" w:rsidRPr="003509A3">
        <w:rPr>
          <w:rFonts w:ascii="Open Sans" w:hAnsi="Open Sans" w:cs="Open Sans"/>
          <w:snapToGrid w:val="0"/>
          <w:sz w:val="24"/>
          <w:szCs w:val="24"/>
        </w:rPr>
        <w:t xml:space="preserve">ríticas: (61)3043-4612 ou </w:t>
      </w:r>
      <w:hyperlink r:id="rId30" w:history="1">
        <w:r w:rsidR="001A7589" w:rsidRPr="003509A3">
          <w:rPr>
            <w:rStyle w:val="Hyperlink"/>
            <w:rFonts w:ascii="Open Sans" w:hAnsi="Open Sans" w:cs="Open Sans"/>
            <w:snapToGrid w:val="0"/>
            <w:sz w:val="24"/>
            <w:szCs w:val="24"/>
          </w:rPr>
          <w:t>cjur@tst.jus.br</w:t>
        </w:r>
      </w:hyperlink>
    </w:p>
    <w:p w:rsidR="001A7589" w:rsidRPr="003509A3" w:rsidRDefault="001A7589" w:rsidP="009E652F">
      <w:pPr>
        <w:pBdr>
          <w:top w:val="single" w:sz="4" w:space="1" w:color="auto"/>
          <w:left w:val="single" w:sz="4" w:space="6" w:color="auto"/>
          <w:bottom w:val="single" w:sz="4" w:space="1" w:color="auto"/>
          <w:right w:val="single" w:sz="4" w:space="1" w:color="auto"/>
        </w:pBdr>
        <w:shd w:val="clear" w:color="auto" w:fill="B8CCE4"/>
        <w:ind w:left="-142" w:right="368" w:firstLine="142"/>
        <w:jc w:val="center"/>
        <w:rPr>
          <w:rFonts w:ascii="Open Sans" w:hAnsi="Open Sans" w:cs="Open Sans"/>
          <w:snapToGrid w:val="0"/>
          <w:sz w:val="24"/>
          <w:szCs w:val="24"/>
        </w:rPr>
      </w:pPr>
    </w:p>
    <w:p w:rsidR="001A7589" w:rsidRPr="003509A3" w:rsidRDefault="001A7589" w:rsidP="009E652F">
      <w:pPr>
        <w:pBdr>
          <w:top w:val="single" w:sz="4" w:space="1" w:color="auto"/>
          <w:left w:val="single" w:sz="4" w:space="6" w:color="auto"/>
          <w:bottom w:val="single" w:sz="4" w:space="1" w:color="auto"/>
          <w:right w:val="single" w:sz="4" w:space="1" w:color="auto"/>
        </w:pBdr>
        <w:shd w:val="clear" w:color="auto" w:fill="B8CCE4"/>
        <w:ind w:left="-142" w:right="368" w:firstLine="142"/>
        <w:jc w:val="center"/>
        <w:rPr>
          <w:rFonts w:ascii="Open Sans" w:hAnsi="Open Sans" w:cs="Open Sans"/>
          <w:snapToGrid w:val="0"/>
          <w:sz w:val="24"/>
          <w:szCs w:val="24"/>
        </w:rPr>
      </w:pPr>
      <w:r w:rsidRPr="003509A3">
        <w:rPr>
          <w:rFonts w:ascii="Open Sans" w:hAnsi="Open Sans" w:cs="Open Sans"/>
          <w:snapToGrid w:val="0"/>
          <w:sz w:val="24"/>
          <w:szCs w:val="24"/>
        </w:rPr>
        <w:t xml:space="preserve">Para acessar todas as edições: </w:t>
      </w:r>
      <w:hyperlink r:id="rId31" w:history="1">
        <w:r w:rsidRPr="003509A3">
          <w:rPr>
            <w:rStyle w:val="Hyperlink"/>
            <w:rFonts w:ascii="Open Sans" w:hAnsi="Open Sans" w:cs="Open Sans"/>
            <w:snapToGrid w:val="0"/>
            <w:sz w:val="24"/>
            <w:szCs w:val="24"/>
          </w:rPr>
          <w:t>http://www.tst.jus.br/web/guest/informativo-tst</w:t>
        </w:r>
      </w:hyperlink>
    </w:p>
    <w:p w:rsidR="001A7589" w:rsidRPr="003509A3" w:rsidRDefault="001A7589" w:rsidP="009E652F">
      <w:pPr>
        <w:pBdr>
          <w:top w:val="single" w:sz="4" w:space="1" w:color="auto"/>
          <w:left w:val="single" w:sz="4" w:space="6" w:color="auto"/>
          <w:bottom w:val="single" w:sz="4" w:space="1" w:color="auto"/>
          <w:right w:val="single" w:sz="4" w:space="1" w:color="auto"/>
        </w:pBdr>
        <w:shd w:val="clear" w:color="auto" w:fill="B8CCE4"/>
        <w:ind w:left="-142" w:right="368" w:firstLine="142"/>
        <w:jc w:val="center"/>
        <w:rPr>
          <w:rFonts w:ascii="Open Sans" w:hAnsi="Open Sans" w:cs="Open Sans"/>
          <w:snapToGrid w:val="0"/>
          <w:sz w:val="24"/>
          <w:szCs w:val="24"/>
        </w:rPr>
      </w:pPr>
    </w:p>
    <w:p w:rsidR="001A7589" w:rsidRPr="003509A3" w:rsidRDefault="001A7589" w:rsidP="009E652F">
      <w:pPr>
        <w:pBdr>
          <w:top w:val="single" w:sz="4" w:space="1" w:color="auto"/>
          <w:left w:val="single" w:sz="4" w:space="6" w:color="auto"/>
          <w:bottom w:val="single" w:sz="4" w:space="1" w:color="auto"/>
          <w:right w:val="single" w:sz="4" w:space="1" w:color="auto"/>
        </w:pBdr>
        <w:shd w:val="clear" w:color="auto" w:fill="B8CCE4"/>
        <w:ind w:left="-142" w:right="368" w:firstLine="142"/>
        <w:jc w:val="center"/>
        <w:rPr>
          <w:rFonts w:ascii="Open Sans" w:hAnsi="Open Sans" w:cs="Open Sans"/>
          <w:snapToGrid w:val="0"/>
          <w:sz w:val="24"/>
          <w:szCs w:val="24"/>
        </w:rPr>
      </w:pPr>
      <w:r w:rsidRPr="003509A3">
        <w:rPr>
          <w:rFonts w:ascii="Open Sans" w:hAnsi="Open Sans" w:cs="Open Sans"/>
          <w:snapToGrid w:val="0"/>
          <w:sz w:val="24"/>
          <w:szCs w:val="24"/>
        </w:rPr>
        <w:t xml:space="preserve">Para receber via </w:t>
      </w:r>
      <w:r w:rsidRPr="003509A3">
        <w:rPr>
          <w:rFonts w:ascii="Open Sans" w:hAnsi="Open Sans" w:cs="Open Sans"/>
          <w:i/>
          <w:snapToGrid w:val="0"/>
          <w:sz w:val="24"/>
          <w:szCs w:val="24"/>
        </w:rPr>
        <w:t>e-mail</w:t>
      </w:r>
      <w:r w:rsidRPr="003509A3">
        <w:rPr>
          <w:rFonts w:ascii="Open Sans" w:hAnsi="Open Sans" w:cs="Open Sans"/>
          <w:snapToGrid w:val="0"/>
          <w:sz w:val="24"/>
          <w:szCs w:val="24"/>
        </w:rPr>
        <w:t xml:space="preserve">: </w:t>
      </w:r>
      <w:hyperlink r:id="rId32" w:history="1">
        <w:r w:rsidRPr="003509A3">
          <w:rPr>
            <w:rStyle w:val="Hyperlink"/>
            <w:rFonts w:ascii="Open Sans" w:hAnsi="Open Sans" w:cs="Open Sans"/>
            <w:snapToGrid w:val="0"/>
            <w:sz w:val="24"/>
            <w:szCs w:val="24"/>
          </w:rPr>
          <w:t>http://www.tst.jus.br/push</w:t>
        </w:r>
      </w:hyperlink>
    </w:p>
    <w:p w:rsidR="00ED73E7" w:rsidRDefault="001A7589" w:rsidP="009E652F">
      <w:pPr>
        <w:ind w:left="-284"/>
      </w:pPr>
      <w:r>
        <w:tab/>
      </w:r>
    </w:p>
    <w:p w:rsidR="00483071" w:rsidRDefault="00483071" w:rsidP="009E652F">
      <w:pPr>
        <w:ind w:left="-284"/>
      </w:pPr>
    </w:p>
    <w:p w:rsidR="00483071" w:rsidRPr="00483071" w:rsidRDefault="00483071" w:rsidP="009E652F">
      <w:pPr>
        <w:ind w:left="-284"/>
        <w:rPr>
          <w:rFonts w:ascii="Open Sans" w:hAnsi="Open Sans" w:cs="Open Sans"/>
          <w:sz w:val="24"/>
          <w:szCs w:val="24"/>
        </w:rPr>
      </w:pPr>
    </w:p>
    <w:sectPr w:rsidR="00483071" w:rsidRPr="00483071" w:rsidSect="009F61FA">
      <w:headerReference w:type="even" r:id="rId33"/>
      <w:headerReference w:type="default" r:id="rId34"/>
      <w:footerReference w:type="even" r:id="rId35"/>
      <w:footerReference w:type="default" r:id="rId36"/>
      <w:headerReference w:type="first" r:id="rId37"/>
      <w:footerReference w:type="first" r:id="rId38"/>
      <w:pgSz w:w="11906" w:h="16838"/>
      <w:pgMar w:top="183" w:right="567" w:bottom="851" w:left="14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E10" w:rsidRDefault="007D5E10" w:rsidP="001A7589">
      <w:r>
        <w:separator/>
      </w:r>
    </w:p>
  </w:endnote>
  <w:endnote w:type="continuationSeparator" w:id="0">
    <w:p w:rsidR="007D5E10" w:rsidRDefault="007D5E10" w:rsidP="001A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10E" w:rsidRDefault="0091110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357856"/>
      <w:docPartObj>
        <w:docPartGallery w:val="Page Numbers (Bottom of Page)"/>
        <w:docPartUnique/>
      </w:docPartObj>
    </w:sdtPr>
    <w:sdtEndPr/>
    <w:sdtContent>
      <w:sdt>
        <w:sdtPr>
          <w:id w:val="-292905539"/>
          <w:docPartObj>
            <w:docPartGallery w:val="Page Numbers (Bottom of Page)"/>
            <w:docPartUnique/>
          </w:docPartObj>
        </w:sdtPr>
        <w:sdtEndPr/>
        <w:sdtContent>
          <w:p w:rsidR="00C37C80" w:rsidRDefault="00C37C80" w:rsidP="00ED73E7">
            <w:pPr>
              <w:pStyle w:val="Rodap"/>
              <w:pBdr>
                <w:top w:val="single" w:sz="4" w:space="1" w:color="auto"/>
              </w:pBdr>
              <w:ind w:left="-284" w:right="367"/>
              <w:jc w:val="right"/>
            </w:pPr>
            <w:r>
              <w:fldChar w:fldCharType="begin"/>
            </w:r>
            <w:r>
              <w:instrText>PAGE   \* MERGEFORMAT</w:instrText>
            </w:r>
            <w:r>
              <w:fldChar w:fldCharType="separate"/>
            </w:r>
            <w:r w:rsidR="00457D27">
              <w:rPr>
                <w:noProof/>
              </w:rPr>
              <w:t>3</w:t>
            </w:r>
            <w:r>
              <w:fldChar w:fldCharType="end"/>
            </w:r>
          </w:p>
        </w:sdtContent>
      </w:sdt>
      <w:p w:rsidR="00C37C80" w:rsidRDefault="00457D27" w:rsidP="00ED73E7">
        <w:pPr>
          <w:pStyle w:val="Rodap"/>
          <w:jc w:val="right"/>
        </w:pPr>
      </w:p>
    </w:sdtContent>
  </w:sdt>
  <w:p w:rsidR="00C37C80" w:rsidRDefault="00C37C80" w:rsidP="00ED73E7">
    <w:pPr>
      <w:pStyle w:val="Rodap"/>
      <w:ind w:left="-284" w:right="36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021691"/>
      <w:docPartObj>
        <w:docPartGallery w:val="Page Numbers (Bottom of Page)"/>
        <w:docPartUnique/>
      </w:docPartObj>
    </w:sdtPr>
    <w:sdtEndPr/>
    <w:sdtContent>
      <w:p w:rsidR="00C37C80" w:rsidRDefault="00C37C80" w:rsidP="00ED73E7">
        <w:pPr>
          <w:pStyle w:val="Rodap"/>
          <w:pBdr>
            <w:top w:val="single" w:sz="4" w:space="1" w:color="auto"/>
          </w:pBdr>
          <w:ind w:left="-284" w:right="367"/>
          <w:jc w:val="right"/>
        </w:pPr>
        <w:r>
          <w:fldChar w:fldCharType="begin"/>
        </w:r>
        <w:r>
          <w:instrText>PAGE   \* MERGEFORMAT</w:instrText>
        </w:r>
        <w:r>
          <w:fldChar w:fldCharType="separate"/>
        </w:r>
        <w:r w:rsidR="00457D27">
          <w:rPr>
            <w:noProof/>
          </w:rPr>
          <w:t>1</w:t>
        </w:r>
        <w:r>
          <w:fldChar w:fldCharType="end"/>
        </w:r>
      </w:p>
    </w:sdtContent>
  </w:sdt>
  <w:p w:rsidR="00C37C80" w:rsidRDefault="00C37C8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E10" w:rsidRDefault="007D5E10" w:rsidP="001A7589">
      <w:r>
        <w:separator/>
      </w:r>
    </w:p>
  </w:footnote>
  <w:footnote w:type="continuationSeparator" w:id="0">
    <w:p w:rsidR="007D5E10" w:rsidRDefault="007D5E10" w:rsidP="001A7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10E" w:rsidRDefault="0091110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10E" w:rsidRDefault="0091110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C80" w:rsidRDefault="00C37C80" w:rsidP="001A7589">
    <w:pPr>
      <w:pStyle w:val="Cabealho"/>
    </w:pPr>
    <w:r>
      <w:rPr>
        <w:noProof/>
      </w:rPr>
      <mc:AlternateContent>
        <mc:Choice Requires="wps">
          <w:drawing>
            <wp:anchor distT="0" distB="0" distL="114300" distR="114300" simplePos="0" relativeHeight="251661312" behindDoc="0" locked="0" layoutInCell="0" allowOverlap="1" wp14:anchorId="0A2A3DD6" wp14:editId="1192E801">
              <wp:simplePos x="0" y="0"/>
              <wp:positionH relativeFrom="column">
                <wp:posOffset>1193800</wp:posOffset>
              </wp:positionH>
              <wp:positionV relativeFrom="paragraph">
                <wp:posOffset>290830</wp:posOffset>
              </wp:positionV>
              <wp:extent cx="2422525" cy="755650"/>
              <wp:effectExtent l="0" t="0" r="0" b="6350"/>
              <wp:wrapNone/>
              <wp:docPr id="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755650"/>
                      </a:xfrm>
                      <a:prstGeom prst="rect">
                        <a:avLst/>
                      </a:prstGeom>
                      <a:noFill/>
                      <a:ln>
                        <a:noFill/>
                      </a:ln>
                    </wps:spPr>
                    <wps:txbx>
                      <w:txbxContent>
                        <w:p w:rsidR="00C37C80" w:rsidRPr="00B633EE" w:rsidRDefault="00C37C80" w:rsidP="001A7589">
                          <w:pPr>
                            <w:rPr>
                              <w:rFonts w:ascii="Open Sans" w:hAnsi="Open Sans" w:cs="Open Sans"/>
                              <w:color w:val="365F91" w:themeColor="accent1" w:themeShade="BF"/>
                              <w:sz w:val="24"/>
                              <w:szCs w:val="24"/>
                            </w:rPr>
                          </w:pPr>
                          <w:r w:rsidRPr="00B633EE">
                            <w:rPr>
                              <w:rFonts w:ascii="Open Sans" w:hAnsi="Open Sans" w:cs="Open Sans"/>
                              <w:color w:val="365F91" w:themeColor="accent1" w:themeShade="BF"/>
                              <w:sz w:val="24"/>
                              <w:szCs w:val="24"/>
                            </w:rPr>
                            <w:t>Poder Judiciário</w:t>
                          </w:r>
                          <w:r w:rsidRPr="00B633EE">
                            <w:rPr>
                              <w:rFonts w:ascii="Open Sans" w:hAnsi="Open Sans" w:cs="Open Sans"/>
                              <w:color w:val="365F91" w:themeColor="accent1" w:themeShade="BF"/>
                              <w:sz w:val="24"/>
                              <w:szCs w:val="24"/>
                            </w:rPr>
                            <w:br/>
                            <w:t>Justiça do Trabalho</w:t>
                          </w:r>
                          <w:r w:rsidRPr="00B633EE">
                            <w:rPr>
                              <w:rFonts w:ascii="Open Sans" w:hAnsi="Open Sans" w:cs="Open Sans"/>
                              <w:color w:val="365F91" w:themeColor="accent1" w:themeShade="BF"/>
                              <w:sz w:val="24"/>
                              <w:szCs w:val="24"/>
                            </w:rPr>
                            <w:br/>
                            <w:t>Tribunal Superior do Trabalho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94pt;margin-top:22.9pt;width:190.75pt;height: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xp8AEAAMEDAAAOAAAAZHJzL2Uyb0RvYy54bWysU8GO0zAQvSPxD5bvNG3U7ELUdLV0tQhp&#10;YZF2+YCp4zQWiceM3Sbl6xk73VLghrhY9sz4+c2b59XN2HfioMkbtJVczOZSaKuwNnZXya/P92/e&#10;SuED2Bo6tLqSR+3lzfr1q9XgSp1ji12tSTCI9eXgKtmG4Mos86rVPfgZOm052SD1EPhIu6wmGBi9&#10;77J8Pr/KBqTaESrtPUfvpqRcJ/ym0So8No3XQXSVZG4hrZTWbVyz9QrKHYFrjTrRgH9g0YOx/OgZ&#10;6g4CiD2Zv6B6owg9NmGmsM+waYzSqQfuZjH/o5unFpxOvbA43p1l8v8PVn0+fCFhap7dUgoLPc9o&#10;A2YEUWvxrMeAIo8iDc6XXPvkuDqM73HkC6lh7x5QffPC4qYFu9O3RDi0GmomuYg3s4urE46PINvh&#10;E9b8GOwDJqCxoT4qyJoIRudhHc8DYh5CcTBf5nmRF1Iozl0XxVWRJphB+XLbkQ8fNPYibipJbICE&#10;DocHHyIbKF9K4mMW703XJRN09rcAF8ZIYh8JT9TDuB1PamyxPnIfhJOn+A/wpkX6IcXAfqqk/74H&#10;0lJ0Hy1r8W6xXEYDpsOyuM75QJeZ7WUGrGKoSgYppu0mJNNOFG9Zs8akdqK4E5MTV/ZJ6vLk6WjE&#10;y3Oq+vXz1j8BAAD//wMAUEsDBBQABgAIAAAAIQAuxwS53QAAAAoBAAAPAAAAZHJzL2Rvd25yZXYu&#10;eG1sTI/NTsMwEITvSH0HaytxozYoidI0TlUVcQVRfqTe3HibRMTrKHab8PYsJziOZjTzTbmdXS+u&#10;OIbOk4b7lQKBVHvbUaPh/e3pLgcRoiFrek+o4RsDbKvFTWkK6yd6xeshNoJLKBRGQxvjUEgZ6had&#10;CSs/ILF39qMzkeXYSDuaictdLx+UyqQzHfFCawbct1h/HS5Ow8fz+fiZqJfm0aXD5Gclya2l1rfL&#10;ebcBEXGOf2H4xWd0qJjp5C9kg+hZ5zl/iRqSlC9wIM3WKYgTO1mSg6xK+f9C9QMAAP//AwBQSwEC&#10;LQAUAAYACAAAACEAtoM4kv4AAADhAQAAEwAAAAAAAAAAAAAAAAAAAAAAW0NvbnRlbnRfVHlwZXNd&#10;LnhtbFBLAQItABQABgAIAAAAIQA4/SH/1gAAAJQBAAALAAAAAAAAAAAAAAAAAC8BAABfcmVscy8u&#10;cmVsc1BLAQItABQABgAIAAAAIQCbLlxp8AEAAMEDAAAOAAAAAAAAAAAAAAAAAC4CAABkcnMvZTJv&#10;RG9jLnhtbFBLAQItABQABgAIAAAAIQAuxwS53QAAAAoBAAAPAAAAAAAAAAAAAAAAAEoEAABkcnMv&#10;ZG93bnJldi54bWxQSwUGAAAAAAQABADzAAAAVAUAAAAA&#10;" o:allowincell="f" filled="f" stroked="f">
              <v:textbox>
                <w:txbxContent>
                  <w:p w:rsidR="00C37C80" w:rsidRPr="00B633EE" w:rsidRDefault="00C37C80" w:rsidP="001A7589">
                    <w:pPr>
                      <w:rPr>
                        <w:rFonts w:ascii="Open Sans" w:hAnsi="Open Sans" w:cs="Open Sans"/>
                        <w:color w:val="365F91" w:themeColor="accent1" w:themeShade="BF"/>
                        <w:sz w:val="24"/>
                        <w:szCs w:val="24"/>
                      </w:rPr>
                    </w:pPr>
                    <w:r w:rsidRPr="00B633EE">
                      <w:rPr>
                        <w:rFonts w:ascii="Open Sans" w:hAnsi="Open Sans" w:cs="Open Sans"/>
                        <w:color w:val="365F91" w:themeColor="accent1" w:themeShade="BF"/>
                        <w:sz w:val="24"/>
                        <w:szCs w:val="24"/>
                      </w:rPr>
                      <w:t>Poder Judiciário</w:t>
                    </w:r>
                    <w:r w:rsidRPr="00B633EE">
                      <w:rPr>
                        <w:rFonts w:ascii="Open Sans" w:hAnsi="Open Sans" w:cs="Open Sans"/>
                        <w:color w:val="365F91" w:themeColor="accent1" w:themeShade="BF"/>
                        <w:sz w:val="24"/>
                        <w:szCs w:val="24"/>
                      </w:rPr>
                      <w:br/>
                      <w:t>Justiça do Trabalho</w:t>
                    </w:r>
                    <w:r w:rsidRPr="00B633EE">
                      <w:rPr>
                        <w:rFonts w:ascii="Open Sans" w:hAnsi="Open Sans" w:cs="Open Sans"/>
                        <w:color w:val="365F91" w:themeColor="accent1" w:themeShade="BF"/>
                        <w:sz w:val="24"/>
                        <w:szCs w:val="24"/>
                      </w:rPr>
                      <w:br/>
                      <w:t>Tribunal Superior do Trabalho</w:t>
                    </w:r>
                  </w:p>
                </w:txbxContent>
              </v:textbox>
            </v:shape>
          </w:pict>
        </mc:Fallback>
      </mc:AlternateContent>
    </w:r>
    <w:r>
      <w:rPr>
        <w:noProof/>
      </w:rPr>
      <w:drawing>
        <wp:inline distT="0" distB="0" distL="0" distR="0" wp14:anchorId="4BDB16C0" wp14:editId="2F0499EB">
          <wp:extent cx="1219200" cy="1219200"/>
          <wp:effectExtent l="0" t="0" r="0" b="0"/>
          <wp:docPr id="3" name="Imagem 3" descr="Desenho das Armas Nacionais, também conhecido como Brasão da República. que conforme a Lei nº 5.700/1971, é assim composto:&#10;O escudo redondo será constituído em campo azul-celeste, contendo cinco estrelas de prata, dispostas na forma da constelação Cruzeiro do sul, com a bordadura do campo perfilada de ouro, carregada de estrelas de prata em número igual ao das estrelas existentes na Bandeira Nacional. O escudo ficará pousado numa estrela partida-gironada, de dez peças de sinopla e ouro, bordada de duas  tiras, a interior de goles e a exterior de ouro. O todo brocante sobre uma espada, em pala, empunhada de ouro, guardas de blau, salvo a parte do centro, que é de goles e contendo uma estrela de prata, figurará sobre uma coroa formada de um ramo de café frutificado, à destra, e de outro de fumo florido, à sinistra, ambos da própria cor, atados de blau, ficando o conjunto sobre um resplendor de ouro, cujos contornos formam uma estrela de vinte pontas. Em listel de blau, brocante sobre os punhos da espada, inscrever-se-á, em ouro, a legenda República Federativa do Brasil, no centro, e ainda as expressões &quot;15 de novembro&quot;, na extremidade destra, e as expressões &quot;de 1889&quot;, na sinistra." title="Imagem das Armas Nacion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gov.br/planalto/pt-br/conheca-a-presidencia/acervo/simbolos-nacionais/brasao-da-republica/brasao-versao-ofici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rsidR="00C37C80" w:rsidRDefault="00C37C80" w:rsidP="001A7589">
    <w:pPr>
      <w:pStyle w:val="Cabealho"/>
    </w:pPr>
    <w:r w:rsidRPr="00B633EE">
      <w:rPr>
        <w:rFonts w:ascii="Open Sans" w:hAnsi="Open Sans" w:cs="Open Sans"/>
        <w:noProof/>
        <w:color w:val="006699"/>
        <w:sz w:val="30"/>
      </w:rPr>
      <w:drawing>
        <wp:inline distT="0" distB="0" distL="0" distR="0" wp14:anchorId="606BEF61" wp14:editId="27CB546D">
          <wp:extent cx="6124575" cy="895350"/>
          <wp:effectExtent l="0" t="0" r="9525" b="0"/>
          <wp:docPr id="7" name="Imagem 7" descr="Informativo TST escrito em letras azuis com fundo branco. " title="Informativo T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8086" cy="898787"/>
                  </a:xfrm>
                  <a:prstGeom prst="rect">
                    <a:avLst/>
                  </a:prstGeom>
                  <a:noFill/>
                  <a:ln>
                    <a:noFill/>
                  </a:ln>
                </pic:spPr>
              </pic:pic>
            </a:graphicData>
          </a:graphic>
        </wp:inline>
      </w:drawing>
    </w:r>
  </w:p>
  <w:p w:rsidR="00C37C80" w:rsidRDefault="00C37C80" w:rsidP="001A7589">
    <w:pPr>
      <w:pStyle w:val="Cabealho"/>
    </w:pPr>
  </w:p>
  <w:p w:rsidR="00C37C80" w:rsidRPr="00CE124A" w:rsidRDefault="00C37C80" w:rsidP="001A7589">
    <w:pPr>
      <w:pStyle w:val="Cabealho"/>
      <w:tabs>
        <w:tab w:val="clear" w:pos="4419"/>
        <w:tab w:val="clear" w:pos="8838"/>
        <w:tab w:val="left" w:pos="2793"/>
      </w:tabs>
      <w:ind w:right="510"/>
      <w:jc w:val="right"/>
      <w:rPr>
        <w:rFonts w:ascii="Open Sans" w:hAnsi="Open Sans" w:cs="Open Sans"/>
        <w:i/>
        <w:iCs/>
        <w:color w:val="005DA2"/>
        <w:sz w:val="32"/>
        <w:szCs w:val="32"/>
      </w:rPr>
    </w:pPr>
    <w:r>
      <w:tab/>
    </w:r>
    <w:r>
      <w:tab/>
    </w:r>
    <w:r>
      <w:tab/>
    </w:r>
    <w:r>
      <w:tab/>
    </w:r>
    <w:r>
      <w:tab/>
    </w:r>
    <w:r>
      <w:tab/>
    </w:r>
    <w:r w:rsidRPr="00CE124A">
      <w:rPr>
        <w:rFonts w:ascii="Open Sans" w:hAnsi="Open Sans" w:cs="Open Sans"/>
        <w:b/>
        <w:color w:val="005DA2"/>
        <w:sz w:val="32"/>
        <w:szCs w:val="32"/>
      </w:rPr>
      <w:t xml:space="preserve">Nº </w:t>
    </w:r>
    <w:r>
      <w:rPr>
        <w:rFonts w:ascii="Open Sans" w:hAnsi="Open Sans" w:cs="Open Sans"/>
        <w:b/>
        <w:color w:val="005DA2"/>
        <w:sz w:val="32"/>
        <w:szCs w:val="32"/>
      </w:rPr>
      <w:t>304</w:t>
    </w:r>
  </w:p>
  <w:p w:rsidR="00C37C80" w:rsidRDefault="00C37C80" w:rsidP="001A7589">
    <w:pPr>
      <w:pStyle w:val="Cabealho"/>
      <w:ind w:right="510"/>
      <w:jc w:val="right"/>
    </w:pPr>
    <w:r>
      <w:rPr>
        <w:rFonts w:ascii="Open Sans" w:hAnsi="Open Sans" w:cs="Open Sans"/>
        <w:i/>
        <w:iCs/>
        <w:color w:val="005DA2"/>
        <w:sz w:val="22"/>
        <w:szCs w:val="22"/>
      </w:rPr>
      <w:t>Período: 2 a</w:t>
    </w:r>
    <w:r w:rsidR="00E34AE9">
      <w:rPr>
        <w:rFonts w:ascii="Open Sans" w:hAnsi="Open Sans" w:cs="Open Sans"/>
        <w:i/>
        <w:iCs/>
        <w:color w:val="005DA2"/>
        <w:sz w:val="22"/>
        <w:szCs w:val="22"/>
      </w:rPr>
      <w:t xml:space="preserve"> 24</w:t>
    </w:r>
    <w:r>
      <w:rPr>
        <w:rFonts w:ascii="Open Sans" w:hAnsi="Open Sans" w:cs="Open Sans"/>
        <w:i/>
        <w:iCs/>
        <w:color w:val="005DA2"/>
        <w:sz w:val="22"/>
        <w:szCs w:val="22"/>
      </w:rPr>
      <w:t xml:space="preserve"> de setembro de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589"/>
    <w:rsid w:val="00005B29"/>
    <w:rsid w:val="00007B4C"/>
    <w:rsid w:val="00031D29"/>
    <w:rsid w:val="000516D3"/>
    <w:rsid w:val="0005216E"/>
    <w:rsid w:val="00067B05"/>
    <w:rsid w:val="00080232"/>
    <w:rsid w:val="000A4B2D"/>
    <w:rsid w:val="000E22AB"/>
    <w:rsid w:val="000E5BB5"/>
    <w:rsid w:val="00100430"/>
    <w:rsid w:val="0010138E"/>
    <w:rsid w:val="0010507F"/>
    <w:rsid w:val="00106625"/>
    <w:rsid w:val="00116BCE"/>
    <w:rsid w:val="00117E22"/>
    <w:rsid w:val="00120B9F"/>
    <w:rsid w:val="00141219"/>
    <w:rsid w:val="001666E2"/>
    <w:rsid w:val="001774AC"/>
    <w:rsid w:val="00184AE3"/>
    <w:rsid w:val="0018508D"/>
    <w:rsid w:val="00186870"/>
    <w:rsid w:val="00187CA2"/>
    <w:rsid w:val="001904EB"/>
    <w:rsid w:val="0019383E"/>
    <w:rsid w:val="001938F8"/>
    <w:rsid w:val="00197261"/>
    <w:rsid w:val="001A7589"/>
    <w:rsid w:val="001B09D4"/>
    <w:rsid w:val="001B2054"/>
    <w:rsid w:val="001D45B7"/>
    <w:rsid w:val="001F6A8B"/>
    <w:rsid w:val="002024D3"/>
    <w:rsid w:val="00214C63"/>
    <w:rsid w:val="00215C92"/>
    <w:rsid w:val="00217D24"/>
    <w:rsid w:val="00217ED1"/>
    <w:rsid w:val="00221A76"/>
    <w:rsid w:val="00237254"/>
    <w:rsid w:val="00240F76"/>
    <w:rsid w:val="002443A4"/>
    <w:rsid w:val="0025086E"/>
    <w:rsid w:val="002518B4"/>
    <w:rsid w:val="0025205C"/>
    <w:rsid w:val="002577B3"/>
    <w:rsid w:val="00264E79"/>
    <w:rsid w:val="00267CDD"/>
    <w:rsid w:val="00275847"/>
    <w:rsid w:val="00280B21"/>
    <w:rsid w:val="0028337C"/>
    <w:rsid w:val="00287304"/>
    <w:rsid w:val="00295445"/>
    <w:rsid w:val="002A2C48"/>
    <w:rsid w:val="002A5703"/>
    <w:rsid w:val="002A6C46"/>
    <w:rsid w:val="002C2C0E"/>
    <w:rsid w:val="002C6999"/>
    <w:rsid w:val="002D5C50"/>
    <w:rsid w:val="002D5DD2"/>
    <w:rsid w:val="003002DC"/>
    <w:rsid w:val="00312811"/>
    <w:rsid w:val="00331AB8"/>
    <w:rsid w:val="00332449"/>
    <w:rsid w:val="003326AE"/>
    <w:rsid w:val="0034027C"/>
    <w:rsid w:val="00342DAD"/>
    <w:rsid w:val="003601A1"/>
    <w:rsid w:val="00371858"/>
    <w:rsid w:val="0037595C"/>
    <w:rsid w:val="003A1937"/>
    <w:rsid w:val="003A7AF8"/>
    <w:rsid w:val="003B2187"/>
    <w:rsid w:val="003B25B8"/>
    <w:rsid w:val="003C2B95"/>
    <w:rsid w:val="003C491F"/>
    <w:rsid w:val="003C6AE9"/>
    <w:rsid w:val="003E3024"/>
    <w:rsid w:val="003E3836"/>
    <w:rsid w:val="003F5698"/>
    <w:rsid w:val="00403319"/>
    <w:rsid w:val="0040712A"/>
    <w:rsid w:val="004255DC"/>
    <w:rsid w:val="00427EE1"/>
    <w:rsid w:val="00446797"/>
    <w:rsid w:val="0045759A"/>
    <w:rsid w:val="00457D27"/>
    <w:rsid w:val="00461E50"/>
    <w:rsid w:val="00483071"/>
    <w:rsid w:val="00494C5F"/>
    <w:rsid w:val="00494D7D"/>
    <w:rsid w:val="004A450D"/>
    <w:rsid w:val="004B13CD"/>
    <w:rsid w:val="004B476A"/>
    <w:rsid w:val="004D0108"/>
    <w:rsid w:val="004F05D3"/>
    <w:rsid w:val="004F1F25"/>
    <w:rsid w:val="00523CB7"/>
    <w:rsid w:val="0055436A"/>
    <w:rsid w:val="00561D4F"/>
    <w:rsid w:val="00572062"/>
    <w:rsid w:val="00577911"/>
    <w:rsid w:val="00577BB7"/>
    <w:rsid w:val="005807AB"/>
    <w:rsid w:val="00585786"/>
    <w:rsid w:val="0059054C"/>
    <w:rsid w:val="005920EE"/>
    <w:rsid w:val="00595E46"/>
    <w:rsid w:val="005A3BA6"/>
    <w:rsid w:val="005B47FE"/>
    <w:rsid w:val="005C4B2A"/>
    <w:rsid w:val="005C6FF3"/>
    <w:rsid w:val="005D20D5"/>
    <w:rsid w:val="005D26A2"/>
    <w:rsid w:val="005D3E7A"/>
    <w:rsid w:val="005E30D1"/>
    <w:rsid w:val="005F60E9"/>
    <w:rsid w:val="0060074C"/>
    <w:rsid w:val="006138BD"/>
    <w:rsid w:val="00616EA9"/>
    <w:rsid w:val="006204F8"/>
    <w:rsid w:val="006331D5"/>
    <w:rsid w:val="00633E81"/>
    <w:rsid w:val="00633F18"/>
    <w:rsid w:val="00637DA1"/>
    <w:rsid w:val="00642E68"/>
    <w:rsid w:val="006531A5"/>
    <w:rsid w:val="00654305"/>
    <w:rsid w:val="00657CCB"/>
    <w:rsid w:val="00662DF0"/>
    <w:rsid w:val="006663BA"/>
    <w:rsid w:val="00685AE4"/>
    <w:rsid w:val="006977CE"/>
    <w:rsid w:val="006B07FF"/>
    <w:rsid w:val="006C1995"/>
    <w:rsid w:val="006C65F7"/>
    <w:rsid w:val="006D48E6"/>
    <w:rsid w:val="006F049E"/>
    <w:rsid w:val="006F26C9"/>
    <w:rsid w:val="007007EB"/>
    <w:rsid w:val="00702478"/>
    <w:rsid w:val="007060F4"/>
    <w:rsid w:val="00710069"/>
    <w:rsid w:val="00712DF8"/>
    <w:rsid w:val="007277FA"/>
    <w:rsid w:val="00760156"/>
    <w:rsid w:val="00760D1A"/>
    <w:rsid w:val="00761FD2"/>
    <w:rsid w:val="00762519"/>
    <w:rsid w:val="00766D46"/>
    <w:rsid w:val="00776724"/>
    <w:rsid w:val="00777E16"/>
    <w:rsid w:val="00784588"/>
    <w:rsid w:val="007A48D1"/>
    <w:rsid w:val="007A5586"/>
    <w:rsid w:val="007A7104"/>
    <w:rsid w:val="007B04B6"/>
    <w:rsid w:val="007C3E66"/>
    <w:rsid w:val="007D485F"/>
    <w:rsid w:val="007D5E10"/>
    <w:rsid w:val="007E13EF"/>
    <w:rsid w:val="007E7398"/>
    <w:rsid w:val="007F05BB"/>
    <w:rsid w:val="007F0FDA"/>
    <w:rsid w:val="007F27B7"/>
    <w:rsid w:val="007F48BD"/>
    <w:rsid w:val="00801375"/>
    <w:rsid w:val="0081703C"/>
    <w:rsid w:val="00830363"/>
    <w:rsid w:val="00831072"/>
    <w:rsid w:val="00833E3C"/>
    <w:rsid w:val="008341E5"/>
    <w:rsid w:val="0084200A"/>
    <w:rsid w:val="00847D36"/>
    <w:rsid w:val="008820BE"/>
    <w:rsid w:val="008B28A4"/>
    <w:rsid w:val="008B2BC3"/>
    <w:rsid w:val="008C5756"/>
    <w:rsid w:val="008D4A93"/>
    <w:rsid w:val="008D4C32"/>
    <w:rsid w:val="008E13FE"/>
    <w:rsid w:val="008E1C6C"/>
    <w:rsid w:val="008E3562"/>
    <w:rsid w:val="008F7CDE"/>
    <w:rsid w:val="00904A09"/>
    <w:rsid w:val="00904C7B"/>
    <w:rsid w:val="00905841"/>
    <w:rsid w:val="00905E66"/>
    <w:rsid w:val="00910809"/>
    <w:rsid w:val="0091110E"/>
    <w:rsid w:val="0092007C"/>
    <w:rsid w:val="00934C8F"/>
    <w:rsid w:val="00940C56"/>
    <w:rsid w:val="00945355"/>
    <w:rsid w:val="00962C51"/>
    <w:rsid w:val="00995DB0"/>
    <w:rsid w:val="009978AC"/>
    <w:rsid w:val="009A0B8A"/>
    <w:rsid w:val="009A132C"/>
    <w:rsid w:val="009A4E73"/>
    <w:rsid w:val="009A5395"/>
    <w:rsid w:val="009B0CB1"/>
    <w:rsid w:val="009B14CE"/>
    <w:rsid w:val="009D2B37"/>
    <w:rsid w:val="009E0FFC"/>
    <w:rsid w:val="009E652F"/>
    <w:rsid w:val="009F61FA"/>
    <w:rsid w:val="00A0667C"/>
    <w:rsid w:val="00A07825"/>
    <w:rsid w:val="00A07F3D"/>
    <w:rsid w:val="00A17C34"/>
    <w:rsid w:val="00A220A5"/>
    <w:rsid w:val="00A23C33"/>
    <w:rsid w:val="00A3374D"/>
    <w:rsid w:val="00A34B31"/>
    <w:rsid w:val="00A4674E"/>
    <w:rsid w:val="00A536CB"/>
    <w:rsid w:val="00A53D5E"/>
    <w:rsid w:val="00A6767A"/>
    <w:rsid w:val="00A72074"/>
    <w:rsid w:val="00A931C2"/>
    <w:rsid w:val="00A95E9C"/>
    <w:rsid w:val="00AB0F24"/>
    <w:rsid w:val="00AB2C67"/>
    <w:rsid w:val="00AD2DA9"/>
    <w:rsid w:val="00AD69AA"/>
    <w:rsid w:val="00AE0E98"/>
    <w:rsid w:val="00AE13FC"/>
    <w:rsid w:val="00AE69E7"/>
    <w:rsid w:val="00AE705C"/>
    <w:rsid w:val="00AF2959"/>
    <w:rsid w:val="00AF3258"/>
    <w:rsid w:val="00B16B6B"/>
    <w:rsid w:val="00B2159A"/>
    <w:rsid w:val="00B22C2D"/>
    <w:rsid w:val="00B2441F"/>
    <w:rsid w:val="00B253D9"/>
    <w:rsid w:val="00B419B5"/>
    <w:rsid w:val="00B43E5C"/>
    <w:rsid w:val="00B56B99"/>
    <w:rsid w:val="00B633EE"/>
    <w:rsid w:val="00B65019"/>
    <w:rsid w:val="00B85794"/>
    <w:rsid w:val="00B860BD"/>
    <w:rsid w:val="00B90249"/>
    <w:rsid w:val="00BC020D"/>
    <w:rsid w:val="00C160C2"/>
    <w:rsid w:val="00C31A69"/>
    <w:rsid w:val="00C37C80"/>
    <w:rsid w:val="00C51E70"/>
    <w:rsid w:val="00C60896"/>
    <w:rsid w:val="00C773BF"/>
    <w:rsid w:val="00CA11FB"/>
    <w:rsid w:val="00CA714B"/>
    <w:rsid w:val="00CE3648"/>
    <w:rsid w:val="00CE6EA4"/>
    <w:rsid w:val="00CF69D6"/>
    <w:rsid w:val="00CF6E92"/>
    <w:rsid w:val="00D00237"/>
    <w:rsid w:val="00D111C9"/>
    <w:rsid w:val="00D20A0F"/>
    <w:rsid w:val="00D25722"/>
    <w:rsid w:val="00D25E65"/>
    <w:rsid w:val="00D278EA"/>
    <w:rsid w:val="00D33BB7"/>
    <w:rsid w:val="00D3709C"/>
    <w:rsid w:val="00D4499E"/>
    <w:rsid w:val="00D44A00"/>
    <w:rsid w:val="00D55F08"/>
    <w:rsid w:val="00D663E7"/>
    <w:rsid w:val="00D8426A"/>
    <w:rsid w:val="00D93441"/>
    <w:rsid w:val="00D9528B"/>
    <w:rsid w:val="00DC5579"/>
    <w:rsid w:val="00DC747E"/>
    <w:rsid w:val="00DD6C51"/>
    <w:rsid w:val="00DE478C"/>
    <w:rsid w:val="00DE5970"/>
    <w:rsid w:val="00DE7556"/>
    <w:rsid w:val="00DE7B5D"/>
    <w:rsid w:val="00DE7DB5"/>
    <w:rsid w:val="00DF2692"/>
    <w:rsid w:val="00DF63BA"/>
    <w:rsid w:val="00E00FA7"/>
    <w:rsid w:val="00E0550D"/>
    <w:rsid w:val="00E116B4"/>
    <w:rsid w:val="00E1575C"/>
    <w:rsid w:val="00E34AE9"/>
    <w:rsid w:val="00E34E7B"/>
    <w:rsid w:val="00E47C22"/>
    <w:rsid w:val="00E5496D"/>
    <w:rsid w:val="00E55C41"/>
    <w:rsid w:val="00E61072"/>
    <w:rsid w:val="00E66BEB"/>
    <w:rsid w:val="00E74B59"/>
    <w:rsid w:val="00E83CE0"/>
    <w:rsid w:val="00E97702"/>
    <w:rsid w:val="00ED73E7"/>
    <w:rsid w:val="00EE5B46"/>
    <w:rsid w:val="00EE5EE1"/>
    <w:rsid w:val="00EE6DB1"/>
    <w:rsid w:val="00EF1DFB"/>
    <w:rsid w:val="00EF32E2"/>
    <w:rsid w:val="00F02BC3"/>
    <w:rsid w:val="00F03984"/>
    <w:rsid w:val="00F14FE4"/>
    <w:rsid w:val="00F224D0"/>
    <w:rsid w:val="00F340B4"/>
    <w:rsid w:val="00F34E5D"/>
    <w:rsid w:val="00F35679"/>
    <w:rsid w:val="00F52978"/>
    <w:rsid w:val="00F56C62"/>
    <w:rsid w:val="00F642BF"/>
    <w:rsid w:val="00F65634"/>
    <w:rsid w:val="00F707E9"/>
    <w:rsid w:val="00F76068"/>
    <w:rsid w:val="00FA327E"/>
    <w:rsid w:val="00FB29C7"/>
    <w:rsid w:val="00FC149C"/>
    <w:rsid w:val="00FC4254"/>
    <w:rsid w:val="00FC7F9A"/>
    <w:rsid w:val="00FE0FC5"/>
    <w:rsid w:val="00FF0E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Open Sans"/>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589"/>
    <w:pPr>
      <w:autoSpaceDE w:val="0"/>
      <w:autoSpaceDN w:val="0"/>
      <w:spacing w:after="0" w:line="240" w:lineRule="auto"/>
    </w:pPr>
    <w:rPr>
      <w:rFonts w:ascii="Times New Roman" w:eastAsia="Times New Roman" w:hAnsi="Times New Roman" w:cs="Times New Roman"/>
      <w:sz w:val="20"/>
      <w:szCs w:val="20"/>
      <w:lang w:eastAsia="pt-BR"/>
    </w:rPr>
  </w:style>
  <w:style w:type="paragraph" w:styleId="Ttulo1">
    <w:name w:val="heading 1"/>
    <w:aliases w:val="Órgão"/>
    <w:basedOn w:val="Normal"/>
    <w:next w:val="Normal"/>
    <w:link w:val="Ttulo1Char"/>
    <w:uiPriority w:val="9"/>
    <w:qFormat/>
    <w:rsid w:val="006138BD"/>
    <w:pPr>
      <w:keepNext/>
      <w:keepLines/>
      <w:pBdr>
        <w:top w:val="single" w:sz="4" w:space="1" w:color="auto"/>
        <w:left w:val="single" w:sz="4" w:space="4" w:color="auto"/>
        <w:bottom w:val="single" w:sz="4" w:space="1" w:color="auto"/>
        <w:right w:val="single" w:sz="4" w:space="4" w:color="auto"/>
      </w:pBdr>
      <w:shd w:val="clear" w:color="auto" w:fill="B8CCE4" w:themeFill="accent1" w:themeFillTint="66"/>
      <w:spacing w:before="480"/>
      <w:jc w:val="center"/>
      <w:outlineLvl w:val="0"/>
    </w:pPr>
    <w:rPr>
      <w:rFonts w:ascii="Open Sans" w:eastAsiaTheme="majorEastAsia" w:hAnsi="Open Sans" w:cstheme="majorBid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A7589"/>
    <w:pPr>
      <w:tabs>
        <w:tab w:val="center" w:pos="4419"/>
        <w:tab w:val="right" w:pos="8838"/>
      </w:tabs>
    </w:pPr>
  </w:style>
  <w:style w:type="character" w:customStyle="1" w:styleId="CabealhoChar">
    <w:name w:val="Cabeçalho Char"/>
    <w:basedOn w:val="Fontepargpadro"/>
    <w:link w:val="Cabealho"/>
    <w:uiPriority w:val="99"/>
    <w:rsid w:val="001A7589"/>
    <w:rPr>
      <w:rFonts w:ascii="Times New Roman" w:eastAsia="Times New Roman" w:hAnsi="Times New Roman" w:cs="Times New Roman"/>
      <w:sz w:val="20"/>
      <w:szCs w:val="20"/>
      <w:lang w:eastAsia="pt-BR"/>
    </w:rPr>
  </w:style>
  <w:style w:type="paragraph" w:customStyle="1" w:styleId="Identificao">
    <w:name w:val="Identificação"/>
    <w:basedOn w:val="Normal"/>
    <w:link w:val="IdentificaoChar"/>
    <w:uiPriority w:val="99"/>
    <w:rsid w:val="001A7589"/>
    <w:pPr>
      <w:jc w:val="both"/>
    </w:pPr>
    <w:rPr>
      <w:rFonts w:ascii="Courier New" w:hAnsi="Courier New" w:cs="Courier New"/>
      <w:color w:val="000000"/>
      <w:sz w:val="24"/>
      <w:szCs w:val="24"/>
      <w:lang w:val="en-US"/>
    </w:rPr>
  </w:style>
  <w:style w:type="paragraph" w:customStyle="1" w:styleId="Corpo">
    <w:name w:val="Corpo"/>
    <w:aliases w:val="Relatório + Courier,Negrito,corpoRelatório + Courier,tr,tro,Corpo1,tex,trelatório + Courier"/>
    <w:link w:val="CorpoChar"/>
    <w:uiPriority w:val="99"/>
    <w:qFormat/>
    <w:rsid w:val="001A7589"/>
    <w:pPr>
      <w:autoSpaceDE w:val="0"/>
      <w:autoSpaceDN w:val="0"/>
      <w:spacing w:after="0" w:line="360" w:lineRule="atLeast"/>
      <w:ind w:firstLine="2551"/>
      <w:jc w:val="both"/>
    </w:pPr>
    <w:rPr>
      <w:rFonts w:ascii="Courier New" w:eastAsia="Times New Roman" w:hAnsi="Courier New" w:cs="Courier New"/>
      <w:color w:val="000000"/>
      <w:sz w:val="24"/>
      <w:szCs w:val="24"/>
      <w:lang w:val="en-US" w:eastAsia="pt-BR"/>
    </w:rPr>
  </w:style>
  <w:style w:type="character" w:customStyle="1" w:styleId="CorpoChar">
    <w:name w:val="Corpo Char"/>
    <w:link w:val="Corpo"/>
    <w:uiPriority w:val="99"/>
    <w:locked/>
    <w:rsid w:val="001A7589"/>
    <w:rPr>
      <w:rFonts w:ascii="Courier New" w:eastAsia="Times New Roman" w:hAnsi="Courier New" w:cs="Courier New"/>
      <w:color w:val="000000"/>
      <w:sz w:val="24"/>
      <w:szCs w:val="24"/>
      <w:lang w:val="en-US" w:eastAsia="pt-BR"/>
    </w:rPr>
  </w:style>
  <w:style w:type="character" w:customStyle="1" w:styleId="IdentificaoChar">
    <w:name w:val="Identificação Char"/>
    <w:link w:val="Identificao"/>
    <w:uiPriority w:val="99"/>
    <w:locked/>
    <w:rsid w:val="001A7589"/>
    <w:rPr>
      <w:rFonts w:ascii="Courier New" w:eastAsia="Times New Roman" w:hAnsi="Courier New" w:cs="Courier New"/>
      <w:color w:val="000000"/>
      <w:sz w:val="24"/>
      <w:szCs w:val="24"/>
      <w:lang w:val="en-US" w:eastAsia="pt-BR"/>
    </w:rPr>
  </w:style>
  <w:style w:type="paragraph" w:styleId="Corpodetexto">
    <w:name w:val="Body Text"/>
    <w:basedOn w:val="Normal"/>
    <w:link w:val="CorpodetextoChar"/>
    <w:uiPriority w:val="99"/>
    <w:rsid w:val="001A7589"/>
    <w:pPr>
      <w:jc w:val="center"/>
    </w:pPr>
    <w:rPr>
      <w:b/>
      <w:bCs/>
      <w:sz w:val="26"/>
      <w:szCs w:val="26"/>
    </w:rPr>
  </w:style>
  <w:style w:type="character" w:customStyle="1" w:styleId="CorpodetextoChar">
    <w:name w:val="Corpo de texto Char"/>
    <w:basedOn w:val="Fontepargpadro"/>
    <w:link w:val="Corpodetexto"/>
    <w:uiPriority w:val="99"/>
    <w:rsid w:val="001A7589"/>
    <w:rPr>
      <w:rFonts w:ascii="Times New Roman" w:eastAsia="Times New Roman" w:hAnsi="Times New Roman" w:cs="Times New Roman"/>
      <w:b/>
      <w:bCs/>
      <w:sz w:val="26"/>
      <w:szCs w:val="26"/>
      <w:lang w:eastAsia="pt-BR"/>
    </w:rPr>
  </w:style>
  <w:style w:type="character" w:styleId="Hyperlink">
    <w:name w:val="Hyperlink"/>
    <w:uiPriority w:val="99"/>
    <w:rsid w:val="001A7589"/>
    <w:rPr>
      <w:rFonts w:cs="Times New Roman"/>
      <w:color w:val="0000FF"/>
      <w:u w:val="single"/>
    </w:rPr>
  </w:style>
  <w:style w:type="paragraph" w:styleId="Rodap">
    <w:name w:val="footer"/>
    <w:basedOn w:val="Normal"/>
    <w:link w:val="RodapChar"/>
    <w:uiPriority w:val="99"/>
    <w:unhideWhenUsed/>
    <w:rsid w:val="001A7589"/>
    <w:pPr>
      <w:tabs>
        <w:tab w:val="center" w:pos="4252"/>
        <w:tab w:val="right" w:pos="8504"/>
      </w:tabs>
    </w:pPr>
  </w:style>
  <w:style w:type="character" w:customStyle="1" w:styleId="RodapChar">
    <w:name w:val="Rodapé Char"/>
    <w:basedOn w:val="Fontepargpadro"/>
    <w:link w:val="Rodap"/>
    <w:uiPriority w:val="99"/>
    <w:rsid w:val="001A758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7589"/>
    <w:rPr>
      <w:rFonts w:ascii="Tahoma" w:hAnsi="Tahoma" w:cs="Tahoma"/>
      <w:sz w:val="16"/>
      <w:szCs w:val="16"/>
    </w:rPr>
  </w:style>
  <w:style w:type="character" w:customStyle="1" w:styleId="TextodebaloChar">
    <w:name w:val="Texto de balão Char"/>
    <w:basedOn w:val="Fontepargpadro"/>
    <w:link w:val="Textodebalo"/>
    <w:uiPriority w:val="99"/>
    <w:semiHidden/>
    <w:rsid w:val="001A7589"/>
    <w:rPr>
      <w:rFonts w:ascii="Tahoma" w:eastAsia="Times New Roman" w:hAnsi="Tahoma" w:cs="Tahoma"/>
      <w:sz w:val="16"/>
      <w:szCs w:val="16"/>
      <w:lang w:eastAsia="pt-BR"/>
    </w:rPr>
  </w:style>
  <w:style w:type="character" w:customStyle="1" w:styleId="Ttulo1Char">
    <w:name w:val="Título 1 Char"/>
    <w:aliases w:val="Órgão Char"/>
    <w:basedOn w:val="Fontepargpadro"/>
    <w:link w:val="Ttulo1"/>
    <w:uiPriority w:val="9"/>
    <w:rsid w:val="006138BD"/>
    <w:rPr>
      <w:rFonts w:eastAsiaTheme="majorEastAsia" w:cstheme="majorBidi"/>
      <w:b/>
      <w:bCs/>
      <w:sz w:val="28"/>
      <w:szCs w:val="28"/>
      <w:shd w:val="clear" w:color="auto" w:fill="B8CCE4" w:themeFill="accent1" w:themeFillTint="66"/>
      <w:lang w:eastAsia="pt-BR"/>
    </w:rPr>
  </w:style>
  <w:style w:type="character" w:customStyle="1" w:styleId="fontepargpadro0">
    <w:name w:val="fontepargpadro"/>
    <w:basedOn w:val="Fontepargpadro"/>
    <w:rsid w:val="009E652F"/>
  </w:style>
  <w:style w:type="character" w:customStyle="1" w:styleId="fontepargpadro-000002">
    <w:name w:val="fontepargpadro-000002"/>
    <w:basedOn w:val="Fontepargpadro"/>
    <w:rsid w:val="009E652F"/>
  </w:style>
  <w:style w:type="character" w:customStyle="1" w:styleId="fontepargpadro-000004">
    <w:name w:val="fontepargpadro-000004"/>
    <w:basedOn w:val="Fontepargpadro"/>
    <w:rsid w:val="009E652F"/>
  </w:style>
  <w:style w:type="character" w:customStyle="1" w:styleId="fontepargpadro-000003">
    <w:name w:val="fontepargpadro-000003"/>
    <w:basedOn w:val="Fontepargpadro"/>
    <w:rsid w:val="009E652F"/>
  </w:style>
  <w:style w:type="character" w:customStyle="1" w:styleId="fontepargpadro-000005">
    <w:name w:val="fontepargpadro-000005"/>
    <w:basedOn w:val="Fontepargpadro"/>
    <w:rsid w:val="009E652F"/>
  </w:style>
  <w:style w:type="character" w:customStyle="1" w:styleId="fontepargpadro-000006">
    <w:name w:val="fontepargpadro-000006"/>
    <w:basedOn w:val="Fontepargpadro"/>
    <w:rsid w:val="009E652F"/>
  </w:style>
  <w:style w:type="character" w:customStyle="1" w:styleId="fontepargpadro-000007">
    <w:name w:val="fontepargpadro-000007"/>
    <w:basedOn w:val="Fontepargpadro"/>
    <w:rsid w:val="009E652F"/>
  </w:style>
  <w:style w:type="character" w:customStyle="1" w:styleId="fontepargpadro-000008">
    <w:name w:val="fontepargpadro-000008"/>
    <w:basedOn w:val="Fontepargpadro"/>
    <w:rsid w:val="009E652F"/>
  </w:style>
  <w:style w:type="character" w:customStyle="1" w:styleId="fontepargpadro-000009">
    <w:name w:val="fontepargpadro-000009"/>
    <w:basedOn w:val="Fontepargpadro"/>
    <w:rsid w:val="009E652F"/>
  </w:style>
  <w:style w:type="character" w:customStyle="1" w:styleId="fontepargpadro-000010">
    <w:name w:val="fontepargpadro-000010"/>
    <w:basedOn w:val="Fontepargpadro"/>
    <w:rsid w:val="009E652F"/>
  </w:style>
  <w:style w:type="character" w:customStyle="1" w:styleId="fontepargpadro-000011">
    <w:name w:val="fontepargpadro-000011"/>
    <w:basedOn w:val="Fontepargpadro"/>
    <w:rsid w:val="009E652F"/>
  </w:style>
  <w:style w:type="character" w:customStyle="1" w:styleId="fontepargpadro-000012">
    <w:name w:val="fontepargpadro-000012"/>
    <w:basedOn w:val="Fontepargpadro"/>
    <w:rsid w:val="009E652F"/>
  </w:style>
  <w:style w:type="character" w:customStyle="1" w:styleId="fontepargpadro-000013">
    <w:name w:val="fontepargpadro-000013"/>
    <w:basedOn w:val="Fontepargpadro"/>
    <w:rsid w:val="009E652F"/>
  </w:style>
  <w:style w:type="paragraph" w:styleId="NormalWeb">
    <w:name w:val="Normal (Web)"/>
    <w:basedOn w:val="Normal"/>
    <w:uiPriority w:val="99"/>
    <w:unhideWhenUsed/>
    <w:rsid w:val="00CA714B"/>
    <w:pPr>
      <w:autoSpaceDE/>
      <w:autoSpaceDN/>
      <w:spacing w:before="100" w:beforeAutospacing="1" w:after="100" w:afterAutospacing="1"/>
    </w:pPr>
    <w:rPr>
      <w:sz w:val="24"/>
      <w:szCs w:val="24"/>
    </w:rPr>
  </w:style>
  <w:style w:type="paragraph" w:customStyle="1" w:styleId="Ementa">
    <w:name w:val="Ementa"/>
    <w:basedOn w:val="Normal"/>
    <w:uiPriority w:val="99"/>
    <w:qFormat/>
    <w:rsid w:val="006663BA"/>
    <w:pPr>
      <w:ind w:left="4536"/>
      <w:jc w:val="both"/>
    </w:pPr>
    <w:rPr>
      <w:rFonts w:ascii="Open Sans" w:eastAsiaTheme="minorEastAsia" w:hAnsi="Open Sans" w:cs="Courier New"/>
      <w:color w:val="808000"/>
      <w:sz w:val="24"/>
      <w:szCs w:val="24"/>
    </w:rPr>
  </w:style>
  <w:style w:type="character" w:customStyle="1" w:styleId="fontepargpadro-000028">
    <w:name w:val="fontepargpadro-000028"/>
    <w:basedOn w:val="Fontepargpadro"/>
    <w:rsid w:val="002443A4"/>
  </w:style>
  <w:style w:type="character" w:styleId="HiperlinkVisitado">
    <w:name w:val="FollowedHyperlink"/>
    <w:basedOn w:val="Fontepargpadro"/>
    <w:uiPriority w:val="99"/>
    <w:semiHidden/>
    <w:unhideWhenUsed/>
    <w:rsid w:val="00F0398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Open Sans"/>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589"/>
    <w:pPr>
      <w:autoSpaceDE w:val="0"/>
      <w:autoSpaceDN w:val="0"/>
      <w:spacing w:after="0" w:line="240" w:lineRule="auto"/>
    </w:pPr>
    <w:rPr>
      <w:rFonts w:ascii="Times New Roman" w:eastAsia="Times New Roman" w:hAnsi="Times New Roman" w:cs="Times New Roman"/>
      <w:sz w:val="20"/>
      <w:szCs w:val="20"/>
      <w:lang w:eastAsia="pt-BR"/>
    </w:rPr>
  </w:style>
  <w:style w:type="paragraph" w:styleId="Ttulo1">
    <w:name w:val="heading 1"/>
    <w:aliases w:val="Órgão"/>
    <w:basedOn w:val="Normal"/>
    <w:next w:val="Normal"/>
    <w:link w:val="Ttulo1Char"/>
    <w:uiPriority w:val="9"/>
    <w:qFormat/>
    <w:rsid w:val="006138BD"/>
    <w:pPr>
      <w:keepNext/>
      <w:keepLines/>
      <w:pBdr>
        <w:top w:val="single" w:sz="4" w:space="1" w:color="auto"/>
        <w:left w:val="single" w:sz="4" w:space="4" w:color="auto"/>
        <w:bottom w:val="single" w:sz="4" w:space="1" w:color="auto"/>
        <w:right w:val="single" w:sz="4" w:space="4" w:color="auto"/>
      </w:pBdr>
      <w:shd w:val="clear" w:color="auto" w:fill="B8CCE4" w:themeFill="accent1" w:themeFillTint="66"/>
      <w:spacing w:before="480"/>
      <w:jc w:val="center"/>
      <w:outlineLvl w:val="0"/>
    </w:pPr>
    <w:rPr>
      <w:rFonts w:ascii="Open Sans" w:eastAsiaTheme="majorEastAsia" w:hAnsi="Open Sans" w:cstheme="majorBid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A7589"/>
    <w:pPr>
      <w:tabs>
        <w:tab w:val="center" w:pos="4419"/>
        <w:tab w:val="right" w:pos="8838"/>
      </w:tabs>
    </w:pPr>
  </w:style>
  <w:style w:type="character" w:customStyle="1" w:styleId="CabealhoChar">
    <w:name w:val="Cabeçalho Char"/>
    <w:basedOn w:val="Fontepargpadro"/>
    <w:link w:val="Cabealho"/>
    <w:uiPriority w:val="99"/>
    <w:rsid w:val="001A7589"/>
    <w:rPr>
      <w:rFonts w:ascii="Times New Roman" w:eastAsia="Times New Roman" w:hAnsi="Times New Roman" w:cs="Times New Roman"/>
      <w:sz w:val="20"/>
      <w:szCs w:val="20"/>
      <w:lang w:eastAsia="pt-BR"/>
    </w:rPr>
  </w:style>
  <w:style w:type="paragraph" w:customStyle="1" w:styleId="Identificao">
    <w:name w:val="Identificação"/>
    <w:basedOn w:val="Normal"/>
    <w:link w:val="IdentificaoChar"/>
    <w:uiPriority w:val="99"/>
    <w:rsid w:val="001A7589"/>
    <w:pPr>
      <w:jc w:val="both"/>
    </w:pPr>
    <w:rPr>
      <w:rFonts w:ascii="Courier New" w:hAnsi="Courier New" w:cs="Courier New"/>
      <w:color w:val="000000"/>
      <w:sz w:val="24"/>
      <w:szCs w:val="24"/>
      <w:lang w:val="en-US"/>
    </w:rPr>
  </w:style>
  <w:style w:type="paragraph" w:customStyle="1" w:styleId="Corpo">
    <w:name w:val="Corpo"/>
    <w:aliases w:val="Relatório + Courier,Negrito,corpoRelatório + Courier,tr,tro,Corpo1,tex,trelatório + Courier"/>
    <w:link w:val="CorpoChar"/>
    <w:uiPriority w:val="99"/>
    <w:qFormat/>
    <w:rsid w:val="001A7589"/>
    <w:pPr>
      <w:autoSpaceDE w:val="0"/>
      <w:autoSpaceDN w:val="0"/>
      <w:spacing w:after="0" w:line="360" w:lineRule="atLeast"/>
      <w:ind w:firstLine="2551"/>
      <w:jc w:val="both"/>
    </w:pPr>
    <w:rPr>
      <w:rFonts w:ascii="Courier New" w:eastAsia="Times New Roman" w:hAnsi="Courier New" w:cs="Courier New"/>
      <w:color w:val="000000"/>
      <w:sz w:val="24"/>
      <w:szCs w:val="24"/>
      <w:lang w:val="en-US" w:eastAsia="pt-BR"/>
    </w:rPr>
  </w:style>
  <w:style w:type="character" w:customStyle="1" w:styleId="CorpoChar">
    <w:name w:val="Corpo Char"/>
    <w:link w:val="Corpo"/>
    <w:uiPriority w:val="99"/>
    <w:locked/>
    <w:rsid w:val="001A7589"/>
    <w:rPr>
      <w:rFonts w:ascii="Courier New" w:eastAsia="Times New Roman" w:hAnsi="Courier New" w:cs="Courier New"/>
      <w:color w:val="000000"/>
      <w:sz w:val="24"/>
      <w:szCs w:val="24"/>
      <w:lang w:val="en-US" w:eastAsia="pt-BR"/>
    </w:rPr>
  </w:style>
  <w:style w:type="character" w:customStyle="1" w:styleId="IdentificaoChar">
    <w:name w:val="Identificação Char"/>
    <w:link w:val="Identificao"/>
    <w:uiPriority w:val="99"/>
    <w:locked/>
    <w:rsid w:val="001A7589"/>
    <w:rPr>
      <w:rFonts w:ascii="Courier New" w:eastAsia="Times New Roman" w:hAnsi="Courier New" w:cs="Courier New"/>
      <w:color w:val="000000"/>
      <w:sz w:val="24"/>
      <w:szCs w:val="24"/>
      <w:lang w:val="en-US" w:eastAsia="pt-BR"/>
    </w:rPr>
  </w:style>
  <w:style w:type="paragraph" w:styleId="Corpodetexto">
    <w:name w:val="Body Text"/>
    <w:basedOn w:val="Normal"/>
    <w:link w:val="CorpodetextoChar"/>
    <w:uiPriority w:val="99"/>
    <w:rsid w:val="001A7589"/>
    <w:pPr>
      <w:jc w:val="center"/>
    </w:pPr>
    <w:rPr>
      <w:b/>
      <w:bCs/>
      <w:sz w:val="26"/>
      <w:szCs w:val="26"/>
    </w:rPr>
  </w:style>
  <w:style w:type="character" w:customStyle="1" w:styleId="CorpodetextoChar">
    <w:name w:val="Corpo de texto Char"/>
    <w:basedOn w:val="Fontepargpadro"/>
    <w:link w:val="Corpodetexto"/>
    <w:uiPriority w:val="99"/>
    <w:rsid w:val="001A7589"/>
    <w:rPr>
      <w:rFonts w:ascii="Times New Roman" w:eastAsia="Times New Roman" w:hAnsi="Times New Roman" w:cs="Times New Roman"/>
      <w:b/>
      <w:bCs/>
      <w:sz w:val="26"/>
      <w:szCs w:val="26"/>
      <w:lang w:eastAsia="pt-BR"/>
    </w:rPr>
  </w:style>
  <w:style w:type="character" w:styleId="Hyperlink">
    <w:name w:val="Hyperlink"/>
    <w:uiPriority w:val="99"/>
    <w:rsid w:val="001A7589"/>
    <w:rPr>
      <w:rFonts w:cs="Times New Roman"/>
      <w:color w:val="0000FF"/>
      <w:u w:val="single"/>
    </w:rPr>
  </w:style>
  <w:style w:type="paragraph" w:styleId="Rodap">
    <w:name w:val="footer"/>
    <w:basedOn w:val="Normal"/>
    <w:link w:val="RodapChar"/>
    <w:uiPriority w:val="99"/>
    <w:unhideWhenUsed/>
    <w:rsid w:val="001A7589"/>
    <w:pPr>
      <w:tabs>
        <w:tab w:val="center" w:pos="4252"/>
        <w:tab w:val="right" w:pos="8504"/>
      </w:tabs>
    </w:pPr>
  </w:style>
  <w:style w:type="character" w:customStyle="1" w:styleId="RodapChar">
    <w:name w:val="Rodapé Char"/>
    <w:basedOn w:val="Fontepargpadro"/>
    <w:link w:val="Rodap"/>
    <w:uiPriority w:val="99"/>
    <w:rsid w:val="001A758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7589"/>
    <w:rPr>
      <w:rFonts w:ascii="Tahoma" w:hAnsi="Tahoma" w:cs="Tahoma"/>
      <w:sz w:val="16"/>
      <w:szCs w:val="16"/>
    </w:rPr>
  </w:style>
  <w:style w:type="character" w:customStyle="1" w:styleId="TextodebaloChar">
    <w:name w:val="Texto de balão Char"/>
    <w:basedOn w:val="Fontepargpadro"/>
    <w:link w:val="Textodebalo"/>
    <w:uiPriority w:val="99"/>
    <w:semiHidden/>
    <w:rsid w:val="001A7589"/>
    <w:rPr>
      <w:rFonts w:ascii="Tahoma" w:eastAsia="Times New Roman" w:hAnsi="Tahoma" w:cs="Tahoma"/>
      <w:sz w:val="16"/>
      <w:szCs w:val="16"/>
      <w:lang w:eastAsia="pt-BR"/>
    </w:rPr>
  </w:style>
  <w:style w:type="character" w:customStyle="1" w:styleId="Ttulo1Char">
    <w:name w:val="Título 1 Char"/>
    <w:aliases w:val="Órgão Char"/>
    <w:basedOn w:val="Fontepargpadro"/>
    <w:link w:val="Ttulo1"/>
    <w:uiPriority w:val="9"/>
    <w:rsid w:val="006138BD"/>
    <w:rPr>
      <w:rFonts w:eastAsiaTheme="majorEastAsia" w:cstheme="majorBidi"/>
      <w:b/>
      <w:bCs/>
      <w:sz w:val="28"/>
      <w:szCs w:val="28"/>
      <w:shd w:val="clear" w:color="auto" w:fill="B8CCE4" w:themeFill="accent1" w:themeFillTint="66"/>
      <w:lang w:eastAsia="pt-BR"/>
    </w:rPr>
  </w:style>
  <w:style w:type="character" w:customStyle="1" w:styleId="fontepargpadro0">
    <w:name w:val="fontepargpadro"/>
    <w:basedOn w:val="Fontepargpadro"/>
    <w:rsid w:val="009E652F"/>
  </w:style>
  <w:style w:type="character" w:customStyle="1" w:styleId="fontepargpadro-000002">
    <w:name w:val="fontepargpadro-000002"/>
    <w:basedOn w:val="Fontepargpadro"/>
    <w:rsid w:val="009E652F"/>
  </w:style>
  <w:style w:type="character" w:customStyle="1" w:styleId="fontepargpadro-000004">
    <w:name w:val="fontepargpadro-000004"/>
    <w:basedOn w:val="Fontepargpadro"/>
    <w:rsid w:val="009E652F"/>
  </w:style>
  <w:style w:type="character" w:customStyle="1" w:styleId="fontepargpadro-000003">
    <w:name w:val="fontepargpadro-000003"/>
    <w:basedOn w:val="Fontepargpadro"/>
    <w:rsid w:val="009E652F"/>
  </w:style>
  <w:style w:type="character" w:customStyle="1" w:styleId="fontepargpadro-000005">
    <w:name w:val="fontepargpadro-000005"/>
    <w:basedOn w:val="Fontepargpadro"/>
    <w:rsid w:val="009E652F"/>
  </w:style>
  <w:style w:type="character" w:customStyle="1" w:styleId="fontepargpadro-000006">
    <w:name w:val="fontepargpadro-000006"/>
    <w:basedOn w:val="Fontepargpadro"/>
    <w:rsid w:val="009E652F"/>
  </w:style>
  <w:style w:type="character" w:customStyle="1" w:styleId="fontepargpadro-000007">
    <w:name w:val="fontepargpadro-000007"/>
    <w:basedOn w:val="Fontepargpadro"/>
    <w:rsid w:val="009E652F"/>
  </w:style>
  <w:style w:type="character" w:customStyle="1" w:styleId="fontepargpadro-000008">
    <w:name w:val="fontepargpadro-000008"/>
    <w:basedOn w:val="Fontepargpadro"/>
    <w:rsid w:val="009E652F"/>
  </w:style>
  <w:style w:type="character" w:customStyle="1" w:styleId="fontepargpadro-000009">
    <w:name w:val="fontepargpadro-000009"/>
    <w:basedOn w:val="Fontepargpadro"/>
    <w:rsid w:val="009E652F"/>
  </w:style>
  <w:style w:type="character" w:customStyle="1" w:styleId="fontepargpadro-000010">
    <w:name w:val="fontepargpadro-000010"/>
    <w:basedOn w:val="Fontepargpadro"/>
    <w:rsid w:val="009E652F"/>
  </w:style>
  <w:style w:type="character" w:customStyle="1" w:styleId="fontepargpadro-000011">
    <w:name w:val="fontepargpadro-000011"/>
    <w:basedOn w:val="Fontepargpadro"/>
    <w:rsid w:val="009E652F"/>
  </w:style>
  <w:style w:type="character" w:customStyle="1" w:styleId="fontepargpadro-000012">
    <w:name w:val="fontepargpadro-000012"/>
    <w:basedOn w:val="Fontepargpadro"/>
    <w:rsid w:val="009E652F"/>
  </w:style>
  <w:style w:type="character" w:customStyle="1" w:styleId="fontepargpadro-000013">
    <w:name w:val="fontepargpadro-000013"/>
    <w:basedOn w:val="Fontepargpadro"/>
    <w:rsid w:val="009E652F"/>
  </w:style>
  <w:style w:type="paragraph" w:styleId="NormalWeb">
    <w:name w:val="Normal (Web)"/>
    <w:basedOn w:val="Normal"/>
    <w:uiPriority w:val="99"/>
    <w:unhideWhenUsed/>
    <w:rsid w:val="00CA714B"/>
    <w:pPr>
      <w:autoSpaceDE/>
      <w:autoSpaceDN/>
      <w:spacing w:before="100" w:beforeAutospacing="1" w:after="100" w:afterAutospacing="1"/>
    </w:pPr>
    <w:rPr>
      <w:sz w:val="24"/>
      <w:szCs w:val="24"/>
    </w:rPr>
  </w:style>
  <w:style w:type="paragraph" w:customStyle="1" w:styleId="Ementa">
    <w:name w:val="Ementa"/>
    <w:basedOn w:val="Normal"/>
    <w:uiPriority w:val="99"/>
    <w:qFormat/>
    <w:rsid w:val="006663BA"/>
    <w:pPr>
      <w:ind w:left="4536"/>
      <w:jc w:val="both"/>
    </w:pPr>
    <w:rPr>
      <w:rFonts w:ascii="Open Sans" w:eastAsiaTheme="minorEastAsia" w:hAnsi="Open Sans" w:cs="Courier New"/>
      <w:color w:val="808000"/>
      <w:sz w:val="24"/>
      <w:szCs w:val="24"/>
    </w:rPr>
  </w:style>
  <w:style w:type="character" w:customStyle="1" w:styleId="fontepargpadro-000028">
    <w:name w:val="fontepargpadro-000028"/>
    <w:basedOn w:val="Fontepargpadro"/>
    <w:rsid w:val="002443A4"/>
  </w:style>
  <w:style w:type="character" w:styleId="HiperlinkVisitado">
    <w:name w:val="FollowedHyperlink"/>
    <w:basedOn w:val="Fontepargpadro"/>
    <w:uiPriority w:val="99"/>
    <w:semiHidden/>
    <w:unhideWhenUsed/>
    <w:rsid w:val="00F039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7396">
      <w:bodyDiv w:val="1"/>
      <w:marLeft w:val="0"/>
      <w:marRight w:val="0"/>
      <w:marTop w:val="0"/>
      <w:marBottom w:val="0"/>
      <w:divBdr>
        <w:top w:val="none" w:sz="0" w:space="0" w:color="auto"/>
        <w:left w:val="none" w:sz="0" w:space="0" w:color="auto"/>
        <w:bottom w:val="none" w:sz="0" w:space="0" w:color="auto"/>
        <w:right w:val="none" w:sz="0" w:space="0" w:color="auto"/>
      </w:divBdr>
    </w:div>
    <w:div w:id="183790133">
      <w:bodyDiv w:val="1"/>
      <w:marLeft w:val="0"/>
      <w:marRight w:val="0"/>
      <w:marTop w:val="0"/>
      <w:marBottom w:val="0"/>
      <w:divBdr>
        <w:top w:val="none" w:sz="0" w:space="0" w:color="auto"/>
        <w:left w:val="none" w:sz="0" w:space="0" w:color="auto"/>
        <w:bottom w:val="none" w:sz="0" w:space="0" w:color="auto"/>
        <w:right w:val="none" w:sz="0" w:space="0" w:color="auto"/>
      </w:divBdr>
    </w:div>
    <w:div w:id="203445019">
      <w:bodyDiv w:val="1"/>
      <w:marLeft w:val="0"/>
      <w:marRight w:val="0"/>
      <w:marTop w:val="0"/>
      <w:marBottom w:val="0"/>
      <w:divBdr>
        <w:top w:val="none" w:sz="0" w:space="0" w:color="auto"/>
        <w:left w:val="none" w:sz="0" w:space="0" w:color="auto"/>
        <w:bottom w:val="none" w:sz="0" w:space="0" w:color="auto"/>
        <w:right w:val="none" w:sz="0" w:space="0" w:color="auto"/>
      </w:divBdr>
    </w:div>
    <w:div w:id="653068277">
      <w:bodyDiv w:val="1"/>
      <w:marLeft w:val="0"/>
      <w:marRight w:val="0"/>
      <w:marTop w:val="0"/>
      <w:marBottom w:val="0"/>
      <w:divBdr>
        <w:top w:val="none" w:sz="0" w:space="0" w:color="auto"/>
        <w:left w:val="none" w:sz="0" w:space="0" w:color="auto"/>
        <w:bottom w:val="none" w:sz="0" w:space="0" w:color="auto"/>
        <w:right w:val="none" w:sz="0" w:space="0" w:color="auto"/>
      </w:divBdr>
    </w:div>
    <w:div w:id="807168789">
      <w:bodyDiv w:val="1"/>
      <w:marLeft w:val="0"/>
      <w:marRight w:val="0"/>
      <w:marTop w:val="0"/>
      <w:marBottom w:val="0"/>
      <w:divBdr>
        <w:top w:val="none" w:sz="0" w:space="0" w:color="auto"/>
        <w:left w:val="none" w:sz="0" w:space="0" w:color="auto"/>
        <w:bottom w:val="none" w:sz="0" w:space="0" w:color="auto"/>
        <w:right w:val="none" w:sz="0" w:space="0" w:color="auto"/>
      </w:divBdr>
    </w:div>
    <w:div w:id="1126119735">
      <w:bodyDiv w:val="1"/>
      <w:marLeft w:val="0"/>
      <w:marRight w:val="0"/>
      <w:marTop w:val="0"/>
      <w:marBottom w:val="0"/>
      <w:divBdr>
        <w:top w:val="none" w:sz="0" w:space="0" w:color="auto"/>
        <w:left w:val="none" w:sz="0" w:space="0" w:color="auto"/>
        <w:bottom w:val="none" w:sz="0" w:space="0" w:color="auto"/>
        <w:right w:val="none" w:sz="0" w:space="0" w:color="auto"/>
      </w:divBdr>
    </w:div>
    <w:div w:id="1149906088">
      <w:bodyDiv w:val="1"/>
      <w:marLeft w:val="0"/>
      <w:marRight w:val="0"/>
      <w:marTop w:val="0"/>
      <w:marBottom w:val="0"/>
      <w:divBdr>
        <w:top w:val="none" w:sz="0" w:space="0" w:color="auto"/>
        <w:left w:val="none" w:sz="0" w:space="0" w:color="auto"/>
        <w:bottom w:val="none" w:sz="0" w:space="0" w:color="auto"/>
        <w:right w:val="none" w:sz="0" w:space="0" w:color="auto"/>
      </w:divBdr>
    </w:div>
    <w:div w:id="1310132377">
      <w:bodyDiv w:val="1"/>
      <w:marLeft w:val="0"/>
      <w:marRight w:val="0"/>
      <w:marTop w:val="0"/>
      <w:marBottom w:val="0"/>
      <w:divBdr>
        <w:top w:val="none" w:sz="0" w:space="0" w:color="auto"/>
        <w:left w:val="none" w:sz="0" w:space="0" w:color="auto"/>
        <w:bottom w:val="none" w:sz="0" w:space="0" w:color="auto"/>
        <w:right w:val="none" w:sz="0" w:space="0" w:color="auto"/>
      </w:divBdr>
    </w:div>
    <w:div w:id="1332442433">
      <w:bodyDiv w:val="1"/>
      <w:marLeft w:val="0"/>
      <w:marRight w:val="0"/>
      <w:marTop w:val="0"/>
      <w:marBottom w:val="0"/>
      <w:divBdr>
        <w:top w:val="none" w:sz="0" w:space="0" w:color="auto"/>
        <w:left w:val="none" w:sz="0" w:space="0" w:color="auto"/>
        <w:bottom w:val="none" w:sz="0" w:space="0" w:color="auto"/>
        <w:right w:val="none" w:sz="0" w:space="0" w:color="auto"/>
      </w:divBdr>
    </w:div>
    <w:div w:id="1385525100">
      <w:bodyDiv w:val="1"/>
      <w:marLeft w:val="0"/>
      <w:marRight w:val="0"/>
      <w:marTop w:val="0"/>
      <w:marBottom w:val="0"/>
      <w:divBdr>
        <w:top w:val="none" w:sz="0" w:space="0" w:color="auto"/>
        <w:left w:val="none" w:sz="0" w:space="0" w:color="auto"/>
        <w:bottom w:val="none" w:sz="0" w:space="0" w:color="auto"/>
        <w:right w:val="none" w:sz="0" w:space="0" w:color="auto"/>
      </w:divBdr>
    </w:div>
    <w:div w:id="1445881452">
      <w:bodyDiv w:val="1"/>
      <w:marLeft w:val="0"/>
      <w:marRight w:val="0"/>
      <w:marTop w:val="0"/>
      <w:marBottom w:val="0"/>
      <w:divBdr>
        <w:top w:val="none" w:sz="0" w:space="0" w:color="auto"/>
        <w:left w:val="none" w:sz="0" w:space="0" w:color="auto"/>
        <w:bottom w:val="none" w:sz="0" w:space="0" w:color="auto"/>
        <w:right w:val="none" w:sz="0" w:space="0" w:color="auto"/>
      </w:divBdr>
    </w:div>
    <w:div w:id="1799176030">
      <w:bodyDiv w:val="1"/>
      <w:marLeft w:val="0"/>
      <w:marRight w:val="0"/>
      <w:marTop w:val="0"/>
      <w:marBottom w:val="0"/>
      <w:divBdr>
        <w:top w:val="none" w:sz="0" w:space="0" w:color="auto"/>
        <w:left w:val="none" w:sz="0" w:space="0" w:color="auto"/>
        <w:bottom w:val="none" w:sz="0" w:space="0" w:color="auto"/>
        <w:right w:val="none" w:sz="0" w:space="0" w:color="auto"/>
      </w:divBdr>
    </w:div>
    <w:div w:id="184825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processual.tst.jus.br/consultaProcessual/resumoForm.do?consulta=1&amp;numeroInt=246202&amp;anoInt=2018" TargetMode="External"/><Relationship Id="rId13" Type="http://schemas.openxmlformats.org/officeDocument/2006/relationships/hyperlink" Target="https://pje.tst.jus.br/consultaprocessual/detalhe-processo/0000753-64.2021.5.10.0018/3" TargetMode="External"/><Relationship Id="rId18" Type="http://schemas.openxmlformats.org/officeDocument/2006/relationships/hyperlink" Target="https://consultaprocessual.tst.jus.br/consultaProcessual/consultaTstNumUnica.do?consulta=Consultar&amp;conscsjt=&amp;numeroTst=1427&amp;digitoTst=66&amp;anoTst=2018&amp;orgaoTst=5&amp;tribunalTst=12&amp;varaTst=0026&amp;submit=Consultar" TargetMode="External"/><Relationship Id="rId26" Type="http://schemas.openxmlformats.org/officeDocument/2006/relationships/hyperlink" Target="https://consultaprocessual.tst.jus.br/consultaProcessual/consultaTstNumUnica.do?consulta=Consultar&amp;conscsjt=&amp;numeroTst=11146&amp;digitoTst=05&amp;anoTst=2018&amp;orgaoTst=5&amp;tribunalTst=03&amp;varaTst=0000&amp;submit=Consultar"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pje.tst.jus.br/consultaprocessual/detalhe-processo/0000061-45.2022.5.05.0511/3"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je.tst.jus.br/consultaprocessual/detalhe-processo/0000263-81.2019.5.05.0008/3" TargetMode="External"/><Relationship Id="rId17" Type="http://schemas.openxmlformats.org/officeDocument/2006/relationships/hyperlink" Target="https://consultaprocessual.tst.jus.br/consultaProcessual/consultaTstNumUnica.do?consulta=Consultar&amp;conscsjt=&amp;numeroTst=10838&amp;digitoTst=36&amp;anoTst=2022&amp;orgaoTst=5&amp;tribunalTst=03&amp;varaTst=0094&amp;submit=Consultar" TargetMode="External"/><Relationship Id="rId25" Type="http://schemas.openxmlformats.org/officeDocument/2006/relationships/hyperlink" Target="https://consultaprocessual.tst.jus.br/consultaProcessual/consultaTstNumUnica.do?consulta=Consultar&amp;conscsjt=&amp;numeroTst=1072&amp;digitoTst=56&amp;anoTst=2017&amp;orgaoTst=5&amp;tribunalTst=12&amp;varaTst=0005&amp;submit=Consultar"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je.tst.jus.br/consultaprocessual/detalhe-processo/0011285-87.2022.5.15.0062/3" TargetMode="External"/><Relationship Id="rId20" Type="http://schemas.openxmlformats.org/officeDocument/2006/relationships/hyperlink" Target="https://consultaprocessual.tst.jus.br/consultaProcessual/consultaTstNumUnica.do?consulta=Consultar&amp;conscsjt=&amp;numeroTst=1000314&amp;digitoTst=24&amp;anoTst=2018&amp;orgaoTst=5&amp;tribunalTst=02&amp;varaTst=0031&amp;submit=Consultar" TargetMode="External"/><Relationship Id="rId29" Type="http://schemas.openxmlformats.org/officeDocument/2006/relationships/hyperlink" Target="https://consultaprocessual.tst.jus.br/consultaProcessual/consultaTstNumUnica.do?consulta=Consultar&amp;conscsjt=&amp;numeroTst=11495&amp;digitoTst=35&amp;anoTst=2021&amp;orgaoTst=5&amp;tribunalTst=15&amp;varaTst=0140&amp;submit=Consult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processual.tst.jus.br/consultaProcessual/consultaTstNumUnica.do?consulta=Consultar&amp;conscsjt=&amp;numeroTst=10436&amp;digitoTst=06&amp;anoTst=2017&amp;orgaoTst=5&amp;tribunalTst=03&amp;varaTst=0069&amp;submit=Consultar" TargetMode="External"/><Relationship Id="rId24" Type="http://schemas.openxmlformats.org/officeDocument/2006/relationships/hyperlink" Target="https://pje.tst.jus.br/consultaprocessual/detalhe-processo/0020921-66.2022.5.04.0003/3" TargetMode="External"/><Relationship Id="rId32" Type="http://schemas.openxmlformats.org/officeDocument/2006/relationships/hyperlink" Target="http://www.tst.jus.br/push"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je.tst.jus.br/consultaprocessual/detalhe-processo/0000787-87.2023.5.23.0121/3" TargetMode="External"/><Relationship Id="rId23" Type="http://schemas.openxmlformats.org/officeDocument/2006/relationships/hyperlink" Target="https://consultaprocessual.tst.jus.br/consultaProcessual/consultaTstNumUnica.do?consulta=Consultar&amp;conscsjt=&amp;numeroTst=400&amp;digitoTst=30&amp;anoTst=2005&amp;orgaoTst=5&amp;tribunalTst=05&amp;varaTst=0016&amp;submit=Consultar" TargetMode="External"/><Relationship Id="rId28" Type="http://schemas.openxmlformats.org/officeDocument/2006/relationships/hyperlink" Target="https://consultaprocessual.tst.jus.br/consultaProcessual/consultaTstNumUnica.do?consulta=Consultar&amp;conscsjt=&amp;numeroTst=10910&amp;digitoTst=61&amp;anoTst=2019&amp;orgaoTst=5&amp;tribunalTst=03&amp;varaTst=0180" TargetMode="External"/><Relationship Id="rId36" Type="http://schemas.openxmlformats.org/officeDocument/2006/relationships/footer" Target="footer2.xml"/><Relationship Id="rId10" Type="http://schemas.openxmlformats.org/officeDocument/2006/relationships/hyperlink" Target="https://pje.tst.jus.br/consultaprocessual/captcha/detalhe-processo/0107195-89.2023.5.01.0000/3" TargetMode="External"/><Relationship Id="rId19" Type="http://schemas.openxmlformats.org/officeDocument/2006/relationships/hyperlink" Target="https://consultaprocessual.tst.jus.br/consultaProcessual/consultaTstNumUnica.do?consulta=Consultar&amp;conscsjt=&amp;numeroTst=1000039&amp;digitoTst=26&amp;anoTst=2020&amp;orgaoTst=5&amp;tribunalTst=02&amp;varaTst=0057&amp;submit=Consultar" TargetMode="External"/><Relationship Id="rId31" Type="http://schemas.openxmlformats.org/officeDocument/2006/relationships/hyperlink" Target="http://www.tst.jus.br/web/guest/informativo-tst" TargetMode="External"/><Relationship Id="rId4" Type="http://schemas.openxmlformats.org/officeDocument/2006/relationships/settings" Target="settings.xml"/><Relationship Id="rId9" Type="http://schemas.openxmlformats.org/officeDocument/2006/relationships/hyperlink" Target="https://consultaprocessual.tst.jus.br/consultaProcessual/consultaTstNumUnica.do?consulta=Consultar&amp;conscsjt=&amp;numeroTst=622&amp;digitoTst=55&amp;anoTst=2017&amp;orgaoTst=5&amp;tribunalTst=10&amp;varaTst=0010&amp;submit=Consultar" TargetMode="External"/><Relationship Id="rId14" Type="http://schemas.openxmlformats.org/officeDocument/2006/relationships/hyperlink" Target="https://consultaprocessual.tst.jus.br/consultaProcessual/consultaTstNumUnica.do?consulta=Consultar&amp;conscsjt=&amp;numeroTst=11070&amp;digitoTst=06&amp;anoTst=2020&amp;orgaoTst=5&amp;tribunalTst=03&amp;varaTst=0163&amp;submit=Consultar" TargetMode="External"/><Relationship Id="rId22" Type="http://schemas.openxmlformats.org/officeDocument/2006/relationships/hyperlink" Target="https://consultaprocessual.tst.jus.br/consultaProcessual/consultaTstNumUnica.do?consulta=Consultar&amp;conscsjt=&amp;numeroTst=100965&amp;digitoTst=65&amp;anoTst=2018&amp;orgaoTst=5&amp;tribunalTst=01&amp;varaTst=0401&amp;submit=Consultar" TargetMode="External"/><Relationship Id="rId27" Type="http://schemas.openxmlformats.org/officeDocument/2006/relationships/hyperlink" Target="https://consultaprocessual.tst.jus.br/consultaProcessual/consultaTstNumUnica.do?consulta=Consultar&amp;conscsjt=&amp;numeroTst=563&amp;digitoTst=46&amp;anoTst=2021&amp;orgaoTst=5&amp;tribunalTst=21&amp;varaTst=0002&amp;submit=Consultar" TargetMode="External"/><Relationship Id="rId30" Type="http://schemas.openxmlformats.org/officeDocument/2006/relationships/hyperlink" Target="mailto:cjur@tst.jus.br" TargetMode="External"/><Relationship Id="rId35"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6561B-3320-49B5-9089-5F9A27E9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26</Pages>
  <Words>14088</Words>
  <Characters>76081</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Andressa Santos Gomes Leonel</dc:creator>
  <cp:lastModifiedBy>Lanna Lucia Viana Pinto</cp:lastModifiedBy>
  <cp:revision>22</cp:revision>
  <dcterms:created xsi:type="dcterms:W3CDTF">2025-10-15T17:23:00Z</dcterms:created>
  <dcterms:modified xsi:type="dcterms:W3CDTF">2025-10-15T18:37:00Z</dcterms:modified>
</cp:coreProperties>
</file>