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247AFE">
        <w:trPr>
          <w:trHeight w:val="537"/>
        </w:trPr>
        <w:tc>
          <w:tcPr>
            <w:tcW w:w="9782" w:type="dxa"/>
            <w:tcBorders>
              <w:top w:val="single" w:sz="4" w:space="0" w:color="auto"/>
            </w:tcBorders>
          </w:tcPr>
          <w:p w:rsidR="00FC2B17" w:rsidRPr="003509A3" w:rsidRDefault="001A7589" w:rsidP="00FC2B17">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tc>
      </w:tr>
    </w:tbl>
    <w:p w:rsidR="002518B4" w:rsidRPr="00174362" w:rsidRDefault="002518B4" w:rsidP="00FC2B17">
      <w:pPr>
        <w:tabs>
          <w:tab w:val="left" w:pos="9498"/>
        </w:tabs>
        <w:ind w:right="369"/>
        <w:jc w:val="both"/>
        <w:rPr>
          <w:rFonts w:ascii="Open Sans" w:hAnsi="Open Sans" w:cs="Open Sans"/>
          <w:b/>
          <w:i/>
          <w:color w:val="000000"/>
          <w:sz w:val="24"/>
          <w:szCs w:val="24"/>
        </w:rPr>
      </w:pPr>
    </w:p>
    <w:p w:rsidR="001A7589" w:rsidRPr="003509A3" w:rsidRDefault="001A7589" w:rsidP="00067B05">
      <w:pPr>
        <w:pStyle w:val="Ttulo1"/>
        <w:spacing w:before="0"/>
        <w:ind w:left="-227" w:right="369"/>
      </w:pPr>
      <w:r w:rsidRPr="003509A3">
        <w:t xml:space="preserve">SUBSEÇÃO </w:t>
      </w:r>
      <w:r>
        <w:t>I</w:t>
      </w:r>
      <w:r w:rsidRPr="003509A3">
        <w:t xml:space="preserve"> ESPECIALIZADA EM DISSÍDIOS INDIVIDUAIS</w:t>
      </w:r>
    </w:p>
    <w:p w:rsidR="009E652F" w:rsidRPr="00986999" w:rsidRDefault="009E652F" w:rsidP="00986999">
      <w:pPr>
        <w:suppressAutoHyphens/>
        <w:ind w:left="-255" w:right="340"/>
        <w:jc w:val="both"/>
        <w:rPr>
          <w:rFonts w:ascii="Open Sans" w:hAnsi="Open Sans" w:cs="Open Sans"/>
          <w:color w:val="000000"/>
          <w:sz w:val="24"/>
          <w:szCs w:val="24"/>
        </w:rPr>
      </w:pPr>
    </w:p>
    <w:p w:rsidR="00986999" w:rsidRPr="00DD16E8" w:rsidRDefault="00986999" w:rsidP="00986999">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Professor</w:t>
      </w:r>
      <w:r w:rsidRPr="00DD16E8">
        <w:rPr>
          <w:rFonts w:ascii="Open Sans" w:hAnsi="Open Sans" w:cs="Open Sans"/>
          <w:b/>
          <w:i/>
          <w:color w:val="000000"/>
          <w:sz w:val="24"/>
          <w:szCs w:val="24"/>
        </w:rPr>
        <w:t>.</w:t>
      </w:r>
      <w:r>
        <w:rPr>
          <w:rFonts w:ascii="Open Sans" w:hAnsi="Open Sans" w:cs="Open Sans"/>
          <w:b/>
          <w:i/>
          <w:color w:val="000000"/>
          <w:sz w:val="24"/>
          <w:szCs w:val="24"/>
        </w:rPr>
        <w:t xml:space="preserve"> Atividades exercidas em plataforma digital. Acréscimo de atribuições e de carga horária. Horas extras devidas. </w:t>
      </w:r>
    </w:p>
    <w:p w:rsidR="00986999" w:rsidRPr="00ED6E6A" w:rsidRDefault="00986999" w:rsidP="00986999">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 xml:space="preserve">As tarefas realizadas por professor em plataforma digital não integram as atividades </w:t>
      </w:r>
      <w:proofErr w:type="gramStart"/>
      <w:r>
        <w:rPr>
          <w:rFonts w:ascii="Open Sans" w:hAnsi="Open Sans" w:cs="Open Sans"/>
          <w:color w:val="000000"/>
          <w:sz w:val="24"/>
          <w:szCs w:val="24"/>
        </w:rPr>
        <w:t>extraclasse originariamente desenvolvidas</w:t>
      </w:r>
      <w:proofErr w:type="gramEnd"/>
      <w:r>
        <w:rPr>
          <w:rFonts w:ascii="Open Sans" w:hAnsi="Open Sans" w:cs="Open Sans"/>
          <w:color w:val="000000"/>
          <w:sz w:val="24"/>
          <w:szCs w:val="24"/>
        </w:rPr>
        <w:t xml:space="preserve"> quando acarretarem acréscimo de atribuições e de carga horária, não caracterizando mera transposição de tarefas para o ambiente virtual. No caso dos autos, o docente passou a ser responsável pela inserção de material didático na plataforma digital, em observância a determinados requisitos técnicos, bem como se tornou necessária a interação com os alunos em ambiente virtual para resolução de dúvidas fora do horário das aulas. Nesse contexto, a SBDI-I, por maioria, deu provimento aos embargos para restabelecer o acórdão regional quanto às horas decorrentes do trabalho executado na plataforma digital, vencidos os</w:t>
      </w:r>
      <w:r w:rsidRPr="00DD16E8">
        <w:rPr>
          <w:rFonts w:ascii="Open Sans" w:hAnsi="Open Sans" w:cs="Open Sans"/>
          <w:color w:val="000000"/>
          <w:sz w:val="24"/>
          <w:szCs w:val="24"/>
        </w:rPr>
        <w:t xml:space="preserve"> Mi</w:t>
      </w:r>
      <w:r>
        <w:rPr>
          <w:rFonts w:ascii="Open Sans" w:hAnsi="Open Sans" w:cs="Open Sans"/>
          <w:color w:val="000000"/>
          <w:sz w:val="24"/>
          <w:szCs w:val="24"/>
        </w:rPr>
        <w:t xml:space="preserve">nistros Breno Medeiros, </w:t>
      </w:r>
      <w:r w:rsidRPr="005E6201">
        <w:rPr>
          <w:rFonts w:ascii="Open Sans" w:hAnsi="Open Sans" w:cs="Open Sans"/>
          <w:color w:val="000000"/>
          <w:sz w:val="24"/>
          <w:szCs w:val="24"/>
        </w:rPr>
        <w:t>Alexandre Luiz Ramos, Aloysio Corrêa da Veiga e a Ministra Dora Maria da Cost</w:t>
      </w:r>
      <w:r>
        <w:rPr>
          <w:rFonts w:ascii="Open Sans" w:hAnsi="Open Sans" w:cs="Open Sans"/>
          <w:color w:val="000000"/>
          <w:sz w:val="24"/>
          <w:szCs w:val="24"/>
        </w:rPr>
        <w:t>a</w:t>
      </w:r>
      <w:r w:rsidRPr="00DD16E8">
        <w:rPr>
          <w:rFonts w:ascii="Open Sans" w:hAnsi="Open Sans" w:cs="Open Sans"/>
          <w:color w:val="000000"/>
          <w:sz w:val="24"/>
          <w:szCs w:val="24"/>
        </w:rPr>
        <w:t xml:space="preserve">. </w:t>
      </w:r>
      <w:r>
        <w:rPr>
          <w:rFonts w:ascii="Open Sans" w:hAnsi="Open Sans" w:cs="Open Sans"/>
          <w:color w:val="0000FF" w:themeColor="hyperlink"/>
          <w:sz w:val="24"/>
          <w:szCs w:val="24"/>
          <w:u w:val="single"/>
        </w:rPr>
        <w:fldChar w:fldCharType="begin"/>
      </w:r>
      <w:r>
        <w:rPr>
          <w:rFonts w:ascii="Open Sans" w:hAnsi="Open Sans" w:cs="Open Sans"/>
          <w:color w:val="0000FF" w:themeColor="hyperlink"/>
          <w:sz w:val="24"/>
          <w:szCs w:val="24"/>
          <w:u w:val="single"/>
        </w:rPr>
        <w:instrText xml:space="preserve"> HYPERLINK "https://consultaprocessual.tst.jus.br/consultaProcessual/consultaTstNumUnica.do?consulta=Consultar&amp;conscsjt=&amp;numeroTst=10866&amp;digitoTst=19&amp;anoTst=2018&amp;orgaoTst=5&amp;tribunalTst=15&amp;varaTst=0091&amp;submit=Consultar" </w:instrText>
      </w:r>
      <w:r>
        <w:rPr>
          <w:rFonts w:ascii="Open Sans" w:hAnsi="Open Sans" w:cs="Open Sans"/>
          <w:color w:val="0000FF" w:themeColor="hyperlink"/>
          <w:sz w:val="24"/>
          <w:szCs w:val="24"/>
          <w:u w:val="single"/>
        </w:rPr>
        <w:fldChar w:fldCharType="separate"/>
      </w:r>
      <w:r w:rsidRPr="00ED6E6A">
        <w:rPr>
          <w:rStyle w:val="Hyperlink"/>
          <w:rFonts w:ascii="Open Sans" w:hAnsi="Open Sans" w:cs="Open Sans"/>
          <w:sz w:val="24"/>
          <w:szCs w:val="24"/>
        </w:rPr>
        <w:t>TST-</w:t>
      </w:r>
      <w:r w:rsidRPr="00ED6E6A">
        <w:rPr>
          <w:rStyle w:val="Hyperlink"/>
          <w:rFonts w:ascii="Open Sans" w:hAnsi="Open Sans" w:cs="Open Sans"/>
          <w:bCs/>
          <w:sz w:val="24"/>
          <w:szCs w:val="24"/>
        </w:rPr>
        <w:t xml:space="preserve">E-RR-10866-19.2018.5.15.0091, </w:t>
      </w:r>
      <w:r w:rsidRPr="00ED6E6A">
        <w:rPr>
          <w:rStyle w:val="Hyperlink"/>
          <w:rFonts w:ascii="Open Sans" w:hAnsi="Open Sans" w:cs="Open Sans"/>
          <w:sz w:val="24"/>
          <w:szCs w:val="24"/>
        </w:rPr>
        <w:t xml:space="preserve">SBDI-I, rel. Min. Hugo Carlos </w:t>
      </w:r>
      <w:proofErr w:type="spellStart"/>
      <w:r w:rsidRPr="00ED6E6A">
        <w:rPr>
          <w:rStyle w:val="Hyperlink"/>
          <w:rFonts w:ascii="Open Sans" w:hAnsi="Open Sans" w:cs="Open Sans"/>
          <w:sz w:val="24"/>
          <w:szCs w:val="24"/>
        </w:rPr>
        <w:t>Scheuermann</w:t>
      </w:r>
      <w:proofErr w:type="spellEnd"/>
      <w:r w:rsidRPr="00ED6E6A">
        <w:rPr>
          <w:rStyle w:val="Hyperlink"/>
          <w:rFonts w:ascii="Open Sans" w:hAnsi="Open Sans" w:cs="Open Sans"/>
          <w:sz w:val="24"/>
          <w:szCs w:val="24"/>
        </w:rPr>
        <w:t>, julgado em 20/3/2025.</w:t>
      </w:r>
    </w:p>
    <w:p w:rsidR="00986999" w:rsidRDefault="00986999" w:rsidP="00986999">
      <w:pPr>
        <w:suppressAutoHyphens/>
        <w:ind w:left="-255" w:right="340"/>
        <w:jc w:val="both"/>
        <w:rPr>
          <w:rFonts w:ascii="Open Sans" w:hAnsi="Open Sans" w:cs="Open Sans"/>
          <w:color w:val="0000FF" w:themeColor="hyperlink"/>
          <w:sz w:val="24"/>
          <w:szCs w:val="24"/>
          <w:u w:val="single"/>
        </w:rPr>
      </w:pPr>
      <w:r>
        <w:rPr>
          <w:rFonts w:ascii="Open Sans" w:hAnsi="Open Sans" w:cs="Open Sans"/>
          <w:color w:val="0000FF" w:themeColor="hyperlink"/>
          <w:sz w:val="24"/>
          <w:szCs w:val="24"/>
          <w:u w:val="single"/>
        </w:rPr>
        <w:fldChar w:fldCharType="end"/>
      </w:r>
    </w:p>
    <w:p w:rsidR="003E60A3" w:rsidRDefault="003E60A3" w:rsidP="003E60A3">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Parcelamento de verbas rescisórias. Previsão em norma coletiva.  Validade. Multa do art. 477, §8º, da CLT. Indevida. </w:t>
      </w:r>
    </w:p>
    <w:p w:rsidR="003E60A3" w:rsidRPr="006A6D79" w:rsidRDefault="008A1A5E" w:rsidP="00247AFE">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É válida a norma coletiva que estabelece o pagamento parcelado das verbas rescisórias, com fixação da data de pagamento da primeira parcela em prazo diverso do estip</w:t>
      </w:r>
      <w:r w:rsidR="008E2D8E">
        <w:rPr>
          <w:rFonts w:ascii="Open Sans" w:hAnsi="Open Sans" w:cs="Open Sans"/>
          <w:color w:val="000000"/>
          <w:sz w:val="24"/>
          <w:szCs w:val="24"/>
        </w:rPr>
        <w:t>ulado no § 6º do art. 477 da CLT. Na espécie,</w:t>
      </w:r>
      <w:r w:rsidR="00973A60">
        <w:rPr>
          <w:rFonts w:ascii="Open Sans" w:hAnsi="Open Sans" w:cs="Open Sans"/>
          <w:color w:val="000000"/>
          <w:sz w:val="24"/>
          <w:szCs w:val="24"/>
        </w:rPr>
        <w:t xml:space="preserve"> não houve redução do montante devido ao empregado, apenas foi transacionada a forma e o prazo de pagamento das verbas rescisórias, os quais não constam no rol </w:t>
      </w:r>
      <w:r w:rsidR="00483402">
        <w:rPr>
          <w:rFonts w:ascii="Open Sans" w:hAnsi="Open Sans" w:cs="Open Sans"/>
          <w:color w:val="000000"/>
          <w:sz w:val="24"/>
          <w:szCs w:val="24"/>
        </w:rPr>
        <w:t xml:space="preserve">previsto no art. 611-B da CLT. Desse modo, </w:t>
      </w:r>
      <w:r w:rsidR="00483402" w:rsidRPr="00483402">
        <w:rPr>
          <w:rFonts w:ascii="Open Sans" w:hAnsi="Open Sans" w:cs="Open Sans"/>
          <w:color w:val="000000"/>
          <w:sz w:val="24"/>
          <w:szCs w:val="24"/>
        </w:rPr>
        <w:t>por não implicar violação de d</w:t>
      </w:r>
      <w:r w:rsidR="00483402">
        <w:rPr>
          <w:rFonts w:ascii="Open Sans" w:hAnsi="Open Sans" w:cs="Open Sans"/>
          <w:color w:val="000000"/>
          <w:sz w:val="24"/>
          <w:szCs w:val="24"/>
        </w:rPr>
        <w:t xml:space="preserve">ireito essencial que integra o </w:t>
      </w:r>
      <w:r w:rsidR="00483402" w:rsidRPr="00483402">
        <w:rPr>
          <w:rFonts w:ascii="Open Sans" w:hAnsi="Open Sans" w:cs="Open Sans"/>
          <w:color w:val="000000"/>
          <w:sz w:val="24"/>
          <w:szCs w:val="24"/>
        </w:rPr>
        <w:t>patamar civilizatório mínimo</w:t>
      </w:r>
      <w:r w:rsidR="00483402">
        <w:rPr>
          <w:rFonts w:ascii="Open Sans" w:hAnsi="Open Sans" w:cs="Open Sans"/>
          <w:color w:val="000000"/>
          <w:sz w:val="24"/>
          <w:szCs w:val="24"/>
        </w:rPr>
        <w:t>, o</w:t>
      </w:r>
      <w:r w:rsidR="00973A60">
        <w:rPr>
          <w:rFonts w:ascii="Open Sans" w:hAnsi="Open Sans" w:cs="Open Sans"/>
          <w:color w:val="000000"/>
          <w:sz w:val="24"/>
          <w:szCs w:val="24"/>
        </w:rPr>
        <w:t xml:space="preserve"> ajuste encontra-se em conformidade com o </w:t>
      </w:r>
      <w:r w:rsidR="00A263A8">
        <w:rPr>
          <w:rFonts w:ascii="Open Sans" w:hAnsi="Open Sans" w:cs="Open Sans"/>
          <w:color w:val="000000"/>
          <w:sz w:val="24"/>
          <w:szCs w:val="24"/>
        </w:rPr>
        <w:t>teor da tese firmada pelo STF no julgamento do ARE 1.121.633 (Tema 1046 da Repercussão Geral)</w:t>
      </w:r>
      <w:r w:rsidR="00247AFE">
        <w:rPr>
          <w:rFonts w:ascii="Open Sans" w:hAnsi="Open Sans" w:cs="Open Sans"/>
          <w:color w:val="000000"/>
          <w:sz w:val="24"/>
          <w:szCs w:val="24"/>
        </w:rPr>
        <w:t xml:space="preserve">. </w:t>
      </w:r>
      <w:r w:rsidR="008E2D8E">
        <w:rPr>
          <w:rFonts w:ascii="Open Sans" w:hAnsi="Open Sans" w:cs="Open Sans"/>
          <w:color w:val="000000"/>
          <w:sz w:val="24"/>
          <w:szCs w:val="24"/>
        </w:rPr>
        <w:t>Consequentemente</w:t>
      </w:r>
      <w:r>
        <w:rPr>
          <w:rFonts w:ascii="Open Sans" w:hAnsi="Open Sans" w:cs="Open Sans"/>
          <w:color w:val="000000"/>
          <w:sz w:val="24"/>
          <w:szCs w:val="24"/>
        </w:rPr>
        <w:t xml:space="preserve">, </w:t>
      </w:r>
      <w:r>
        <w:rPr>
          <w:rFonts w:ascii="Open Sans" w:hAnsi="Open Sans" w:cs="Open Sans"/>
          <w:color w:val="000000"/>
          <w:sz w:val="24"/>
          <w:szCs w:val="24"/>
        </w:rPr>
        <w:lastRenderedPageBreak/>
        <w:t>não havendo</w:t>
      </w:r>
      <w:r w:rsidR="00483402">
        <w:rPr>
          <w:rFonts w:ascii="Open Sans" w:hAnsi="Open Sans" w:cs="Open Sans"/>
          <w:color w:val="000000"/>
          <w:sz w:val="24"/>
          <w:szCs w:val="24"/>
        </w:rPr>
        <w:t xml:space="preserve"> pagamento extemporâneo </w:t>
      </w:r>
      <w:r>
        <w:rPr>
          <w:rFonts w:ascii="Open Sans" w:hAnsi="Open Sans" w:cs="Open Sans"/>
          <w:color w:val="000000"/>
          <w:sz w:val="24"/>
          <w:szCs w:val="24"/>
        </w:rPr>
        <w:t>das verbas rescisórias</w:t>
      </w:r>
      <w:r w:rsidR="008E2D8E">
        <w:rPr>
          <w:rFonts w:ascii="Open Sans" w:hAnsi="Open Sans" w:cs="Open Sans"/>
          <w:color w:val="000000"/>
          <w:sz w:val="24"/>
          <w:szCs w:val="24"/>
        </w:rPr>
        <w:t xml:space="preserve">, é indevida </w:t>
      </w:r>
      <w:r>
        <w:rPr>
          <w:rFonts w:ascii="Open Sans" w:hAnsi="Open Sans" w:cs="Open Sans"/>
          <w:color w:val="000000"/>
          <w:sz w:val="24"/>
          <w:szCs w:val="24"/>
        </w:rPr>
        <w:t xml:space="preserve">a multa prevista no art. 477, § 8º, da CLT.  </w:t>
      </w:r>
      <w:r w:rsidR="003E60A3" w:rsidRPr="003E60A3">
        <w:rPr>
          <w:rFonts w:ascii="Open Sans" w:hAnsi="Open Sans" w:cs="Open Sans"/>
          <w:color w:val="000000"/>
          <w:sz w:val="24"/>
          <w:szCs w:val="24"/>
        </w:rPr>
        <w:t>Com esse en</w:t>
      </w:r>
      <w:r w:rsidR="006A6D79">
        <w:rPr>
          <w:rFonts w:ascii="Open Sans" w:hAnsi="Open Sans" w:cs="Open Sans"/>
          <w:color w:val="000000"/>
          <w:sz w:val="24"/>
          <w:szCs w:val="24"/>
        </w:rPr>
        <w:t xml:space="preserve">tendimento a SBDI-I, por maioria, negou </w:t>
      </w:r>
      <w:proofErr w:type="gramStart"/>
      <w:r w:rsidR="003E60A3" w:rsidRPr="003E60A3">
        <w:rPr>
          <w:rFonts w:ascii="Open Sans" w:hAnsi="Open Sans" w:cs="Open Sans"/>
          <w:color w:val="000000"/>
          <w:sz w:val="24"/>
          <w:szCs w:val="24"/>
        </w:rPr>
        <w:t>provimento</w:t>
      </w:r>
      <w:r w:rsidR="006A6D79">
        <w:rPr>
          <w:rFonts w:ascii="Open Sans" w:hAnsi="Open Sans" w:cs="Open Sans"/>
          <w:color w:val="000000"/>
          <w:sz w:val="24"/>
          <w:szCs w:val="24"/>
        </w:rPr>
        <w:t xml:space="preserve"> aos embargos, v</w:t>
      </w:r>
      <w:r w:rsidR="003E60A3" w:rsidRPr="003E60A3">
        <w:rPr>
          <w:rFonts w:ascii="Open Sans" w:hAnsi="Open Sans" w:cs="Open Sans"/>
          <w:color w:val="000000"/>
          <w:sz w:val="24"/>
          <w:szCs w:val="24"/>
        </w:rPr>
        <w:t>encidos</w:t>
      </w:r>
      <w:proofErr w:type="gramEnd"/>
      <w:r w:rsidR="003E60A3" w:rsidRPr="003E60A3">
        <w:rPr>
          <w:rFonts w:ascii="Open Sans" w:hAnsi="Open Sans" w:cs="Open Sans"/>
          <w:color w:val="000000"/>
          <w:sz w:val="24"/>
          <w:szCs w:val="24"/>
        </w:rPr>
        <w:t xml:space="preserve"> os Ministros José Roberto Freire Pimenta, relator, Cláudio Mascarenhas Brandão, Alberto Bastos </w:t>
      </w:r>
      <w:proofErr w:type="spellStart"/>
      <w:r w:rsidR="003E60A3" w:rsidRPr="003E60A3">
        <w:rPr>
          <w:rFonts w:ascii="Open Sans" w:hAnsi="Open Sans" w:cs="Open Sans"/>
          <w:color w:val="000000"/>
          <w:sz w:val="24"/>
          <w:szCs w:val="24"/>
        </w:rPr>
        <w:t>Balazeiro</w:t>
      </w:r>
      <w:proofErr w:type="spellEnd"/>
      <w:r w:rsidR="003E60A3" w:rsidRPr="003E60A3">
        <w:rPr>
          <w:rFonts w:ascii="Open Sans" w:hAnsi="Open Sans" w:cs="Open Sans"/>
          <w:color w:val="000000"/>
          <w:sz w:val="24"/>
          <w:szCs w:val="24"/>
        </w:rPr>
        <w:t xml:space="preserve">, Antônio Fabrício de Matos Gonçalves. Mauricio Jose Godinho Delgado e Ministra </w:t>
      </w:r>
      <w:proofErr w:type="spellStart"/>
      <w:r w:rsidR="003E60A3" w:rsidRPr="003E60A3">
        <w:rPr>
          <w:rFonts w:ascii="Open Sans" w:hAnsi="Open Sans" w:cs="Open Sans"/>
          <w:color w:val="000000"/>
          <w:sz w:val="24"/>
          <w:szCs w:val="24"/>
        </w:rPr>
        <w:t>Delaíde</w:t>
      </w:r>
      <w:proofErr w:type="spellEnd"/>
      <w:r w:rsidR="003E60A3" w:rsidRPr="003E60A3">
        <w:rPr>
          <w:rFonts w:ascii="Open Sans" w:hAnsi="Open Sans" w:cs="Open Sans"/>
          <w:color w:val="000000"/>
          <w:sz w:val="24"/>
          <w:szCs w:val="24"/>
        </w:rPr>
        <w:t xml:space="preserve"> Alv</w:t>
      </w:r>
      <w:r w:rsidR="003E60A3">
        <w:rPr>
          <w:rFonts w:ascii="Open Sans" w:hAnsi="Open Sans" w:cs="Open Sans"/>
          <w:color w:val="000000"/>
          <w:sz w:val="24"/>
          <w:szCs w:val="24"/>
        </w:rPr>
        <w:t>es Miranda Arantes</w:t>
      </w:r>
      <w:r w:rsidR="003E60A3" w:rsidRPr="003E60A3">
        <w:rPr>
          <w:rFonts w:ascii="Open Sans" w:hAnsi="Open Sans" w:cs="Open Sans"/>
          <w:color w:val="000000"/>
          <w:sz w:val="24"/>
          <w:szCs w:val="24"/>
        </w:rPr>
        <w:t>.</w:t>
      </w:r>
      <w:r w:rsidR="003E60A3">
        <w:rPr>
          <w:rFonts w:ascii="Open Sans" w:hAnsi="Open Sans" w:cs="Open Sans"/>
          <w:color w:val="000000"/>
          <w:sz w:val="24"/>
          <w:szCs w:val="24"/>
        </w:rPr>
        <w:t xml:space="preserve"> </w:t>
      </w:r>
      <w:r w:rsidR="006A6D79">
        <w:rPr>
          <w:rFonts w:ascii="Open Sans" w:hAnsi="Open Sans" w:cs="Open Sans"/>
          <w:color w:val="0000FF" w:themeColor="hyperlink"/>
          <w:sz w:val="24"/>
          <w:szCs w:val="24"/>
        </w:rPr>
        <w:fldChar w:fldCharType="begin"/>
      </w:r>
      <w:r w:rsidR="006A6D79">
        <w:rPr>
          <w:rFonts w:ascii="Open Sans" w:hAnsi="Open Sans" w:cs="Open Sans"/>
          <w:color w:val="0000FF" w:themeColor="hyperlink"/>
          <w:sz w:val="24"/>
          <w:szCs w:val="24"/>
        </w:rPr>
        <w:instrText xml:space="preserve"> HYPERLINK "https://consultaprocessual.tst.jus.br/consultaProcessual/consultaTstNumUnica.do?consulta=Consultar&amp;conscsjt=&amp;numeroTst=61700&amp;digitoTst=49&amp;anoTst=2009&amp;orgaoTst=5&amp;tribunalTst=21&amp;varaTst=0002&amp;submit=Consultar" </w:instrText>
      </w:r>
      <w:r w:rsidR="006A6D79">
        <w:rPr>
          <w:rFonts w:ascii="Open Sans" w:hAnsi="Open Sans" w:cs="Open Sans"/>
          <w:color w:val="0000FF" w:themeColor="hyperlink"/>
          <w:sz w:val="24"/>
          <w:szCs w:val="24"/>
        </w:rPr>
        <w:fldChar w:fldCharType="separate"/>
      </w:r>
      <w:r w:rsidR="003E60A3" w:rsidRPr="006A6D79">
        <w:rPr>
          <w:rStyle w:val="Hyperlink"/>
          <w:rFonts w:ascii="Open Sans" w:hAnsi="Open Sans" w:cs="Open Sans"/>
          <w:sz w:val="24"/>
          <w:szCs w:val="24"/>
        </w:rPr>
        <w:t xml:space="preserve"> TST-E-ED-RR - 61700-49.2009.5.21.0002</w:t>
      </w:r>
      <w:r w:rsidR="003E60A3" w:rsidRPr="006A6D79">
        <w:rPr>
          <w:rStyle w:val="Hyperlink"/>
          <w:rFonts w:ascii="Open Sans" w:hAnsi="Open Sans" w:cs="Open Sans"/>
          <w:bCs/>
          <w:sz w:val="24"/>
          <w:szCs w:val="24"/>
        </w:rPr>
        <w:t xml:space="preserve">, </w:t>
      </w:r>
      <w:r w:rsidR="003E60A3" w:rsidRPr="006A6D79">
        <w:rPr>
          <w:rStyle w:val="Hyperlink"/>
          <w:rFonts w:ascii="Open Sans" w:hAnsi="Open Sans" w:cs="Open Sans"/>
          <w:sz w:val="24"/>
          <w:szCs w:val="24"/>
        </w:rPr>
        <w:t>SBDI-I, red. p/ o acórdão Min. Breno Medeiros, julgado em 20/3/2025.</w:t>
      </w:r>
    </w:p>
    <w:p w:rsidR="003E60A3" w:rsidRDefault="006A6D79" w:rsidP="003E60A3">
      <w:pPr>
        <w:suppressAutoHyphens/>
        <w:ind w:left="-255" w:right="340"/>
        <w:jc w:val="both"/>
        <w:rPr>
          <w:rFonts w:ascii="Open Sans" w:hAnsi="Open Sans" w:cs="Open Sans"/>
          <w:color w:val="0000FF" w:themeColor="hyperlink"/>
          <w:sz w:val="24"/>
          <w:szCs w:val="24"/>
          <w:u w:val="single"/>
        </w:rPr>
      </w:pPr>
      <w:r>
        <w:rPr>
          <w:rFonts w:ascii="Open Sans" w:hAnsi="Open Sans" w:cs="Open Sans"/>
          <w:color w:val="0000FF" w:themeColor="hyperlink"/>
          <w:sz w:val="24"/>
          <w:szCs w:val="24"/>
        </w:rPr>
        <w:fldChar w:fldCharType="end"/>
      </w:r>
    </w:p>
    <w:p w:rsidR="003E60A3" w:rsidRPr="00ED6E6A" w:rsidRDefault="003E60A3" w:rsidP="003E60A3">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Empregado eleito membro da CIPA. Estabilidade provisória. Início da fruição. Posse no cargo. Desnecessidade. Art. 10, II, “a”, do ADCT e Súmula nº 339 do TST. </w:t>
      </w:r>
    </w:p>
    <w:p w:rsidR="003E60A3" w:rsidRPr="00ED6E6A" w:rsidRDefault="003E60A3" w:rsidP="00331609">
      <w:pPr>
        <w:tabs>
          <w:tab w:val="left" w:pos="2534"/>
        </w:tabs>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Conforme o disposto no art. 10, II, “a”, do ADCT e o entendimento consolidado na Súmula nº 339 do TST, a posse do membro da Comissão Interna de Prevenção de Acidentes (CIPA) não constitui requisito para a fr</w:t>
      </w:r>
      <w:r w:rsidR="00325E4F">
        <w:rPr>
          <w:rFonts w:ascii="Open Sans" w:hAnsi="Open Sans" w:cs="Open Sans"/>
          <w:color w:val="000000"/>
          <w:sz w:val="24"/>
          <w:szCs w:val="24"/>
        </w:rPr>
        <w:t>uição da estabilidade provisória</w:t>
      </w:r>
      <w:r>
        <w:rPr>
          <w:rFonts w:ascii="Open Sans" w:hAnsi="Open Sans" w:cs="Open Sans"/>
          <w:color w:val="000000"/>
          <w:sz w:val="24"/>
          <w:szCs w:val="24"/>
        </w:rPr>
        <w:t xml:space="preserve">, bastando </w:t>
      </w:r>
      <w:proofErr w:type="gramStart"/>
      <w:r>
        <w:rPr>
          <w:rFonts w:ascii="Open Sans" w:hAnsi="Open Sans" w:cs="Open Sans"/>
          <w:color w:val="000000"/>
          <w:sz w:val="24"/>
          <w:szCs w:val="24"/>
        </w:rPr>
        <w:t>a</w:t>
      </w:r>
      <w:proofErr w:type="gramEnd"/>
      <w:r>
        <w:rPr>
          <w:rFonts w:ascii="Open Sans" w:hAnsi="Open Sans" w:cs="Open Sans"/>
          <w:color w:val="000000"/>
          <w:sz w:val="24"/>
          <w:szCs w:val="24"/>
        </w:rPr>
        <w:t xml:space="preserve"> eleição para o cargo. Com esse entendimento a SBDI-I, por maioria negou provimento ao recurso de embargos, vencidos os</w:t>
      </w:r>
      <w:r w:rsidRPr="00DD16E8">
        <w:rPr>
          <w:rFonts w:ascii="Open Sans" w:hAnsi="Open Sans" w:cs="Open Sans"/>
          <w:color w:val="000000"/>
          <w:sz w:val="24"/>
          <w:szCs w:val="24"/>
        </w:rPr>
        <w:t xml:space="preserve"> Mi</w:t>
      </w:r>
      <w:r>
        <w:rPr>
          <w:rFonts w:ascii="Open Sans" w:hAnsi="Open Sans" w:cs="Open Sans"/>
          <w:color w:val="000000"/>
          <w:sz w:val="24"/>
          <w:szCs w:val="24"/>
        </w:rPr>
        <w:t>nistros Alexandre Luiz Ramos e Breno Medeiros.</w:t>
      </w:r>
      <w:r w:rsidRPr="00DD16E8">
        <w:rPr>
          <w:rFonts w:ascii="Open Sans" w:hAnsi="Open Sans" w:cs="Open Sans"/>
          <w:color w:val="000000"/>
          <w:sz w:val="24"/>
          <w:szCs w:val="24"/>
        </w:rPr>
        <w:t xml:space="preserve"> </w:t>
      </w:r>
      <w:r>
        <w:rPr>
          <w:rFonts w:ascii="Open Sans" w:hAnsi="Open Sans" w:cs="Open Sans"/>
          <w:color w:val="0000FF" w:themeColor="hyperlink"/>
          <w:sz w:val="24"/>
          <w:szCs w:val="24"/>
          <w:u w:val="single"/>
        </w:rPr>
        <w:fldChar w:fldCharType="begin"/>
      </w:r>
      <w:r>
        <w:rPr>
          <w:rFonts w:ascii="Open Sans" w:hAnsi="Open Sans" w:cs="Open Sans"/>
          <w:color w:val="0000FF" w:themeColor="hyperlink"/>
          <w:sz w:val="24"/>
          <w:szCs w:val="24"/>
          <w:u w:val="single"/>
        </w:rPr>
        <w:instrText>HYPERLINK "https://consultaprocessual.tst.jus.br/consultaProcessual/consultaTstNumUnica.do?consulta=Consultar&amp;conscsjt=&amp;numeroTst=10582&amp;digitoTst=71&amp;anoTst=2018&amp;orgaoTst=5&amp;tribunalTst=18&amp;varaTst=0141"</w:instrText>
      </w:r>
      <w:r>
        <w:rPr>
          <w:rFonts w:ascii="Open Sans" w:hAnsi="Open Sans" w:cs="Open Sans"/>
          <w:color w:val="0000FF" w:themeColor="hyperlink"/>
          <w:sz w:val="24"/>
          <w:szCs w:val="24"/>
          <w:u w:val="single"/>
        </w:rPr>
        <w:fldChar w:fldCharType="separate"/>
      </w:r>
      <w:r w:rsidRPr="00ED6E6A">
        <w:rPr>
          <w:rStyle w:val="Hyperlink"/>
          <w:rFonts w:ascii="Open Sans" w:hAnsi="Open Sans" w:cs="Open Sans"/>
          <w:sz w:val="24"/>
          <w:szCs w:val="24"/>
        </w:rPr>
        <w:t>TST-</w:t>
      </w:r>
      <w:r w:rsidRPr="00ED6E6A">
        <w:rPr>
          <w:rStyle w:val="Hyperlink"/>
          <w:rFonts w:ascii="Open Sans" w:hAnsi="Open Sans" w:cs="Open Sans"/>
          <w:bCs/>
          <w:sz w:val="24"/>
          <w:szCs w:val="24"/>
        </w:rPr>
        <w:t>E-</w:t>
      </w:r>
      <w:r>
        <w:rPr>
          <w:rStyle w:val="Hyperlink"/>
          <w:rFonts w:ascii="Open Sans" w:hAnsi="Open Sans" w:cs="Open Sans"/>
          <w:bCs/>
          <w:sz w:val="24"/>
          <w:szCs w:val="24"/>
        </w:rPr>
        <w:t>ED</w:t>
      </w:r>
      <w:r w:rsidRPr="00ED6E6A">
        <w:rPr>
          <w:rStyle w:val="Hyperlink"/>
          <w:rFonts w:ascii="Open Sans" w:hAnsi="Open Sans" w:cs="Open Sans"/>
          <w:bCs/>
          <w:sz w:val="24"/>
          <w:szCs w:val="24"/>
        </w:rPr>
        <w:t>RR-</w:t>
      </w:r>
      <w:r w:rsidRPr="00B65FFA">
        <w:rPr>
          <w:rStyle w:val="Hyperlink"/>
          <w:rFonts w:ascii="Open Sans" w:hAnsi="Open Sans" w:cs="Open Sans"/>
          <w:bCs/>
          <w:sz w:val="24"/>
          <w:szCs w:val="24"/>
        </w:rPr>
        <w:t>10582-71.2018.5.18.0141</w:t>
      </w:r>
      <w:r w:rsidRPr="00ED6E6A">
        <w:rPr>
          <w:rStyle w:val="Hyperlink"/>
          <w:rFonts w:ascii="Open Sans" w:hAnsi="Open Sans" w:cs="Open Sans"/>
          <w:bCs/>
          <w:sz w:val="24"/>
          <w:szCs w:val="24"/>
        </w:rPr>
        <w:t xml:space="preserve">, </w:t>
      </w:r>
      <w:r w:rsidRPr="00ED6E6A">
        <w:rPr>
          <w:rStyle w:val="Hyperlink"/>
          <w:rFonts w:ascii="Open Sans" w:hAnsi="Open Sans" w:cs="Open Sans"/>
          <w:sz w:val="24"/>
          <w:szCs w:val="24"/>
        </w:rPr>
        <w:t>SBDI-I, rel. Min. Hugo C</w:t>
      </w:r>
      <w:r>
        <w:rPr>
          <w:rStyle w:val="Hyperlink"/>
          <w:rFonts w:ascii="Open Sans" w:hAnsi="Open Sans" w:cs="Open Sans"/>
          <w:sz w:val="24"/>
          <w:szCs w:val="24"/>
        </w:rPr>
        <w:t xml:space="preserve">arlos </w:t>
      </w:r>
      <w:proofErr w:type="spellStart"/>
      <w:r>
        <w:rPr>
          <w:rStyle w:val="Hyperlink"/>
          <w:rFonts w:ascii="Open Sans" w:hAnsi="Open Sans" w:cs="Open Sans"/>
          <w:sz w:val="24"/>
          <w:szCs w:val="24"/>
        </w:rPr>
        <w:t>Scheuermann</w:t>
      </w:r>
      <w:proofErr w:type="spellEnd"/>
      <w:r>
        <w:rPr>
          <w:rStyle w:val="Hyperlink"/>
          <w:rFonts w:ascii="Open Sans" w:hAnsi="Open Sans" w:cs="Open Sans"/>
          <w:sz w:val="24"/>
          <w:szCs w:val="24"/>
        </w:rPr>
        <w:t>, julgado em 03/4</w:t>
      </w:r>
      <w:r w:rsidRPr="00ED6E6A">
        <w:rPr>
          <w:rStyle w:val="Hyperlink"/>
          <w:rFonts w:ascii="Open Sans" w:hAnsi="Open Sans" w:cs="Open Sans"/>
          <w:sz w:val="24"/>
          <w:szCs w:val="24"/>
        </w:rPr>
        <w:t>/2025.</w:t>
      </w:r>
    </w:p>
    <w:p w:rsidR="003E60A3" w:rsidRPr="003E60A3" w:rsidRDefault="003E60A3" w:rsidP="003E60A3">
      <w:pPr>
        <w:suppressAutoHyphens/>
        <w:ind w:left="-255" w:right="340"/>
        <w:jc w:val="both"/>
        <w:rPr>
          <w:rStyle w:val="Hyperlink"/>
          <w:rFonts w:ascii="Open Sans" w:hAnsi="Open Sans" w:cs="Open Sans"/>
        </w:rPr>
      </w:pPr>
      <w:r>
        <w:rPr>
          <w:rFonts w:ascii="Open Sans" w:hAnsi="Open Sans" w:cs="Open Sans"/>
          <w:color w:val="0000FF" w:themeColor="hyperlink"/>
          <w:sz w:val="24"/>
          <w:szCs w:val="24"/>
          <w:u w:val="single"/>
        </w:rPr>
        <w:fldChar w:fldCharType="end"/>
      </w:r>
    </w:p>
    <w:p w:rsidR="003E60A3" w:rsidRPr="00986999" w:rsidRDefault="003E60A3" w:rsidP="00986999">
      <w:pPr>
        <w:suppressAutoHyphens/>
        <w:ind w:left="-255" w:right="340"/>
        <w:jc w:val="both"/>
        <w:rPr>
          <w:rFonts w:ascii="Open Sans" w:hAnsi="Open Sans" w:cs="Open Sans"/>
          <w:color w:val="000000"/>
          <w:sz w:val="24"/>
          <w:szCs w:val="24"/>
        </w:rPr>
      </w:pPr>
    </w:p>
    <w:p w:rsidR="001A7589" w:rsidRPr="003E0231" w:rsidRDefault="001A7589" w:rsidP="00067B05">
      <w:pPr>
        <w:pStyle w:val="Ttulo1"/>
        <w:spacing w:before="0"/>
        <w:ind w:left="-227" w:right="369"/>
      </w:pPr>
      <w:r w:rsidRPr="003509A3">
        <w:t xml:space="preserve">SUBSEÇÃO </w:t>
      </w:r>
      <w:r>
        <w:t>I</w:t>
      </w:r>
      <w:r w:rsidRPr="003509A3">
        <w:t>I ESPECIALIZADA EM DISSÍDIOS INDIVIDUAIS</w:t>
      </w:r>
    </w:p>
    <w:p w:rsidR="009E652F" w:rsidRDefault="009E652F" w:rsidP="00067B05">
      <w:pPr>
        <w:ind w:left="-227" w:right="369"/>
        <w:jc w:val="both"/>
        <w:rPr>
          <w:rFonts w:ascii="Open Sans" w:hAnsi="Open Sans" w:cs="Open Sans"/>
          <w:b/>
          <w:color w:val="000000"/>
          <w:sz w:val="24"/>
          <w:szCs w:val="24"/>
        </w:rPr>
      </w:pPr>
    </w:p>
    <w:p w:rsidR="00767C0A" w:rsidRPr="00ED6E6A" w:rsidRDefault="00C80869" w:rsidP="00767C0A">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Empregada contratada para exercer a função de advogada</w:t>
      </w:r>
      <w:r w:rsidR="00E629B4">
        <w:rPr>
          <w:rFonts w:ascii="Open Sans" w:hAnsi="Open Sans" w:cs="Open Sans"/>
          <w:b/>
          <w:i/>
          <w:color w:val="000000"/>
          <w:sz w:val="24"/>
          <w:szCs w:val="24"/>
        </w:rPr>
        <w:t>. Obtenção de registro na Ordem dos Advogados do Brasil mediante fraude.</w:t>
      </w:r>
      <w:r>
        <w:rPr>
          <w:rFonts w:ascii="Open Sans" w:hAnsi="Open Sans" w:cs="Open Sans"/>
          <w:b/>
          <w:i/>
          <w:color w:val="000000"/>
          <w:sz w:val="24"/>
          <w:szCs w:val="24"/>
        </w:rPr>
        <w:t xml:space="preserve"> Exercício ilegal da profissão.</w:t>
      </w:r>
      <w:r w:rsidR="00E629B4">
        <w:rPr>
          <w:rFonts w:ascii="Open Sans" w:hAnsi="Open Sans" w:cs="Open Sans"/>
          <w:b/>
          <w:i/>
          <w:color w:val="000000"/>
          <w:sz w:val="24"/>
          <w:szCs w:val="24"/>
        </w:rPr>
        <w:t xml:space="preserve">  </w:t>
      </w:r>
      <w:r>
        <w:rPr>
          <w:rFonts w:ascii="Open Sans" w:hAnsi="Open Sans" w:cs="Open Sans"/>
          <w:b/>
          <w:i/>
          <w:color w:val="000000"/>
          <w:sz w:val="24"/>
          <w:szCs w:val="24"/>
        </w:rPr>
        <w:t xml:space="preserve">Jornada especial. Não enquadramento.  </w:t>
      </w:r>
    </w:p>
    <w:p w:rsidR="00331609" w:rsidRPr="00ED6E6A" w:rsidRDefault="00445815" w:rsidP="00331609">
      <w:pPr>
        <w:tabs>
          <w:tab w:val="left" w:pos="2534"/>
        </w:tabs>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reconhecimento do direito à jornada especial disciplinada no Estatuto da Ordem dos Advogados do Brasil</w:t>
      </w:r>
      <w:r w:rsidRPr="00445815">
        <w:rPr>
          <w:rFonts w:ascii="Open Sans" w:hAnsi="Open Sans" w:cs="Open Sans"/>
          <w:color w:val="000000"/>
          <w:sz w:val="24"/>
          <w:szCs w:val="24"/>
        </w:rPr>
        <w:t xml:space="preserve">, independentemente da regularidade </w:t>
      </w:r>
      <w:r>
        <w:rPr>
          <w:rFonts w:ascii="Open Sans" w:hAnsi="Open Sans" w:cs="Open Sans"/>
          <w:color w:val="000000"/>
          <w:sz w:val="24"/>
          <w:szCs w:val="24"/>
        </w:rPr>
        <w:t>do registro perante a OAB</w:t>
      </w:r>
      <w:r w:rsidRPr="00445815">
        <w:rPr>
          <w:rFonts w:ascii="Open Sans" w:hAnsi="Open Sans" w:cs="Open Sans"/>
          <w:color w:val="000000"/>
          <w:sz w:val="24"/>
          <w:szCs w:val="24"/>
        </w:rPr>
        <w:t xml:space="preserve">, </w:t>
      </w:r>
      <w:r>
        <w:rPr>
          <w:rFonts w:ascii="Open Sans" w:hAnsi="Open Sans" w:cs="Open Sans"/>
          <w:color w:val="000000"/>
          <w:sz w:val="24"/>
          <w:szCs w:val="24"/>
        </w:rPr>
        <w:t xml:space="preserve">viola </w:t>
      </w:r>
      <w:r w:rsidRPr="00445815">
        <w:rPr>
          <w:rFonts w:ascii="Open Sans" w:hAnsi="Open Sans" w:cs="Open Sans"/>
          <w:color w:val="000000"/>
          <w:sz w:val="24"/>
          <w:szCs w:val="24"/>
        </w:rPr>
        <w:t xml:space="preserve">manifestamente o teor do art. 20, </w:t>
      </w:r>
      <w:r>
        <w:rPr>
          <w:rFonts w:ascii="Open Sans" w:hAnsi="Open Sans" w:cs="Open Sans"/>
          <w:i/>
          <w:color w:val="000000"/>
          <w:sz w:val="24"/>
          <w:szCs w:val="24"/>
        </w:rPr>
        <w:t>caput</w:t>
      </w:r>
      <w:r>
        <w:rPr>
          <w:rFonts w:ascii="Open Sans" w:hAnsi="Open Sans" w:cs="Open Sans"/>
          <w:color w:val="000000"/>
          <w:sz w:val="24"/>
          <w:szCs w:val="24"/>
        </w:rPr>
        <w:t xml:space="preserve">, da Lei nº 8.906/1994, uma </w:t>
      </w:r>
      <w:r w:rsidRPr="00445815">
        <w:rPr>
          <w:rFonts w:ascii="Open Sans" w:hAnsi="Open Sans" w:cs="Open Sans"/>
          <w:color w:val="000000"/>
          <w:sz w:val="24"/>
          <w:szCs w:val="24"/>
        </w:rPr>
        <w:t>vez que a norma em questão traz expressa e inequívoca condicionante d</w:t>
      </w:r>
      <w:r>
        <w:rPr>
          <w:rFonts w:ascii="Open Sans" w:hAnsi="Open Sans" w:cs="Open Sans"/>
          <w:color w:val="000000"/>
          <w:sz w:val="24"/>
          <w:szCs w:val="24"/>
        </w:rPr>
        <w:t xml:space="preserve">e que a jornada é destinada aos </w:t>
      </w:r>
      <w:r w:rsidRPr="00445815">
        <w:rPr>
          <w:rFonts w:ascii="Open Sans" w:hAnsi="Open Sans" w:cs="Open Sans"/>
          <w:color w:val="000000"/>
          <w:sz w:val="24"/>
          <w:szCs w:val="24"/>
        </w:rPr>
        <w:t>advogados, e desde que no exercício da profissão.</w:t>
      </w:r>
      <w:r w:rsidR="00331609">
        <w:rPr>
          <w:rFonts w:ascii="Open Sans" w:hAnsi="Open Sans" w:cs="Open Sans"/>
          <w:color w:val="000000"/>
          <w:sz w:val="24"/>
          <w:szCs w:val="24"/>
        </w:rPr>
        <w:t xml:space="preserve"> </w:t>
      </w:r>
      <w:r w:rsidR="00F53E04">
        <w:rPr>
          <w:rFonts w:ascii="Open Sans" w:hAnsi="Open Sans" w:cs="Open Sans"/>
          <w:color w:val="000000"/>
          <w:sz w:val="24"/>
          <w:szCs w:val="24"/>
        </w:rPr>
        <w:t>Assim, s</w:t>
      </w:r>
      <w:r w:rsidRPr="00445815">
        <w:rPr>
          <w:rFonts w:ascii="Open Sans" w:hAnsi="Open Sans" w:cs="Open Sans"/>
          <w:color w:val="000000"/>
          <w:sz w:val="24"/>
          <w:szCs w:val="24"/>
        </w:rPr>
        <w:t>e há exercício irregular da profissão por pesso</w:t>
      </w:r>
      <w:r w:rsidR="00331609">
        <w:rPr>
          <w:rFonts w:ascii="Open Sans" w:hAnsi="Open Sans" w:cs="Open Sans"/>
          <w:color w:val="000000"/>
          <w:sz w:val="24"/>
          <w:szCs w:val="24"/>
        </w:rPr>
        <w:t xml:space="preserve">a que não foi aprovada no Exame </w:t>
      </w:r>
      <w:r w:rsidRPr="00445815">
        <w:rPr>
          <w:rFonts w:ascii="Open Sans" w:hAnsi="Open Sans" w:cs="Open Sans"/>
          <w:color w:val="000000"/>
          <w:sz w:val="24"/>
          <w:szCs w:val="24"/>
        </w:rPr>
        <w:t>de Ordem</w:t>
      </w:r>
      <w:r w:rsidR="00F53E04">
        <w:rPr>
          <w:rFonts w:ascii="Open Sans" w:hAnsi="Open Sans" w:cs="Open Sans"/>
          <w:color w:val="000000"/>
          <w:sz w:val="24"/>
          <w:szCs w:val="24"/>
        </w:rPr>
        <w:t>,</w:t>
      </w:r>
      <w:r w:rsidRPr="00445815">
        <w:rPr>
          <w:rFonts w:ascii="Open Sans" w:hAnsi="Open Sans" w:cs="Open Sans"/>
          <w:color w:val="000000"/>
          <w:sz w:val="24"/>
          <w:szCs w:val="24"/>
        </w:rPr>
        <w:t xml:space="preserve"> não é possível estender-lhe o benefício p</w:t>
      </w:r>
      <w:r w:rsidR="00331609">
        <w:rPr>
          <w:rFonts w:ascii="Open Sans" w:hAnsi="Open Sans" w:cs="Open Sans"/>
          <w:color w:val="000000"/>
          <w:sz w:val="24"/>
          <w:szCs w:val="24"/>
        </w:rPr>
        <w:t xml:space="preserve">revisto na legislação especial. Com esses fundamentos, a SBDI-II, por unanimidade, conheceu do recurso ordinário e, no mérito, negou-lhe provimento, no particular, mantendo a decisão </w:t>
      </w:r>
      <w:r w:rsidR="00331609" w:rsidRPr="00331609">
        <w:rPr>
          <w:rFonts w:ascii="Open Sans" w:hAnsi="Open Sans" w:cs="Open Sans"/>
          <w:color w:val="000000"/>
          <w:sz w:val="24"/>
          <w:szCs w:val="24"/>
        </w:rPr>
        <w:t xml:space="preserve">regional de procedência da ação rescisória, com base no art. 966, V, do CPC, por </w:t>
      </w:r>
      <w:r w:rsidR="00331609">
        <w:rPr>
          <w:rFonts w:ascii="Open Sans" w:hAnsi="Open Sans" w:cs="Open Sans"/>
          <w:color w:val="000000"/>
          <w:sz w:val="24"/>
          <w:szCs w:val="24"/>
        </w:rPr>
        <w:t xml:space="preserve">violação manifesta do art. 20, </w:t>
      </w:r>
      <w:r w:rsidR="00331609" w:rsidRPr="00331609">
        <w:rPr>
          <w:rFonts w:ascii="Open Sans" w:hAnsi="Open Sans" w:cs="Open Sans"/>
          <w:i/>
          <w:color w:val="000000"/>
          <w:sz w:val="24"/>
          <w:szCs w:val="24"/>
        </w:rPr>
        <w:t>caput</w:t>
      </w:r>
      <w:r w:rsidR="00331609" w:rsidRPr="00331609">
        <w:rPr>
          <w:rFonts w:ascii="Open Sans" w:hAnsi="Open Sans" w:cs="Open Sans"/>
          <w:color w:val="000000"/>
          <w:sz w:val="24"/>
          <w:szCs w:val="24"/>
        </w:rPr>
        <w:t>, da Lei nº 8.906/1994.</w:t>
      </w:r>
      <w:r w:rsidR="00F53E04">
        <w:rPr>
          <w:rFonts w:ascii="Open Sans" w:hAnsi="Open Sans" w:cs="Open Sans"/>
          <w:color w:val="000000"/>
          <w:sz w:val="24"/>
          <w:szCs w:val="24"/>
        </w:rPr>
        <w:t xml:space="preserve"> </w:t>
      </w:r>
      <w:r w:rsidR="00331609">
        <w:rPr>
          <w:rFonts w:ascii="Open Sans" w:hAnsi="Open Sans" w:cs="Open Sans"/>
          <w:color w:val="0000FF" w:themeColor="hyperlink"/>
          <w:sz w:val="24"/>
          <w:szCs w:val="24"/>
          <w:u w:val="single"/>
        </w:rPr>
        <w:fldChar w:fldCharType="begin"/>
      </w:r>
      <w:r w:rsidR="00776958">
        <w:rPr>
          <w:rFonts w:ascii="Open Sans" w:hAnsi="Open Sans" w:cs="Open Sans"/>
          <w:color w:val="0000FF" w:themeColor="hyperlink"/>
          <w:sz w:val="24"/>
          <w:szCs w:val="24"/>
          <w:u w:val="single"/>
        </w:rPr>
        <w:instrText>HYPERLINK "https://consultaprocessual.tst.jus.br/consultaProcessual/consultaTstNumUnica.do?consulta=Consultar&amp;conscsjt=&amp;numeroTst=10640&amp;digitoTst=07&amp;anoTst=2021&amp;orgaoTst=5&amp;tribunalTst=18&amp;varaTst=0000&amp;submit=Consultar"</w:instrText>
      </w:r>
      <w:r w:rsidR="00331609">
        <w:rPr>
          <w:rFonts w:ascii="Open Sans" w:hAnsi="Open Sans" w:cs="Open Sans"/>
          <w:color w:val="0000FF" w:themeColor="hyperlink"/>
          <w:sz w:val="24"/>
          <w:szCs w:val="24"/>
          <w:u w:val="single"/>
        </w:rPr>
        <w:fldChar w:fldCharType="separate"/>
      </w:r>
      <w:r w:rsidR="00331609" w:rsidRPr="00ED6E6A">
        <w:rPr>
          <w:rStyle w:val="Hyperlink"/>
          <w:rFonts w:ascii="Open Sans" w:hAnsi="Open Sans" w:cs="Open Sans"/>
          <w:sz w:val="24"/>
          <w:szCs w:val="24"/>
        </w:rPr>
        <w:t>TST-</w:t>
      </w:r>
      <w:r w:rsidR="00331609">
        <w:rPr>
          <w:rStyle w:val="Hyperlink"/>
          <w:rFonts w:ascii="Open Sans" w:hAnsi="Open Sans" w:cs="Open Sans"/>
          <w:bCs/>
          <w:sz w:val="24"/>
          <w:szCs w:val="24"/>
        </w:rPr>
        <w:t>ROT-10640-07.2021.5.18.0000</w:t>
      </w:r>
      <w:r w:rsidR="00331609" w:rsidRPr="00ED6E6A">
        <w:rPr>
          <w:rStyle w:val="Hyperlink"/>
          <w:rFonts w:ascii="Open Sans" w:hAnsi="Open Sans" w:cs="Open Sans"/>
          <w:bCs/>
          <w:sz w:val="24"/>
          <w:szCs w:val="24"/>
        </w:rPr>
        <w:t xml:space="preserve">, </w:t>
      </w:r>
      <w:r w:rsidR="00331609" w:rsidRPr="00ED6E6A">
        <w:rPr>
          <w:rStyle w:val="Hyperlink"/>
          <w:rFonts w:ascii="Open Sans" w:hAnsi="Open Sans" w:cs="Open Sans"/>
          <w:sz w:val="24"/>
          <w:szCs w:val="24"/>
        </w:rPr>
        <w:t>SBDI-I</w:t>
      </w:r>
      <w:r w:rsidR="00331609">
        <w:rPr>
          <w:rStyle w:val="Hyperlink"/>
          <w:rFonts w:ascii="Open Sans" w:hAnsi="Open Sans" w:cs="Open Sans"/>
          <w:sz w:val="24"/>
          <w:szCs w:val="24"/>
        </w:rPr>
        <w:t>I</w:t>
      </w:r>
      <w:r w:rsidR="00331609" w:rsidRPr="00ED6E6A">
        <w:rPr>
          <w:rStyle w:val="Hyperlink"/>
          <w:rFonts w:ascii="Open Sans" w:hAnsi="Open Sans" w:cs="Open Sans"/>
          <w:sz w:val="24"/>
          <w:szCs w:val="24"/>
        </w:rPr>
        <w:t>, rel. Min.</w:t>
      </w:r>
      <w:r w:rsidR="00331609">
        <w:rPr>
          <w:rStyle w:val="Hyperlink"/>
          <w:rFonts w:ascii="Open Sans" w:hAnsi="Open Sans" w:cs="Open Sans"/>
          <w:sz w:val="24"/>
          <w:szCs w:val="24"/>
        </w:rPr>
        <w:t xml:space="preserve"> Morgana de Almeida </w:t>
      </w:r>
      <w:proofErr w:type="spellStart"/>
      <w:r w:rsidR="00331609">
        <w:rPr>
          <w:rStyle w:val="Hyperlink"/>
          <w:rFonts w:ascii="Open Sans" w:hAnsi="Open Sans" w:cs="Open Sans"/>
          <w:sz w:val="24"/>
          <w:szCs w:val="24"/>
        </w:rPr>
        <w:t>Richa</w:t>
      </w:r>
      <w:proofErr w:type="spellEnd"/>
      <w:r w:rsidR="00331609">
        <w:rPr>
          <w:rStyle w:val="Hyperlink"/>
          <w:rFonts w:ascii="Open Sans" w:hAnsi="Open Sans" w:cs="Open Sans"/>
          <w:sz w:val="24"/>
          <w:szCs w:val="24"/>
        </w:rPr>
        <w:t>, julgado em 1º/4</w:t>
      </w:r>
      <w:r w:rsidR="00331609" w:rsidRPr="00ED6E6A">
        <w:rPr>
          <w:rStyle w:val="Hyperlink"/>
          <w:rFonts w:ascii="Open Sans" w:hAnsi="Open Sans" w:cs="Open Sans"/>
          <w:sz w:val="24"/>
          <w:szCs w:val="24"/>
        </w:rPr>
        <w:t>/2025.</w:t>
      </w:r>
    </w:p>
    <w:p w:rsidR="00767C0A" w:rsidRPr="00A0413E" w:rsidRDefault="00331609" w:rsidP="00F53E04">
      <w:pPr>
        <w:suppressAutoHyphens/>
        <w:ind w:left="-255" w:right="340"/>
        <w:jc w:val="both"/>
        <w:rPr>
          <w:rFonts w:ascii="Open Sans" w:hAnsi="Open Sans" w:cs="Open Sans"/>
          <w:color w:val="000000"/>
          <w:sz w:val="24"/>
          <w:szCs w:val="24"/>
        </w:rPr>
      </w:pPr>
      <w:r>
        <w:rPr>
          <w:rFonts w:ascii="Open Sans" w:hAnsi="Open Sans" w:cs="Open Sans"/>
          <w:color w:val="0000FF" w:themeColor="hyperlink"/>
          <w:sz w:val="24"/>
          <w:szCs w:val="24"/>
          <w:u w:val="single"/>
        </w:rPr>
        <w:fldChar w:fldCharType="end"/>
      </w:r>
    </w:p>
    <w:p w:rsidR="001A7589" w:rsidRPr="003509A3" w:rsidRDefault="001A7589" w:rsidP="00067B05">
      <w:pPr>
        <w:pStyle w:val="Ttulo1"/>
        <w:spacing w:before="0"/>
        <w:ind w:left="-227" w:right="369"/>
      </w:pPr>
      <w:r w:rsidRPr="003509A3">
        <w:t>TURMAS</w:t>
      </w:r>
    </w:p>
    <w:p w:rsidR="00ED73E7" w:rsidRDefault="001A7589" w:rsidP="00067B05">
      <w:pPr>
        <w:pStyle w:val="Cabealho"/>
        <w:tabs>
          <w:tab w:val="clear" w:pos="4419"/>
          <w:tab w:val="clear" w:pos="8838"/>
        </w:tabs>
        <w:ind w:left="-227" w:right="369"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2518B4" w:rsidRDefault="002518B4" w:rsidP="00067B05">
      <w:pPr>
        <w:ind w:left="-227" w:right="369"/>
        <w:jc w:val="both"/>
        <w:rPr>
          <w:rFonts w:ascii="Open Sans" w:hAnsi="Open Sans" w:cs="Open Sans"/>
          <w:sz w:val="24"/>
          <w:szCs w:val="24"/>
        </w:rPr>
      </w:pPr>
    </w:p>
    <w:p w:rsidR="00C453DC" w:rsidRPr="00412D8F" w:rsidRDefault="00C453DC" w:rsidP="00412D8F">
      <w:pPr>
        <w:pStyle w:val="Ementa"/>
        <w:suppressAutoHyphens/>
        <w:ind w:left="-255" w:right="340"/>
        <w:rPr>
          <w:rFonts w:cs="Open Sans"/>
          <w:bCs/>
        </w:rPr>
      </w:pPr>
      <w:r w:rsidRPr="00412D8F">
        <w:rPr>
          <w:rFonts w:cs="Open Sans"/>
          <w:bCs/>
        </w:rPr>
        <w:t xml:space="preserve">“RECURSO DE REVISTA DA RECLAMADA. </w:t>
      </w:r>
      <w:r w:rsidRPr="00412D8F">
        <w:rPr>
          <w:rFonts w:eastAsia="Times New Roman" w:cs="Open Sans"/>
          <w:kern w:val="1"/>
        </w:rPr>
        <w:t xml:space="preserve">PRESCRIÇÃO. ALTERAÇÃO DA NATUREZA JURÍDICA DO AUXÍLIO-ALIMENTAÇÃO. </w:t>
      </w:r>
      <w:r w:rsidRPr="00412D8F">
        <w:rPr>
          <w:rFonts w:cs="Open Sans"/>
          <w:bCs/>
        </w:rPr>
        <w:t xml:space="preserve">Diante da tese fixada pelo STF no Tema 1.046 da Tabela de Repercussão Geral, deve-se considerar válida norma coletiva que estabelece a natureza indenizatória do auxílio-alimentação, uma vez que esse direito não se classifica como absolutamente indisponível. Tal conclusão altera o entendimento que vinha sendo adotado </w:t>
      </w:r>
      <w:r w:rsidRPr="00412D8F">
        <w:rPr>
          <w:rFonts w:cs="Open Sans"/>
        </w:rPr>
        <w:t xml:space="preserve">no sentido </w:t>
      </w:r>
      <w:r w:rsidRPr="00412D8F">
        <w:rPr>
          <w:rFonts w:eastAsia="Times New Roman" w:cs="Open Sans"/>
          <w:kern w:val="1"/>
        </w:rPr>
        <w:t xml:space="preserve">da incidência da prescrição parcial à pretensão de </w:t>
      </w:r>
      <w:r w:rsidRPr="00412D8F">
        <w:rPr>
          <w:rFonts w:eastAsia="Times New Roman" w:cs="Open Sans"/>
          <w:kern w:val="1"/>
        </w:rPr>
        <w:lastRenderedPageBreak/>
        <w:t>reconhecimento da natureza salarial do auxílio-alimentação,</w:t>
      </w:r>
      <w:r w:rsidRPr="00412D8F">
        <w:rPr>
          <w:rFonts w:cs="Open Sans"/>
          <w:bCs/>
        </w:rPr>
        <w:t xml:space="preserve"> uma vez que </w:t>
      </w:r>
      <w:r w:rsidRPr="00412D8F">
        <w:rPr>
          <w:rFonts w:cs="Open Sans"/>
        </w:rPr>
        <w:t xml:space="preserve">não mais se sustenta a premissa de que a alteração da natureza jurídica do auxílio-alimentação por norma coletiva viola </w:t>
      </w:r>
      <w:proofErr w:type="gramStart"/>
      <w:r w:rsidRPr="00412D8F">
        <w:rPr>
          <w:rFonts w:cs="Open Sans"/>
        </w:rPr>
        <w:t>direito adquirido</w:t>
      </w:r>
      <w:proofErr w:type="gramEnd"/>
      <w:r w:rsidRPr="00412D8F">
        <w:rPr>
          <w:rFonts w:cs="Open Sans"/>
        </w:rPr>
        <w:t xml:space="preserve">, e que, portanto, se trata de descumprimento do pactuado. Considerando a possibilidade de norma coletiva modificar a natureza jurídica da verba, tem-se, em verdade, a alteração do pactuado, atraindo, assim, a incidência da prescrição quinquenal total – 5 anos contados da alteração perpetrada - prevista na Súmula n.º 294 desta Corte. </w:t>
      </w:r>
      <w:r w:rsidRPr="00412D8F">
        <w:rPr>
          <w:rFonts w:cs="Open Sans"/>
          <w:bCs/>
        </w:rPr>
        <w:t>Recurso de Revista conhecido e provido.”  (</w:t>
      </w:r>
      <w:hyperlink r:id="rId8" w:history="1">
        <w:r w:rsidRPr="00412D8F">
          <w:rPr>
            <w:rStyle w:val="Hyperlink"/>
            <w:rFonts w:cs="Open Sans"/>
            <w:bCs/>
          </w:rPr>
          <w:t>TST-Ag-RRAg-20021-57.2016.5.04.0015, 1ª Turma, rel. Min. Luiz José Dezena da Silva, julgado em 19/3/2025</w:t>
        </w:r>
      </w:hyperlink>
      <w:r w:rsidRPr="00412D8F">
        <w:rPr>
          <w:rFonts w:cs="Open Sans"/>
          <w:bCs/>
        </w:rPr>
        <w:t>)</w:t>
      </w:r>
    </w:p>
    <w:p w:rsidR="002518B4" w:rsidRPr="00412D8F" w:rsidRDefault="002518B4" w:rsidP="00412D8F">
      <w:pPr>
        <w:suppressAutoHyphens/>
        <w:ind w:left="-255" w:right="340"/>
        <w:jc w:val="both"/>
        <w:rPr>
          <w:rFonts w:ascii="Open Sans" w:hAnsi="Open Sans" w:cs="Open Sans"/>
          <w:sz w:val="24"/>
          <w:szCs w:val="24"/>
        </w:rPr>
      </w:pPr>
    </w:p>
    <w:p w:rsidR="00C453DC" w:rsidRPr="00412D8F" w:rsidRDefault="00C453DC" w:rsidP="00412D8F">
      <w:pPr>
        <w:suppressAutoHyphens/>
        <w:adjustRightInd w:val="0"/>
        <w:ind w:left="-255" w:right="340"/>
        <w:jc w:val="both"/>
        <w:rPr>
          <w:rFonts w:ascii="Open Sans" w:hAnsi="Open Sans" w:cs="Open Sans"/>
          <w:bCs/>
          <w:sz w:val="24"/>
          <w:szCs w:val="24"/>
        </w:rPr>
      </w:pPr>
      <w:r w:rsidRPr="00412D8F">
        <w:rPr>
          <w:rFonts w:ascii="Open Sans" w:hAnsi="Open Sans" w:cs="Open Sans"/>
          <w:bCs/>
          <w:sz w:val="24"/>
          <w:szCs w:val="24"/>
        </w:rPr>
        <w:t xml:space="preserve">“[...] ADICIONAL DE PERICULOSIDADE. MÉDICO ANESTESIOLOGISTA. EXPOSIÇÃO HABITUAL À RADIAÇÃO IONIZANTE. PERMANÊNCIA NA ÁREA DE USO DE EQUIPAMENTO DE </w:t>
      </w:r>
      <w:proofErr w:type="gramStart"/>
      <w:r w:rsidRPr="00412D8F">
        <w:rPr>
          <w:rFonts w:ascii="Open Sans" w:hAnsi="Open Sans" w:cs="Open Sans"/>
          <w:bCs/>
          <w:sz w:val="24"/>
          <w:szCs w:val="24"/>
        </w:rPr>
        <w:t>RAIO-X</w:t>
      </w:r>
      <w:proofErr w:type="gramEnd"/>
      <w:r w:rsidRPr="00412D8F">
        <w:rPr>
          <w:rFonts w:ascii="Open Sans" w:hAnsi="Open Sans" w:cs="Open Sans"/>
          <w:bCs/>
          <w:sz w:val="24"/>
          <w:szCs w:val="24"/>
        </w:rPr>
        <w:t xml:space="preserve"> DO TIPO ARCO “C” (ARCO CIRÚRGICO). NÃO APLICAÇÃO DA TESE FIRMADA NO IRR-1325-18.2012.5.04.0013 (TEMA 10). EXISTÊNCIA DE </w:t>
      </w:r>
      <w:r w:rsidRPr="00412D8F">
        <w:rPr>
          <w:rFonts w:ascii="Open Sans" w:hAnsi="Open Sans" w:cs="Open Sans"/>
          <w:bCs/>
          <w:i/>
          <w:iCs/>
          <w:sz w:val="24"/>
          <w:szCs w:val="24"/>
        </w:rPr>
        <w:t>DISTINGUISHING</w:t>
      </w:r>
      <w:r w:rsidRPr="00412D8F">
        <w:rPr>
          <w:rFonts w:ascii="Open Sans" w:hAnsi="Open Sans" w:cs="Open Sans"/>
          <w:bCs/>
          <w:sz w:val="24"/>
          <w:szCs w:val="24"/>
        </w:rPr>
        <w:t xml:space="preserve">. PARCELA DEVIDA. TRANSCENDÊNCIA NÃO RECONHECIDA. </w:t>
      </w:r>
      <w:r w:rsidRPr="00412D8F">
        <w:rPr>
          <w:rFonts w:ascii="Open Sans" w:hAnsi="Open Sans" w:cs="Open Sans"/>
          <w:sz w:val="24"/>
          <w:szCs w:val="24"/>
        </w:rPr>
        <w:t>1. Na hipótese, o Tribunal Regional deferiu à parte autora o adicional de periculosidade por considerar que as atividades do autor envolvia atuação em sala de cirurgia durante a operação de equipamento de Raio X. Na ocasião, a Corte de origem asseverou que ‘</w:t>
      </w:r>
      <w:r w:rsidRPr="00412D8F">
        <w:rPr>
          <w:rFonts w:ascii="Open Sans" w:hAnsi="Open Sans" w:cs="Open Sans"/>
          <w:iCs/>
          <w:sz w:val="24"/>
          <w:szCs w:val="24"/>
        </w:rPr>
        <w:t>os anestesistas ouvidos permaneciam na sala no momento da cirurgia, não havendo nenhuma orientação da Ré para que saíssem da sala durante o disparo do Arco Cirúrgico (aparelho de raio x), o que corrobora o depoimento do Autor de que ‘permanecia na sala durante o procedimento’ (Id. cc66ddb - Pág. 1)</w:t>
      </w:r>
      <w:r w:rsidRPr="00412D8F">
        <w:rPr>
          <w:rFonts w:ascii="Open Sans" w:hAnsi="Open Sans" w:cs="Open Sans"/>
          <w:sz w:val="24"/>
          <w:szCs w:val="24"/>
        </w:rPr>
        <w:t>’. 2. A jurisprudência desta Corte Superior, ao julgar o Incidente de Recursos Repetitivos - IRR-1325-18.2012.5.04.0013 (acórdão publicado em 13/09/2019), firmou-se no sentido de que não é devido o adicional de periculosidade a trabalhador que, sem operar o equipamento móvel de Raios x, permaneça, habitual, intermitente ou eventualmente, nas áreas de seu uso. 3. A decisão proferida no referido julgamento lastreou-se na Portaria n.º 595/2015 do MTE, a qual estabelece que ‘</w:t>
      </w:r>
      <w:r w:rsidRPr="00412D8F">
        <w:rPr>
          <w:rFonts w:ascii="Open Sans" w:hAnsi="Open Sans" w:cs="Open Sans"/>
          <w:iCs/>
          <w:sz w:val="24"/>
          <w:szCs w:val="24"/>
        </w:rPr>
        <w:t xml:space="preserve">não são consideradas perigosas, para efeito deste anexo, as atividades desenvolvidas em áreas que utilizam </w:t>
      </w:r>
      <w:r w:rsidRPr="00412D8F">
        <w:rPr>
          <w:rFonts w:ascii="Open Sans" w:hAnsi="Open Sans" w:cs="Open Sans"/>
          <w:bCs/>
          <w:iCs/>
          <w:sz w:val="24"/>
          <w:szCs w:val="24"/>
        </w:rPr>
        <w:t>equipamentos móveis de Raios X para diagnóstico médico</w:t>
      </w:r>
      <w:r w:rsidRPr="00412D8F">
        <w:rPr>
          <w:rFonts w:ascii="Open Sans" w:hAnsi="Open Sans" w:cs="Open Sans"/>
          <w:sz w:val="24"/>
          <w:szCs w:val="24"/>
        </w:rPr>
        <w:t xml:space="preserve">’. 4 . Verifica-se, portanto, que, no IRR-1325-18.2012.5.04.0013, o afastamento do adicional de periculosidade foi feito com base na Portaria n.º 595/2019 do MTE e que referida portaria não considera atividade perigosas as desenvolvidas em áreas que utilizam equipamentos móveis de Raios X para diagnóstico médico, hipótese diversa da dos autos em que o autor permanecia em bloco cirúrgico na ocasião do disparado do Arco Cirúrgico tipo “C”. 5. Diante das premissas </w:t>
      </w:r>
      <w:proofErr w:type="gramStart"/>
      <w:r w:rsidRPr="00412D8F">
        <w:rPr>
          <w:rFonts w:ascii="Open Sans" w:hAnsi="Open Sans" w:cs="Open Sans"/>
          <w:sz w:val="24"/>
          <w:szCs w:val="24"/>
        </w:rPr>
        <w:t>fáticas</w:t>
      </w:r>
      <w:proofErr w:type="gramEnd"/>
      <w:r w:rsidRPr="00412D8F">
        <w:rPr>
          <w:rFonts w:ascii="Open Sans" w:hAnsi="Open Sans" w:cs="Open Sans"/>
          <w:sz w:val="24"/>
          <w:szCs w:val="24"/>
        </w:rPr>
        <w:t xml:space="preserve"> delineadas pelo TRT, constata-se que o autor não permanecia em área com equipamento de ‘raio-X móvel’, mas, sim, permanecia habitualmente em sala de cirurgia onde é utilizado aparelho de raio X do tipo arco “C” , que não foi abrangido pela Portaria do Ministério de Estado do Trabalho e Emprego - MTE n.º 595/2015. 6. Em tal contexto, considerando que o autor encontrava-se habitualmente exposto à radiação ionizante, o Tribunal Regional, ao deferir o adicional de periculosidade, proferiu decisão em consonância com a Orientação Jurisprudencial n.º 345 da SBDI-1 do TST. </w:t>
      </w:r>
      <w:proofErr w:type="gramStart"/>
      <w:r w:rsidRPr="00412D8F">
        <w:rPr>
          <w:rFonts w:ascii="Open Sans" w:hAnsi="Open Sans" w:cs="Open Sans"/>
          <w:bCs/>
          <w:sz w:val="24"/>
          <w:szCs w:val="24"/>
        </w:rPr>
        <w:t>Agravo a que se nega provimento.”</w:t>
      </w:r>
      <w:proofErr w:type="gramEnd"/>
      <w:r w:rsidRPr="00412D8F">
        <w:rPr>
          <w:rFonts w:ascii="Open Sans" w:hAnsi="Open Sans" w:cs="Open Sans"/>
          <w:bCs/>
          <w:sz w:val="24"/>
          <w:szCs w:val="24"/>
        </w:rPr>
        <w:t xml:space="preserve"> (</w:t>
      </w:r>
      <w:hyperlink r:id="rId9" w:history="1">
        <w:r w:rsidRPr="00412D8F">
          <w:rPr>
            <w:rStyle w:val="Hyperlink"/>
            <w:rFonts w:ascii="Open Sans" w:hAnsi="Open Sans" w:cs="Open Sans"/>
            <w:bCs/>
            <w:sz w:val="24"/>
            <w:szCs w:val="24"/>
          </w:rPr>
          <w:t>TST-Ag-ED-AIRR-12160-81.2016.5.03.0036, 1ª Turma, rel. Min. Amaury Rodrigues Pinto Junior, julgado em 19/3/2025</w:t>
        </w:r>
      </w:hyperlink>
      <w:r w:rsidRPr="00412D8F">
        <w:rPr>
          <w:rFonts w:ascii="Open Sans" w:hAnsi="Open Sans" w:cs="Open Sans"/>
          <w:bCs/>
          <w:sz w:val="24"/>
          <w:szCs w:val="24"/>
        </w:rPr>
        <w:t>)</w:t>
      </w:r>
    </w:p>
    <w:p w:rsidR="00C453DC" w:rsidRPr="00412D8F" w:rsidRDefault="00C453DC" w:rsidP="00412D8F">
      <w:pPr>
        <w:suppressAutoHyphens/>
        <w:ind w:left="-255" w:right="340"/>
        <w:jc w:val="both"/>
        <w:rPr>
          <w:rFonts w:ascii="Open Sans" w:hAnsi="Open Sans" w:cs="Open Sans"/>
          <w:sz w:val="24"/>
          <w:szCs w:val="24"/>
        </w:rPr>
      </w:pPr>
    </w:p>
    <w:p w:rsidR="00391516" w:rsidRPr="00412D8F" w:rsidRDefault="00E576F8" w:rsidP="00412D8F">
      <w:pPr>
        <w:pStyle w:val="ementa0"/>
        <w:shd w:val="clear" w:color="auto" w:fill="FFFFFF"/>
        <w:suppressAutoHyphens/>
        <w:spacing w:before="0" w:beforeAutospacing="0" w:after="0" w:afterAutospacing="0"/>
        <w:ind w:left="-255" w:right="340"/>
        <w:jc w:val="both"/>
        <w:rPr>
          <w:rFonts w:ascii="Open Sans" w:hAnsi="Open Sans" w:cs="Open Sans"/>
        </w:rPr>
      </w:pPr>
      <w:r>
        <w:rPr>
          <w:rStyle w:val="fontepargpadro-000004"/>
          <w:rFonts w:ascii="Open Sans" w:hAnsi="Open Sans" w:cs="Open Sans"/>
          <w:bCs/>
          <w:color w:val="000000"/>
        </w:rPr>
        <w:lastRenderedPageBreak/>
        <w:t xml:space="preserve">“[...] </w:t>
      </w:r>
      <w:r w:rsidR="00391516" w:rsidRPr="00412D8F">
        <w:rPr>
          <w:rStyle w:val="fontepargpadro-000004"/>
          <w:rFonts w:ascii="Open Sans" w:hAnsi="Open Sans" w:cs="Open Sans"/>
          <w:bCs/>
          <w:color w:val="000000"/>
        </w:rPr>
        <w:t xml:space="preserve">RECURSO DE REVISTA DO SINDICATO DOS EMPREGADOS EM ESTABELECIMENTOS DE SERVIÇOS E SAÚDE NO ESTADO DO CEARÁ INTERPOSTO NA VIGÊNCIA DA LEI 13.467/2017. </w:t>
      </w:r>
      <w:r w:rsidR="00391516" w:rsidRPr="00412D8F">
        <w:rPr>
          <w:rStyle w:val="fontepargpadro-000013"/>
          <w:rFonts w:ascii="Open Sans" w:hAnsi="Open Sans" w:cs="Open Sans"/>
          <w:bCs/>
          <w:color w:val="000000"/>
        </w:rPr>
        <w:t>SINDICATO. SUBSTITUIÇÃO PROCESSUAL. BENEFÍCIO DA JUSTIÇA GRATUITA.</w:t>
      </w:r>
      <w:r w:rsidR="00391516" w:rsidRPr="00412D8F">
        <w:rPr>
          <w:rStyle w:val="fontepargpadro-000014"/>
          <w:rFonts w:ascii="Open Sans" w:hAnsi="Open Sans" w:cs="Open Sans"/>
          <w:color w:val="000000"/>
        </w:rPr>
        <w:t xml:space="preserve"> </w:t>
      </w:r>
      <w:r w:rsidR="00391516" w:rsidRPr="00412D8F">
        <w:rPr>
          <w:rStyle w:val="fontepargpadro-000013"/>
          <w:rFonts w:ascii="Open Sans" w:hAnsi="Open Sans" w:cs="Open Sans"/>
          <w:bCs/>
          <w:color w:val="000000"/>
        </w:rPr>
        <w:t>1.1</w:t>
      </w:r>
      <w:r w:rsidR="00391516" w:rsidRPr="00412D8F">
        <w:rPr>
          <w:rStyle w:val="fontepargpadro-000014"/>
          <w:rFonts w:ascii="Open Sans" w:hAnsi="Open Sans" w:cs="Open Sans"/>
          <w:color w:val="000000"/>
        </w:rPr>
        <w:t xml:space="preserve">. O Tribunal Regional reformou a sentença para excluir a concessão dos benefícios da justiça gratuita ao Sindicato autor por não ter sido comprovada a sua hipossuficiência financeira, nos termos da Súmula 463, II, do TST. </w:t>
      </w:r>
      <w:r w:rsidR="00391516" w:rsidRPr="00412D8F">
        <w:rPr>
          <w:rStyle w:val="fontepargpadro-000013"/>
          <w:rFonts w:ascii="Open Sans" w:hAnsi="Open Sans" w:cs="Open Sans"/>
          <w:bCs/>
          <w:color w:val="000000"/>
        </w:rPr>
        <w:t>1.2</w:t>
      </w:r>
      <w:r w:rsidR="00391516" w:rsidRPr="00412D8F">
        <w:rPr>
          <w:rStyle w:val="fontepargpadro-000014"/>
          <w:rFonts w:ascii="Open Sans" w:hAnsi="Open Sans" w:cs="Open Sans"/>
          <w:color w:val="000000"/>
        </w:rPr>
        <w:t xml:space="preserve">. Cinge-se a controvérsia sobre o deferimento dos benefícios da justiça gratuita ao sindicato atuando como substituto processual em ação de caráter coletivo para pleitear direitos individuais homogêneos. </w:t>
      </w:r>
      <w:r w:rsidR="00391516" w:rsidRPr="00412D8F">
        <w:rPr>
          <w:rStyle w:val="fontepargpadro-000013"/>
          <w:rFonts w:ascii="Open Sans" w:hAnsi="Open Sans" w:cs="Open Sans"/>
          <w:bCs/>
          <w:color w:val="000000"/>
        </w:rPr>
        <w:t>1.3.</w:t>
      </w:r>
      <w:r w:rsidR="00391516" w:rsidRPr="00412D8F">
        <w:rPr>
          <w:rStyle w:val="fontepargpadro-000014"/>
          <w:rFonts w:ascii="Open Sans" w:hAnsi="Open Sans" w:cs="Open Sans"/>
          <w:color w:val="000000"/>
        </w:rPr>
        <w:t xml:space="preserve"> Em que pese predominar no âmbito desta Corte Superior o entendimento de que a concessão dos benefícios da justiça gratuita a Sindicato somente seria possível se a parte comprovar a efetiva insuficiência de recursos, nos termos da Súmula 463, II, do TST, </w:t>
      </w:r>
      <w:proofErr w:type="gramStart"/>
      <w:r w:rsidR="00391516" w:rsidRPr="00412D8F">
        <w:rPr>
          <w:rStyle w:val="fontepargpadro-000014"/>
          <w:rFonts w:ascii="Open Sans" w:hAnsi="Open Sans" w:cs="Open Sans"/>
          <w:color w:val="000000"/>
        </w:rPr>
        <w:t>perfilho</w:t>
      </w:r>
      <w:proofErr w:type="gramEnd"/>
      <w:r w:rsidR="00391516" w:rsidRPr="00412D8F">
        <w:rPr>
          <w:rStyle w:val="fontepargpadro-000014"/>
          <w:rFonts w:ascii="Open Sans" w:hAnsi="Open Sans" w:cs="Open Sans"/>
          <w:color w:val="000000"/>
        </w:rPr>
        <w:t xml:space="preserve"> entendimento no sentido de que, em se tratando de ação ajuizada pelo sindicato da categoria, na condição de substituto processual e abordando direitos individuais homogêneos, incide a proteção conferida pelos </w:t>
      </w:r>
      <w:proofErr w:type="spellStart"/>
      <w:r w:rsidR="00391516" w:rsidRPr="00412D8F">
        <w:rPr>
          <w:rStyle w:val="fontepargpadro-000014"/>
          <w:rFonts w:ascii="Open Sans" w:hAnsi="Open Sans" w:cs="Open Sans"/>
          <w:color w:val="000000"/>
        </w:rPr>
        <w:t>arts</w:t>
      </w:r>
      <w:proofErr w:type="spellEnd"/>
      <w:r w:rsidR="00391516" w:rsidRPr="00412D8F">
        <w:rPr>
          <w:rStyle w:val="fontepargpadro-000014"/>
          <w:rFonts w:ascii="Open Sans" w:hAnsi="Open Sans" w:cs="Open Sans"/>
          <w:color w:val="000000"/>
        </w:rPr>
        <w:t xml:space="preserve">. 18 da Lei 7.347/85 e 87 da Lei 8.078/90. Assim, somente haverá indeferimento dos benefícios da justiça gratuita nos casos em que ficar comprovada a má-fé do sindicato substituto, elemento fático não registrado no acórdão recorrido. </w:t>
      </w:r>
      <w:r w:rsidR="00391516" w:rsidRPr="00412D8F">
        <w:rPr>
          <w:rStyle w:val="fontepargpadro-000013"/>
          <w:rFonts w:ascii="Open Sans" w:hAnsi="Open Sans" w:cs="Open Sans"/>
          <w:bCs/>
          <w:color w:val="000000"/>
        </w:rPr>
        <w:t>1.4.</w:t>
      </w:r>
      <w:r w:rsidR="00391516" w:rsidRPr="00412D8F">
        <w:rPr>
          <w:rStyle w:val="fontepargpadro-000014"/>
          <w:rFonts w:ascii="Open Sans" w:hAnsi="Open Sans" w:cs="Open Sans"/>
          <w:color w:val="000000"/>
        </w:rPr>
        <w:t xml:space="preserve"> Nesses termos, há recente precedente desta Corte que deferiu os benefícios da justiça gratuita ao Sindicato em ação coletiva, atuando como substituto processual na defesa de direitos individuais homogêneos de parte da categoria que representa, fazendo incidir o microssistema de tutela coletiva, o princípio do acesso à justiça substancial e o princípio do processo coletivo do devido processo social, diante da ausência de comprovação de má-fé, afastando-se, assim, o entendimento consubstanciado na Súmula 463, II, do TST (RR-10648-35.2018.5.18.0017). </w:t>
      </w:r>
      <w:r w:rsidR="00391516" w:rsidRPr="00412D8F">
        <w:rPr>
          <w:rStyle w:val="fontepargpadro-000013"/>
          <w:rFonts w:ascii="Open Sans" w:hAnsi="Open Sans" w:cs="Open Sans"/>
          <w:bCs/>
          <w:color w:val="000000"/>
        </w:rPr>
        <w:t>1.5.</w:t>
      </w:r>
      <w:r w:rsidR="00391516" w:rsidRPr="00412D8F">
        <w:rPr>
          <w:rStyle w:val="fontepargpadro-000014"/>
          <w:rFonts w:ascii="Open Sans" w:hAnsi="Open Sans" w:cs="Open Sans"/>
          <w:color w:val="000000"/>
        </w:rPr>
        <w:t xml:space="preserve"> No caso dos autos, diante da não demonstração de má-fé, impõe-se a reforma do acórdão de origem para deferir ao sindicato os benefícios da justiça gratuita e, por consequência, isentá-lo do pagamento de custas e de honorários advocatícios sucumbenciais. </w:t>
      </w:r>
      <w:proofErr w:type="gramStart"/>
      <w:r w:rsidR="00391516" w:rsidRPr="00412D8F">
        <w:rPr>
          <w:rStyle w:val="fontepargpadro-000013"/>
          <w:rFonts w:ascii="Open Sans" w:hAnsi="Open Sans" w:cs="Open Sans"/>
          <w:bCs/>
          <w:color w:val="000000"/>
        </w:rPr>
        <w:t>Recurso de revista conhecido e provido.”</w:t>
      </w:r>
      <w:proofErr w:type="gramEnd"/>
      <w:r w:rsidR="00391516" w:rsidRPr="00412D8F">
        <w:rPr>
          <w:rStyle w:val="fontepargpadro-000013"/>
          <w:rFonts w:ascii="Open Sans" w:hAnsi="Open Sans" w:cs="Open Sans"/>
          <w:bCs/>
          <w:color w:val="000000"/>
        </w:rPr>
        <w:t xml:space="preserve"> </w:t>
      </w:r>
      <w:r w:rsidR="00391516" w:rsidRPr="00412D8F">
        <w:rPr>
          <w:rStyle w:val="fontepargpadro-000010"/>
          <w:rFonts w:ascii="Open Sans" w:hAnsi="Open Sans" w:cs="Open Sans"/>
        </w:rPr>
        <w:t>(</w:t>
      </w:r>
      <w:hyperlink r:id="rId10" w:anchor="de90560" w:history="1">
        <w:r w:rsidR="00391516" w:rsidRPr="00412D8F">
          <w:rPr>
            <w:rStyle w:val="Hyperlink"/>
            <w:rFonts w:ascii="Open Sans" w:hAnsi="Open Sans" w:cs="Open Sans"/>
            <w:bCs/>
          </w:rPr>
          <w:t>TST-AIRR-0000992-21.2023.5.07.0038, 2ª Turma, rel. Min. Delaíde Alves Miranda Arantes, julgado em 26/3/2025</w:t>
        </w:r>
      </w:hyperlink>
      <w:r w:rsidR="00391516" w:rsidRPr="00412D8F">
        <w:rPr>
          <w:rStyle w:val="fontepargpadro-000004"/>
          <w:rFonts w:ascii="Open Sans" w:hAnsi="Open Sans" w:cs="Open Sans"/>
          <w:bCs/>
          <w:color w:val="000000"/>
        </w:rPr>
        <w:t>)</w:t>
      </w:r>
    </w:p>
    <w:p w:rsidR="00391516" w:rsidRPr="00412D8F" w:rsidRDefault="00391516" w:rsidP="00412D8F">
      <w:pPr>
        <w:suppressAutoHyphens/>
        <w:adjustRightInd w:val="0"/>
        <w:ind w:left="-255" w:right="340"/>
        <w:jc w:val="both"/>
        <w:rPr>
          <w:rFonts w:ascii="Open Sans" w:hAnsi="Open Sans" w:cs="Open Sans"/>
          <w:sz w:val="24"/>
          <w:szCs w:val="24"/>
        </w:rPr>
      </w:pPr>
    </w:p>
    <w:p w:rsidR="00C3502A" w:rsidRPr="00412D8F" w:rsidRDefault="00C3502A" w:rsidP="00412D8F">
      <w:pPr>
        <w:pStyle w:val="ementa0"/>
        <w:shd w:val="clear" w:color="auto" w:fill="FFFFFF"/>
        <w:suppressAutoHyphens/>
        <w:spacing w:before="0" w:beforeAutospacing="0" w:after="0" w:afterAutospacing="0"/>
        <w:ind w:left="-255" w:right="340"/>
        <w:jc w:val="both"/>
        <w:rPr>
          <w:rStyle w:val="fontepargpadro0"/>
          <w:rFonts w:ascii="Open Sans" w:hAnsi="Open Sans" w:cs="Open Sans"/>
          <w:bCs/>
          <w:color w:val="000000"/>
        </w:rPr>
      </w:pPr>
      <w:r w:rsidRPr="00412D8F">
        <w:rPr>
          <w:rStyle w:val="fontepargpadro-000003"/>
          <w:rFonts w:ascii="Open Sans" w:hAnsi="Open Sans" w:cs="Open Sans"/>
          <w:bCs/>
          <w:color w:val="000000"/>
        </w:rPr>
        <w:t xml:space="preserve">“[...] III – RECURSO DE REVISTA DO MINISTÉRIO PÚBLICO DO TRABALHO. LEI Nº 13.015/2014. </w:t>
      </w:r>
      <w:r w:rsidRPr="00412D8F">
        <w:rPr>
          <w:rStyle w:val="fontepargpadro0"/>
          <w:rFonts w:ascii="Open Sans" w:hAnsi="Open Sans" w:cs="Open Sans"/>
          <w:bCs/>
          <w:color w:val="000000"/>
        </w:rPr>
        <w:t xml:space="preserve">AÇÃO CIVIL PÚBLICA. TUTELA INIBITÓRIA. OBRIGAÇÃO DE FAZER. NORMAS RELATIVAS À SAÚDE E SEGURANÇA DOS TRABALHADORES. IMPLEMENTAÇÃO DE PROGRAMA DE VIGILÂNCIA EPIDEMIOLÓGICA PARA DETECÇÃO PRECOCE DE CASOS DE DOENÇAS RELACIONADAS AO TRABALHO. CABIMENTO. </w:t>
      </w:r>
      <w:proofErr w:type="gramStart"/>
      <w:r w:rsidRPr="00412D8F">
        <w:rPr>
          <w:rStyle w:val="fontepargpadro0"/>
          <w:rFonts w:ascii="Open Sans" w:hAnsi="Open Sans" w:cs="Open Sans"/>
          <w:bCs/>
          <w:color w:val="000000"/>
        </w:rPr>
        <w:t>1</w:t>
      </w:r>
      <w:proofErr w:type="gramEnd"/>
      <w:r w:rsidRPr="00412D8F">
        <w:rPr>
          <w:rStyle w:val="fontepargpadro0"/>
          <w:rFonts w:ascii="Open Sans" w:hAnsi="Open Sans" w:cs="Open Sans"/>
          <w:bCs/>
          <w:color w:val="000000"/>
        </w:rPr>
        <w:t xml:space="preserve">. </w:t>
      </w:r>
      <w:r w:rsidRPr="00412D8F">
        <w:rPr>
          <w:rStyle w:val="fontepargpadro-000004"/>
          <w:rFonts w:ascii="Open Sans" w:hAnsi="Open Sans" w:cs="Open Sans"/>
          <w:color w:val="000000"/>
        </w:rPr>
        <w:t xml:space="preserve">Trata-se de Ação Civil Pública ajuizada pelo Ministério Público do Trabalho com a finalidade de condenar a ré ao cumprimento de diversas obrigações de fazer e não fazer relacionadas à saúde e segurança do trabalho. </w:t>
      </w:r>
      <w:r w:rsidRPr="00412D8F">
        <w:rPr>
          <w:rStyle w:val="fontepargpadro0"/>
          <w:rFonts w:ascii="Open Sans" w:hAnsi="Open Sans" w:cs="Open Sans"/>
          <w:bCs/>
          <w:color w:val="000000"/>
        </w:rPr>
        <w:t xml:space="preserve">2. </w:t>
      </w:r>
      <w:r w:rsidRPr="00412D8F">
        <w:rPr>
          <w:rStyle w:val="fontepargpadro-000004"/>
          <w:rFonts w:ascii="Open Sans" w:hAnsi="Open Sans" w:cs="Open Sans"/>
          <w:color w:val="000000"/>
        </w:rPr>
        <w:t xml:space="preserve">O Tribunal Regional manteve a sentença que rejeitara o pedido ao fundamento de que não há imposição da legislação heterônoma e que, em se tratando de iniciativa com vistas à </w:t>
      </w:r>
      <w:r w:rsidRPr="00412D8F">
        <w:rPr>
          <w:rStyle w:val="fontepargpadro-000005"/>
          <w:rFonts w:ascii="Open Sans" w:hAnsi="Open Sans" w:cs="Open Sans"/>
        </w:rPr>
        <w:t xml:space="preserve">melhoria da condição social dos trabalhadores, não pode ser implementada via ordem judicial. </w:t>
      </w:r>
      <w:r w:rsidRPr="00412D8F">
        <w:rPr>
          <w:rStyle w:val="fontepargpadro-000003"/>
          <w:rFonts w:ascii="Open Sans" w:hAnsi="Open Sans" w:cs="Open Sans"/>
          <w:bCs/>
          <w:color w:val="000000"/>
        </w:rPr>
        <w:t xml:space="preserve">3. </w:t>
      </w:r>
      <w:r w:rsidRPr="00412D8F">
        <w:rPr>
          <w:rStyle w:val="fontepargpadro-000004"/>
          <w:rFonts w:ascii="Open Sans" w:hAnsi="Open Sans" w:cs="Open Sans"/>
          <w:color w:val="000000"/>
        </w:rPr>
        <w:t xml:space="preserve">No caso, restou consignado no acórdão o descumprimento de normas relacionadas ao meio ambiente de trabalho, o que atrai o </w:t>
      </w:r>
      <w:r w:rsidRPr="00412D8F">
        <w:rPr>
          <w:rStyle w:val="fontepargpadro-000006"/>
          <w:rFonts w:ascii="Open Sans" w:hAnsi="Open Sans" w:cs="Open Sans"/>
        </w:rPr>
        <w:t>juízo de probabilidade</w:t>
      </w:r>
      <w:r w:rsidRPr="00412D8F">
        <w:rPr>
          <w:rStyle w:val="fontepargpadro-000004"/>
          <w:rFonts w:ascii="Open Sans" w:hAnsi="Open Sans" w:cs="Open Sans"/>
          <w:color w:val="000000"/>
        </w:rPr>
        <w:t xml:space="preserve"> da repetição do ilícito. Não obstante se reconheça o dever do julgador de verificar de modo cuidadoso o caráter lesivo do comportamento da ré direcionado para o futuro, é certo também que a anterior constatação de condutas atentatórias a direitos fundamentais individuais ou da coletividade intensifica </w:t>
      </w:r>
      <w:r w:rsidRPr="00412D8F">
        <w:rPr>
          <w:rStyle w:val="fontepargpadro-000004"/>
          <w:rFonts w:ascii="Open Sans" w:hAnsi="Open Sans" w:cs="Open Sans"/>
          <w:color w:val="000000"/>
        </w:rPr>
        <w:lastRenderedPageBreak/>
        <w:t xml:space="preserve">o </w:t>
      </w:r>
      <w:r w:rsidRPr="00412D8F">
        <w:rPr>
          <w:rStyle w:val="fontepargpadro-000007"/>
          <w:rFonts w:ascii="Open Sans" w:hAnsi="Open Sans" w:cs="Open Sans"/>
          <w:bCs/>
          <w:color w:val="000000"/>
        </w:rPr>
        <w:t>juízo de probabilidade</w:t>
      </w:r>
      <w:r w:rsidRPr="00412D8F">
        <w:rPr>
          <w:rStyle w:val="fontepargpadro-000004"/>
          <w:rFonts w:ascii="Open Sans" w:hAnsi="Open Sans" w:cs="Open Sans"/>
          <w:color w:val="000000"/>
        </w:rPr>
        <w:t xml:space="preserve"> a ser aferido por ocasião da análise do provimento ou não provimento da medida. No caso de ilícito já praticado pela ré, não é difícil concluir pela probabilidade da sua continuação ou da sua repetição, o que revela a necessidade da tutela inibitória para a efetividade da proteção do direito material. </w:t>
      </w:r>
      <w:r w:rsidRPr="00412D8F">
        <w:rPr>
          <w:rStyle w:val="fontepargpadro0"/>
          <w:rFonts w:ascii="Open Sans" w:hAnsi="Open Sans" w:cs="Open Sans"/>
          <w:bCs/>
          <w:color w:val="000000"/>
        </w:rPr>
        <w:t xml:space="preserve">4. </w:t>
      </w:r>
      <w:r w:rsidRPr="00412D8F">
        <w:rPr>
          <w:rStyle w:val="fontepargpadro-000004"/>
          <w:rFonts w:ascii="Open Sans" w:hAnsi="Open Sans" w:cs="Open Sans"/>
          <w:color w:val="000000"/>
        </w:rPr>
        <w:t xml:space="preserve">Sublinhe-se que, nesse contexto de prévia violação de direitos trabalhistas, mostra-se essencial a prevenção da ocorrência de evento danoso, em oposição à mera reparação do prejuízo, tendo em vista a característica de irreparabilidade ou difícil reparação das lesões aos trabalhadores. Dessa forma, até mesmo quando constatada a posterior regularização da situação que ensejou o pedido de </w:t>
      </w:r>
      <w:proofErr w:type="gramStart"/>
      <w:r w:rsidRPr="00412D8F">
        <w:rPr>
          <w:rStyle w:val="fontepargpadro-000004"/>
          <w:rFonts w:ascii="Open Sans" w:hAnsi="Open Sans" w:cs="Open Sans"/>
          <w:color w:val="000000"/>
        </w:rPr>
        <w:t>tutela</w:t>
      </w:r>
      <w:proofErr w:type="gramEnd"/>
      <w:r w:rsidRPr="00412D8F">
        <w:rPr>
          <w:rStyle w:val="fontepargpadro-000004"/>
          <w:rFonts w:ascii="Open Sans" w:hAnsi="Open Sans" w:cs="Open Sans"/>
          <w:color w:val="000000"/>
        </w:rPr>
        <w:t xml:space="preserve"> inibitória, </w:t>
      </w:r>
      <w:r w:rsidRPr="00412D8F">
        <w:rPr>
          <w:rStyle w:val="fontepargpadro-000006"/>
          <w:rFonts w:ascii="Open Sans" w:hAnsi="Open Sans" w:cs="Open Sans"/>
        </w:rPr>
        <w:t>o que não é a hipótese dos autos</w:t>
      </w:r>
      <w:r w:rsidRPr="00412D8F">
        <w:rPr>
          <w:rStyle w:val="fontepargpadro-000004"/>
          <w:rFonts w:ascii="Open Sans" w:hAnsi="Open Sans" w:cs="Open Sans"/>
          <w:color w:val="000000"/>
        </w:rPr>
        <w:t xml:space="preserve">, justifica-se o provimento jurisdicional com o intuito de prevenir o eventual descumprimento de decisão judicial reparatória e a repetição da prática de ofensa a direito material e, possivelmente, de um dano. </w:t>
      </w:r>
      <w:proofErr w:type="gramStart"/>
      <w:r w:rsidRPr="00412D8F">
        <w:rPr>
          <w:rStyle w:val="fontepargpadro-000003"/>
          <w:rFonts w:ascii="Open Sans" w:hAnsi="Open Sans" w:cs="Open Sans"/>
          <w:bCs/>
          <w:color w:val="000000"/>
        </w:rPr>
        <w:t>Recurso de revista de que se conhece e a que se dá provimento.”</w:t>
      </w:r>
      <w:proofErr w:type="gramEnd"/>
      <w:r w:rsidRPr="00412D8F">
        <w:rPr>
          <w:rStyle w:val="fontepargpadro-000003"/>
          <w:rFonts w:ascii="Open Sans" w:hAnsi="Open Sans" w:cs="Open Sans"/>
          <w:bCs/>
          <w:color w:val="000000"/>
        </w:rPr>
        <w:t xml:space="preserve"> </w:t>
      </w:r>
      <w:r w:rsidRPr="00412D8F">
        <w:rPr>
          <w:rStyle w:val="fontepargpadro-000004"/>
          <w:rFonts w:ascii="Open Sans" w:hAnsi="Open Sans" w:cs="Open Sans"/>
          <w:color w:val="000000"/>
        </w:rPr>
        <w:t>(</w:t>
      </w:r>
      <w:hyperlink r:id="rId11" w:history="1">
        <w:r w:rsidRPr="00412D8F">
          <w:rPr>
            <w:rStyle w:val="Hyperlink"/>
            <w:rFonts w:ascii="Open Sans" w:hAnsi="Open Sans" w:cs="Open Sans"/>
            <w:bCs/>
          </w:rPr>
          <w:t>TST-RRAg-20477-69.2017.5.04.0371, 2ª Turma, rel. Min. Maria Helena Mallmann, julgado em 26/3/2025</w:t>
        </w:r>
      </w:hyperlink>
      <w:r w:rsidRPr="00412D8F">
        <w:rPr>
          <w:rStyle w:val="fontepargpadro0"/>
          <w:rFonts w:ascii="Open Sans" w:hAnsi="Open Sans" w:cs="Open Sans"/>
          <w:bCs/>
          <w:color w:val="000000"/>
        </w:rPr>
        <w:t>)</w:t>
      </w:r>
    </w:p>
    <w:p w:rsidR="00391516" w:rsidRPr="00412D8F" w:rsidRDefault="00391516" w:rsidP="00412D8F">
      <w:pPr>
        <w:suppressAutoHyphens/>
        <w:adjustRightInd w:val="0"/>
        <w:ind w:left="-255" w:right="340"/>
        <w:jc w:val="both"/>
        <w:rPr>
          <w:rFonts w:ascii="Open Sans" w:hAnsi="Open Sans" w:cs="Open Sans"/>
          <w:sz w:val="24"/>
          <w:szCs w:val="24"/>
        </w:rPr>
      </w:pPr>
    </w:p>
    <w:p w:rsidR="00AA5743" w:rsidRPr="00412D8F" w:rsidRDefault="00AA5743" w:rsidP="00412D8F">
      <w:pPr>
        <w:pStyle w:val="ementa0"/>
        <w:shd w:val="clear" w:color="auto" w:fill="FFFFFF"/>
        <w:suppressAutoHyphens/>
        <w:spacing w:before="0" w:beforeAutospacing="0" w:after="0" w:afterAutospacing="0"/>
        <w:ind w:left="-255" w:right="340"/>
        <w:jc w:val="both"/>
        <w:rPr>
          <w:rFonts w:ascii="Open Sans" w:hAnsi="Open Sans" w:cs="Open Sans"/>
        </w:rPr>
      </w:pPr>
      <w:r w:rsidRPr="00412D8F">
        <w:rPr>
          <w:rStyle w:val="fontepargpadro-000009"/>
          <w:rFonts w:ascii="Open Sans" w:hAnsi="Open Sans" w:cs="Open Sans"/>
          <w:bCs/>
          <w:color w:val="000000"/>
        </w:rPr>
        <w:t>“I -</w:t>
      </w:r>
      <w:r w:rsidRPr="00412D8F">
        <w:rPr>
          <w:rStyle w:val="fontepargpadro-000010"/>
          <w:rFonts w:ascii="Open Sans" w:hAnsi="Open Sans" w:cs="Open Sans"/>
          <w:color w:val="000000"/>
        </w:rPr>
        <w:t xml:space="preserve"> </w:t>
      </w:r>
      <w:r w:rsidRPr="00412D8F">
        <w:rPr>
          <w:rStyle w:val="fontepargpadro-000009"/>
          <w:rFonts w:ascii="Open Sans" w:hAnsi="Open Sans" w:cs="Open Sans"/>
          <w:bCs/>
          <w:color w:val="000000"/>
        </w:rPr>
        <w:t>AGRAVO DE INSTRUMENTO DA RECLAMANTE.</w:t>
      </w:r>
      <w:r w:rsidRPr="00412D8F">
        <w:rPr>
          <w:rStyle w:val="fontepargpadro-000011"/>
          <w:rFonts w:ascii="Open Sans" w:hAnsi="Open Sans" w:cs="Open Sans"/>
          <w:color w:val="000000"/>
        </w:rPr>
        <w:t xml:space="preserve"> </w:t>
      </w:r>
      <w:r w:rsidRPr="00412D8F">
        <w:rPr>
          <w:rStyle w:val="fontepargpadro-000005"/>
          <w:rFonts w:ascii="Open Sans" w:hAnsi="Open Sans" w:cs="Open Sans"/>
          <w:bCs/>
        </w:rPr>
        <w:t xml:space="preserve">RECURSO DE REVISTA INTERPOSTO NA VIGÊNCIA DA LEI N.º 13.015/2014. TRANSFOBIA. RESPONSABILIDADE CIVIL DO EMPREGADOR. INDENIZAÇÃO POR DANOS MORAIS. </w:t>
      </w:r>
      <w:r w:rsidRPr="00412D8F">
        <w:rPr>
          <w:rStyle w:val="fontepargpadro-000011"/>
          <w:rFonts w:ascii="Open Sans" w:hAnsi="Open Sans" w:cs="Open Sans"/>
          <w:color w:val="000000"/>
        </w:rPr>
        <w:t xml:space="preserve">Hipótese em que se discute reparação civil decorrente de </w:t>
      </w:r>
      <w:proofErr w:type="spellStart"/>
      <w:r w:rsidRPr="00412D8F">
        <w:rPr>
          <w:rStyle w:val="fontepargpadro-000011"/>
          <w:rFonts w:ascii="Open Sans" w:hAnsi="Open Sans" w:cs="Open Sans"/>
          <w:color w:val="000000"/>
        </w:rPr>
        <w:t>transfobia</w:t>
      </w:r>
      <w:proofErr w:type="spellEnd"/>
      <w:r w:rsidRPr="00412D8F">
        <w:rPr>
          <w:rStyle w:val="fontepargpadro-000011"/>
          <w:rFonts w:ascii="Open Sans" w:hAnsi="Open Sans" w:cs="Open Sans"/>
          <w:color w:val="000000"/>
        </w:rPr>
        <w:t xml:space="preserve"> em ambiente de trabalho. A sociedade contemporânea tem passado por transformações significativas no reconhecimento e na valorização da diversidade de gênero. Esse avanço é fundamental para a construção de um mundo mais justo, inclusivo e respeitoso, onde todas as pessoas possam viver com dignidade e sem medo de discriminação. </w:t>
      </w:r>
      <w:r w:rsidRPr="00412D8F">
        <w:rPr>
          <w:rStyle w:val="fontepargpadro-000012"/>
          <w:rFonts w:ascii="Open Sans" w:hAnsi="Open Sans" w:cs="Open Sans"/>
        </w:rPr>
        <w:t xml:space="preserve">O respeito à diversidade de gênero não se trata apenas de uma questão de direitos individuais, mas de um compromisso coletivo com a igualdade e a empatia. Cada indivíduo deve ter a liberdade de expressar sua identidade sem sofrer preconceito ou violência. Quando a sociedade acolhe e respeita todas as identidades de gênero, promove um ambiente mais saudável para o desenvolvimento pessoal e profissional de todos. Além disso, garantir direitos e proteção a pessoas </w:t>
      </w:r>
      <w:proofErr w:type="spellStart"/>
      <w:r w:rsidRPr="00412D8F">
        <w:rPr>
          <w:rStyle w:val="fontepargpadro-000012"/>
          <w:rFonts w:ascii="Open Sans" w:hAnsi="Open Sans" w:cs="Open Sans"/>
        </w:rPr>
        <w:t>trans</w:t>
      </w:r>
      <w:proofErr w:type="spellEnd"/>
      <w:r w:rsidRPr="00412D8F">
        <w:rPr>
          <w:rStyle w:val="fontepargpadro-000012"/>
          <w:rFonts w:ascii="Open Sans" w:hAnsi="Open Sans" w:cs="Open Sans"/>
        </w:rPr>
        <w:t xml:space="preserve">, não binárias e de outras identidades de gênero fortalece os princípios democráticos e os direitos humanos. Ambientes educacionais, locais de trabalho e políticas públicas que reconhecem essa diversidade contribuem para uma sociedade mais progressista e inovadora. A Convenção 111 da Organização Internacional do Trabalho - OIT - exige de seus signatários práticas contrárias à discriminação no ambiente de trabalho. No âmbito nacional, tem-se que a Constituição Federal assegura a dignidade da pessoa humana (art. 1º, III) e veda qualquer forma de discriminação (art. 5º, XLI). O Decreto nº 8.727/2016 regulamenta o uso do </w:t>
      </w:r>
      <w:r w:rsidRPr="00412D8F">
        <w:rPr>
          <w:rStyle w:val="fontepargpadro-000013"/>
          <w:rFonts w:ascii="Open Sans" w:hAnsi="Open Sans" w:cs="Open Sans"/>
          <w:bCs/>
          <w:color w:val="000000"/>
        </w:rPr>
        <w:t>nome social</w:t>
      </w:r>
      <w:r w:rsidRPr="00412D8F">
        <w:rPr>
          <w:rStyle w:val="fontepargpadro-000012"/>
          <w:rFonts w:ascii="Open Sans" w:hAnsi="Open Sans" w:cs="Open Sans"/>
        </w:rPr>
        <w:t xml:space="preserve"> na Administração Pública, reforçando o respeito à identidade de gênero. Por meio da ADI 4275, o STF entendeu ser possível </w:t>
      </w:r>
      <w:proofErr w:type="gramStart"/>
      <w:r w:rsidRPr="00412D8F">
        <w:rPr>
          <w:rStyle w:val="fontepargpadro-000012"/>
          <w:rFonts w:ascii="Open Sans" w:hAnsi="Open Sans" w:cs="Open Sans"/>
        </w:rPr>
        <w:t>a</w:t>
      </w:r>
      <w:proofErr w:type="gramEnd"/>
      <w:r w:rsidRPr="00412D8F">
        <w:rPr>
          <w:rStyle w:val="fontepargpadro-000012"/>
          <w:rFonts w:ascii="Open Sans" w:hAnsi="Open Sans" w:cs="Open Sans"/>
        </w:rPr>
        <w:t xml:space="preserve"> alteração do nome e do gênero no registro civil sem a necessidade de cirurgia ou autorização judicial. Órgãos públicos e instituições de ensino devem respeitar e adotar o nome social </w:t>
      </w:r>
      <w:proofErr w:type="gramStart"/>
      <w:r w:rsidRPr="00412D8F">
        <w:rPr>
          <w:rStyle w:val="fontepargpadro-000012"/>
          <w:rFonts w:ascii="Open Sans" w:hAnsi="Open Sans" w:cs="Open Sans"/>
        </w:rPr>
        <w:t>em</w:t>
      </w:r>
      <w:proofErr w:type="gramEnd"/>
      <w:r w:rsidRPr="00412D8F">
        <w:rPr>
          <w:rStyle w:val="fontepargpadro-000012"/>
          <w:rFonts w:ascii="Open Sans" w:hAnsi="Open Sans" w:cs="Open Sans"/>
        </w:rPr>
        <w:t xml:space="preserve"> registros, crachás e atendimentos. Empresas privadas devem respeitar o nome social dos funcionários e clientes. Assim, a recusa em utilizar o nome social configura afronta à dignidade humana e gera danos morais. Inclusive, o Supremo Tribunal Federal, no julgamento da ADO 26 e do MI 4.733, reconheceu a </w:t>
      </w:r>
      <w:proofErr w:type="spellStart"/>
      <w:r w:rsidRPr="00412D8F">
        <w:rPr>
          <w:rStyle w:val="fontepargpadro-000012"/>
          <w:rFonts w:ascii="Open Sans" w:hAnsi="Open Sans" w:cs="Open Sans"/>
        </w:rPr>
        <w:t>transfobia</w:t>
      </w:r>
      <w:proofErr w:type="spellEnd"/>
      <w:r w:rsidRPr="00412D8F">
        <w:rPr>
          <w:rStyle w:val="fontepargpadro-000012"/>
          <w:rFonts w:ascii="Open Sans" w:hAnsi="Open Sans" w:cs="Open Sans"/>
        </w:rPr>
        <w:t xml:space="preserve"> como espécie de racismo, vedando práticas discriminatórias contra pessoas </w:t>
      </w:r>
      <w:proofErr w:type="spellStart"/>
      <w:r w:rsidRPr="00412D8F">
        <w:rPr>
          <w:rStyle w:val="fontepargpadro-000012"/>
          <w:rFonts w:ascii="Open Sans" w:hAnsi="Open Sans" w:cs="Open Sans"/>
        </w:rPr>
        <w:t>transgênero</w:t>
      </w:r>
      <w:proofErr w:type="spellEnd"/>
      <w:r w:rsidRPr="00412D8F">
        <w:rPr>
          <w:rStyle w:val="fontepargpadro-000012"/>
          <w:rFonts w:ascii="Open Sans" w:hAnsi="Open Sans" w:cs="Open Sans"/>
        </w:rPr>
        <w:t xml:space="preserve">. O direito ao uso do banheiro condizente com a identidade de gênero decorre da proteção à igualdade e à dignidade, sendo a restrição a esse </w:t>
      </w:r>
      <w:r w:rsidRPr="00412D8F">
        <w:rPr>
          <w:rStyle w:val="fontepargpadro-000012"/>
          <w:rFonts w:ascii="Open Sans" w:hAnsi="Open Sans" w:cs="Open Sans"/>
        </w:rPr>
        <w:lastRenderedPageBreak/>
        <w:t xml:space="preserve">direito uma forma de discriminação direta. Guedes, Nolasco e Ribeiro (2022, p. 160), citando </w:t>
      </w:r>
      <w:proofErr w:type="spellStart"/>
      <w:r w:rsidRPr="00412D8F">
        <w:rPr>
          <w:rStyle w:val="fontepargpadro-000012"/>
          <w:rFonts w:ascii="Open Sans" w:hAnsi="Open Sans" w:cs="Open Sans"/>
        </w:rPr>
        <w:t>Comério</w:t>
      </w:r>
      <w:proofErr w:type="spellEnd"/>
      <w:r w:rsidRPr="00412D8F">
        <w:rPr>
          <w:rStyle w:val="fontepargpadro-000012"/>
          <w:rFonts w:ascii="Open Sans" w:hAnsi="Open Sans" w:cs="Open Sans"/>
        </w:rPr>
        <w:t xml:space="preserve"> (2018, p. 95), destacam que quanto à utilização do banheiro: </w:t>
      </w:r>
      <w:r w:rsidR="00CF221F">
        <w:rPr>
          <w:rStyle w:val="fontepargpadro-000012"/>
          <w:rFonts w:ascii="Open Sans" w:hAnsi="Open Sans" w:cs="Open Sans"/>
        </w:rPr>
        <w:t>‘</w:t>
      </w:r>
      <w:r w:rsidRPr="00412D8F">
        <w:rPr>
          <w:rStyle w:val="fontepargpadro-000012"/>
          <w:rFonts w:ascii="Open Sans" w:hAnsi="Open Sans" w:cs="Open Sans"/>
        </w:rPr>
        <w:t xml:space="preserve">as questões que envolvem o uso do banheiro pela população </w:t>
      </w:r>
      <w:proofErr w:type="spellStart"/>
      <w:r w:rsidRPr="00412D8F">
        <w:rPr>
          <w:rStyle w:val="fontepargpadro-000012"/>
          <w:rFonts w:ascii="Open Sans" w:hAnsi="Open Sans" w:cs="Open Sans"/>
        </w:rPr>
        <w:t>transgênero</w:t>
      </w:r>
      <w:proofErr w:type="spellEnd"/>
      <w:r w:rsidRPr="00412D8F">
        <w:rPr>
          <w:rStyle w:val="fontepargpadro-000012"/>
          <w:rFonts w:ascii="Open Sans" w:hAnsi="Open Sans" w:cs="Open Sans"/>
        </w:rPr>
        <w:t xml:space="preserve"> vão além do aspecto físico e influenciam diretamente no tema que trata da dignidade da pessoa humana, especificamente dessa população. Além disso, há que se considerar o desconforto quanto ao julgamento das pessoas que estão utilizando o espaço do banheiro, verifica-se uma situação vexatória por parte da população </w:t>
      </w:r>
      <w:proofErr w:type="spellStart"/>
      <w:r w:rsidRPr="00412D8F">
        <w:rPr>
          <w:rStyle w:val="fontepargpadro-000012"/>
          <w:rFonts w:ascii="Open Sans" w:hAnsi="Open Sans" w:cs="Open Sans"/>
        </w:rPr>
        <w:t>transgênero</w:t>
      </w:r>
      <w:proofErr w:type="spellEnd"/>
      <w:r w:rsidRPr="00412D8F">
        <w:rPr>
          <w:rStyle w:val="fontepargpadro-000012"/>
          <w:rFonts w:ascii="Open Sans" w:hAnsi="Open Sans" w:cs="Open Sans"/>
        </w:rPr>
        <w:t xml:space="preserve"> de não poder </w:t>
      </w:r>
      <w:r w:rsidR="00CF221F">
        <w:rPr>
          <w:rStyle w:val="fontepargpadro-000012"/>
          <w:rFonts w:ascii="Open Sans" w:hAnsi="Open Sans" w:cs="Open Sans"/>
        </w:rPr>
        <w:t xml:space="preserve">viver sua identidade de </w:t>
      </w:r>
      <w:proofErr w:type="gramStart"/>
      <w:r w:rsidR="00CF221F">
        <w:rPr>
          <w:rStyle w:val="fontepargpadro-000012"/>
          <w:rFonts w:ascii="Open Sans" w:hAnsi="Open Sans" w:cs="Open Sans"/>
        </w:rPr>
        <w:t>gênero.</w:t>
      </w:r>
      <w:proofErr w:type="gramEnd"/>
      <w:r w:rsidR="00CF221F">
        <w:rPr>
          <w:rStyle w:val="fontepargpadro-000012"/>
          <w:rFonts w:ascii="Open Sans" w:hAnsi="Open Sans" w:cs="Open Sans"/>
        </w:rPr>
        <w:t>’</w:t>
      </w:r>
      <w:r w:rsidRPr="00412D8F">
        <w:rPr>
          <w:rStyle w:val="fontepargpadro-000012"/>
          <w:rFonts w:ascii="Open Sans" w:hAnsi="Open Sans" w:cs="Open Sans"/>
        </w:rPr>
        <w:t xml:space="preserve"> (GUEDES, Eduardo Antônio Martins; NOLASCO, </w:t>
      </w:r>
      <w:proofErr w:type="spellStart"/>
      <w:r w:rsidRPr="00412D8F">
        <w:rPr>
          <w:rStyle w:val="fontepargpadro-000012"/>
          <w:rFonts w:ascii="Open Sans" w:hAnsi="Open Sans" w:cs="Open Sans"/>
        </w:rPr>
        <w:t>Evellyn</w:t>
      </w:r>
      <w:proofErr w:type="spellEnd"/>
      <w:r w:rsidRPr="00412D8F">
        <w:rPr>
          <w:rStyle w:val="fontepargpadro-000012"/>
          <w:rFonts w:ascii="Open Sans" w:hAnsi="Open Sans" w:cs="Open Sans"/>
        </w:rPr>
        <w:t xml:space="preserve"> Becker Moreira; RIBEIRO, Renato de Araújo. O uso do banheiro pela população </w:t>
      </w:r>
      <w:proofErr w:type="spellStart"/>
      <w:r w:rsidRPr="00412D8F">
        <w:rPr>
          <w:rStyle w:val="fontepargpadro-000012"/>
          <w:rFonts w:ascii="Open Sans" w:hAnsi="Open Sans" w:cs="Open Sans"/>
        </w:rPr>
        <w:t>transgênero</w:t>
      </w:r>
      <w:proofErr w:type="spellEnd"/>
      <w:r w:rsidRPr="00412D8F">
        <w:rPr>
          <w:rStyle w:val="fontepargpadro-000012"/>
          <w:rFonts w:ascii="Open Sans" w:hAnsi="Open Sans" w:cs="Open Sans"/>
        </w:rPr>
        <w:t xml:space="preserve"> no meio ambiente de trabalho. </w:t>
      </w:r>
      <w:r w:rsidRPr="00412D8F">
        <w:rPr>
          <w:rStyle w:val="fontepargpadro-000014"/>
          <w:rFonts w:ascii="Open Sans" w:hAnsi="Open Sans" w:cs="Open Sans"/>
          <w:i/>
          <w:iCs/>
          <w:color w:val="000000"/>
        </w:rPr>
        <w:t>In</w:t>
      </w:r>
      <w:r w:rsidRPr="00412D8F">
        <w:rPr>
          <w:rStyle w:val="fontepargpadro-000012"/>
          <w:rFonts w:ascii="Open Sans" w:hAnsi="Open Sans" w:cs="Open Sans"/>
        </w:rPr>
        <w:t>:</w:t>
      </w:r>
      <w:r w:rsidRPr="00412D8F">
        <w:rPr>
          <w:rStyle w:val="fontepargpadro-000014"/>
          <w:rFonts w:ascii="Open Sans" w:hAnsi="Open Sans" w:cs="Open Sans"/>
          <w:i/>
          <w:iCs/>
          <w:color w:val="000000"/>
        </w:rPr>
        <w:t xml:space="preserve"> </w:t>
      </w:r>
      <w:r w:rsidRPr="00412D8F">
        <w:rPr>
          <w:rStyle w:val="fontepargpadro-000012"/>
          <w:rFonts w:ascii="Open Sans" w:hAnsi="Open Sans" w:cs="Open Sans"/>
        </w:rPr>
        <w:t xml:space="preserve">GUNTHER, Luiz Eduardo; ALVARENGA, Rúbia </w:t>
      </w:r>
      <w:proofErr w:type="spellStart"/>
      <w:r w:rsidRPr="00412D8F">
        <w:rPr>
          <w:rStyle w:val="fontepargpadro-000012"/>
          <w:rFonts w:ascii="Open Sans" w:hAnsi="Open Sans" w:cs="Open Sans"/>
        </w:rPr>
        <w:t>Zanotelli</w:t>
      </w:r>
      <w:proofErr w:type="spellEnd"/>
      <w:r w:rsidRPr="00412D8F">
        <w:rPr>
          <w:rStyle w:val="fontepargpadro-000012"/>
          <w:rFonts w:ascii="Open Sans" w:hAnsi="Open Sans" w:cs="Open Sans"/>
        </w:rPr>
        <w:t xml:space="preserve"> de. (coord.) </w:t>
      </w:r>
      <w:r w:rsidRPr="00412D8F">
        <w:rPr>
          <w:rStyle w:val="fontepargpadro-000013"/>
          <w:rFonts w:ascii="Open Sans" w:hAnsi="Open Sans" w:cs="Open Sans"/>
          <w:bCs/>
          <w:color w:val="000000"/>
        </w:rPr>
        <w:t>Discriminação de LGBTQIA+ nas relações de trabalho</w:t>
      </w:r>
      <w:r w:rsidRPr="00412D8F">
        <w:rPr>
          <w:rStyle w:val="fontepargpadro-000012"/>
          <w:rFonts w:ascii="Open Sans" w:hAnsi="Open Sans" w:cs="Open Sans"/>
        </w:rPr>
        <w:t xml:space="preserve">. São Paulo: Dialética, 2022. p. 159-191). O dano moral surge como um dos instrumentos de reparação para as pessoas que são vítimas de atos discriminatórios relacionados à identidade ou expressão de gênero. Quando alguém sofre constrangimentos, humilhações ou outras formas de violência - seja no ambiente de trabalho, na prestação de serviços ou em espaços públicos -, isso pode configurar uma violação à dignidade da pessoa humana. Tais situações não apenas afetam o bem-estar psicológico, mas também reforçam as desigualdades sociais e perpetuam estigmas. A jurisprudência tem avançado no sentido de reconhecer o dano moral em casos de discriminação de gênero. Atitudes discriminatórias, como o uso de pronomes errados de forma intencional, a recusa em respeitar o nome social ou a exposição vexatória de pessoas </w:t>
      </w:r>
      <w:proofErr w:type="spellStart"/>
      <w:r w:rsidRPr="00412D8F">
        <w:rPr>
          <w:rStyle w:val="fontepargpadro-000012"/>
          <w:rFonts w:ascii="Open Sans" w:hAnsi="Open Sans" w:cs="Open Sans"/>
        </w:rPr>
        <w:t>transgênero</w:t>
      </w:r>
      <w:proofErr w:type="spellEnd"/>
      <w:r w:rsidRPr="00412D8F">
        <w:rPr>
          <w:rStyle w:val="fontepargpadro-000012"/>
          <w:rFonts w:ascii="Open Sans" w:hAnsi="Open Sans" w:cs="Open Sans"/>
        </w:rPr>
        <w:t xml:space="preserve"> e não binárias</w:t>
      </w:r>
      <w:proofErr w:type="gramStart"/>
      <w:r w:rsidRPr="00412D8F">
        <w:rPr>
          <w:rStyle w:val="fontepargpadro-000012"/>
          <w:rFonts w:ascii="Open Sans" w:hAnsi="Open Sans" w:cs="Open Sans"/>
        </w:rPr>
        <w:t>, configuram</w:t>
      </w:r>
      <w:proofErr w:type="gramEnd"/>
      <w:r w:rsidRPr="00412D8F">
        <w:rPr>
          <w:rStyle w:val="fontepargpadro-000012"/>
          <w:rFonts w:ascii="Open Sans" w:hAnsi="Open Sans" w:cs="Open Sans"/>
        </w:rPr>
        <w:t xml:space="preserve"> ofensas possíveis de reparação. Além disso, leis como a Lei nº 9.029/1995 proíbem práticas discriminatórias no acesso a emprego e nas relações de trabalho, reforçando o direito à igualdade. Promover a diversidade de gênero é um passo essencial para a construção de uma sociedade mais justa e inclusiva. O combate à discriminação e a reparação por danos morais desempenham um papel crucial nesse processo, funcionando como um meio de proteção às vítimas e de conscientização sobre os direitos humanos. É fundamental que empresas, instituições e indivíduos assumam a responsabilidade onde a pluralidade seja respeitada e valorizada. Cabe ao empregador promover campanhas de conscientização sobre diversidade e respeito à identidade de gênero e esclarecer que todos têm o direito de serem tratados com dignidade, a fim de evitar conflitos. No caso, a reclamante, pessoa </w:t>
      </w:r>
      <w:proofErr w:type="spellStart"/>
      <w:r w:rsidRPr="00412D8F">
        <w:rPr>
          <w:rStyle w:val="fontepargpadro-000012"/>
          <w:rFonts w:ascii="Open Sans" w:hAnsi="Open Sans" w:cs="Open Sans"/>
        </w:rPr>
        <w:t>transgênero</w:t>
      </w:r>
      <w:proofErr w:type="spellEnd"/>
      <w:r w:rsidRPr="00412D8F">
        <w:rPr>
          <w:rStyle w:val="fontepargpadro-000012"/>
          <w:rFonts w:ascii="Open Sans" w:hAnsi="Open Sans" w:cs="Open Sans"/>
        </w:rPr>
        <w:t xml:space="preserve"> que se identificava com o gênero feminino, ao </w:t>
      </w:r>
      <w:proofErr w:type="gramStart"/>
      <w:r w:rsidRPr="00412D8F">
        <w:rPr>
          <w:rStyle w:val="fontepargpadro-000012"/>
          <w:rFonts w:ascii="Open Sans" w:hAnsi="Open Sans" w:cs="Open Sans"/>
        </w:rPr>
        <w:t>ser admitida</w:t>
      </w:r>
      <w:proofErr w:type="gramEnd"/>
      <w:r w:rsidRPr="00412D8F">
        <w:rPr>
          <w:rStyle w:val="fontepargpadro-000012"/>
          <w:rFonts w:ascii="Open Sans" w:hAnsi="Open Sans" w:cs="Open Sans"/>
        </w:rPr>
        <w:t xml:space="preserve">, apresentou à empresa documentos em que ainda constava seu nome de registro de nascimento, mas o crachá recebido na época já constava o nome social. Nas escalas de trabalho, a autora era identificada pelo nome de registro de nascimento, o que também acontecida durante os treinamentos ou quando era chamada pelos supervisores, apesar de suas solicitações para chamá-la pelo nome social. Também era impedida de utilizar o banheiro feminino. </w:t>
      </w:r>
      <w:r w:rsidRPr="00412D8F">
        <w:rPr>
          <w:rStyle w:val="fontepargpadro-000011"/>
          <w:rFonts w:ascii="Open Sans" w:hAnsi="Open Sans" w:cs="Open Sans"/>
          <w:color w:val="000000"/>
        </w:rPr>
        <w:t xml:space="preserve">Sendo assim, correta a condenação da reclamada ao pagamento de indenização por dano moral, pois os fatos narrados evidenciaram violação grave aos direitos da autora, gerando angústia e constrangimento incompatíveis com o dever de respeito à dignidade humana. </w:t>
      </w:r>
      <w:r w:rsidRPr="00412D8F">
        <w:rPr>
          <w:rStyle w:val="fontepargpadro-000005"/>
          <w:rFonts w:ascii="Open Sans" w:hAnsi="Open Sans" w:cs="Open Sans"/>
          <w:bCs/>
        </w:rPr>
        <w:t xml:space="preserve">Agravo de instrumento a que se nega provimento. </w:t>
      </w:r>
      <w:r w:rsidRPr="00412D8F">
        <w:rPr>
          <w:rStyle w:val="fontepargpadro-000011"/>
          <w:rFonts w:ascii="Open Sans" w:hAnsi="Open Sans" w:cs="Open Sans"/>
          <w:color w:val="000000"/>
        </w:rPr>
        <w:t>(</w:t>
      </w:r>
      <w:hyperlink r:id="rId12" w:anchor="091534d" w:history="1">
        <w:r w:rsidRPr="00412D8F">
          <w:rPr>
            <w:rStyle w:val="Hyperlink"/>
            <w:rFonts w:ascii="Open Sans" w:hAnsi="Open Sans" w:cs="Open Sans"/>
          </w:rPr>
          <w:t>TST-</w:t>
        </w:r>
        <w:r w:rsidRPr="00412D8F">
          <w:rPr>
            <w:rStyle w:val="Hyperlink"/>
            <w:rFonts w:ascii="Open Sans" w:hAnsi="Open Sans" w:cs="Open Sans"/>
            <w:bCs/>
          </w:rPr>
          <w:t>AIRR-0000416-46.2022.5.05.0029</w:t>
        </w:r>
        <w:r w:rsidRPr="00412D8F">
          <w:rPr>
            <w:rStyle w:val="Hyperlink"/>
            <w:rFonts w:ascii="Open Sans" w:hAnsi="Open Sans" w:cs="Open Sans"/>
          </w:rPr>
          <w:t>, 2ª Turma, rel. Min. Maria Helena Mallmann, julgado em 2/4/2025</w:t>
        </w:r>
      </w:hyperlink>
      <w:proofErr w:type="gramStart"/>
      <w:r w:rsidRPr="00412D8F">
        <w:rPr>
          <w:rFonts w:ascii="Open Sans" w:hAnsi="Open Sans" w:cs="Open Sans"/>
          <w:color w:val="222222"/>
        </w:rPr>
        <w:t>)</w:t>
      </w:r>
      <w:proofErr w:type="gramEnd"/>
    </w:p>
    <w:p w:rsidR="0073503E" w:rsidRDefault="0073503E" w:rsidP="007E429F">
      <w:pPr>
        <w:pStyle w:val="ementa0"/>
        <w:suppressAutoHyphens/>
        <w:spacing w:before="0" w:beforeAutospacing="0" w:after="0" w:afterAutospacing="0"/>
        <w:ind w:left="-255" w:right="340"/>
        <w:jc w:val="both"/>
        <w:rPr>
          <w:rStyle w:val="fontepargpadro0"/>
          <w:rFonts w:ascii="Open Sans" w:hAnsi="Open Sans" w:cs="Open Sans"/>
          <w:bCs/>
          <w:color w:val="000000"/>
        </w:rPr>
      </w:pPr>
    </w:p>
    <w:p w:rsidR="007E429F" w:rsidRPr="00412D8F" w:rsidRDefault="00513A6A" w:rsidP="007E429F">
      <w:pPr>
        <w:pStyle w:val="ementa0"/>
        <w:suppressAutoHyphens/>
        <w:spacing w:before="0" w:beforeAutospacing="0" w:after="0" w:afterAutospacing="0"/>
        <w:ind w:left="-255" w:right="340"/>
        <w:jc w:val="both"/>
        <w:rPr>
          <w:rFonts w:ascii="Open Sans" w:hAnsi="Open Sans" w:cs="Open Sans"/>
        </w:rPr>
      </w:pPr>
      <w:proofErr w:type="gramStart"/>
      <w:r w:rsidRPr="00412D8F">
        <w:rPr>
          <w:rStyle w:val="fontepargpadro0"/>
          <w:rFonts w:ascii="Open Sans" w:hAnsi="Open Sans" w:cs="Open Sans"/>
          <w:bCs/>
          <w:color w:val="000000"/>
        </w:rPr>
        <w:lastRenderedPageBreak/>
        <w:t>“</w:t>
      </w:r>
      <w:proofErr w:type="gramEnd"/>
      <w:r w:rsidRPr="00412D8F">
        <w:rPr>
          <w:rStyle w:val="fontepargpadro0"/>
          <w:rFonts w:ascii="Open Sans" w:hAnsi="Open Sans" w:cs="Open Sans"/>
          <w:bCs/>
          <w:color w:val="000000"/>
        </w:rPr>
        <w:t>[...]</w:t>
      </w:r>
      <w:r w:rsidR="007E429F">
        <w:rPr>
          <w:rStyle w:val="fontepargpadro0"/>
          <w:rFonts w:ascii="Open Sans" w:hAnsi="Open Sans" w:cs="Open Sans"/>
          <w:bCs/>
          <w:color w:val="000000"/>
        </w:rPr>
        <w:t xml:space="preserve"> </w:t>
      </w:r>
      <w:r w:rsidRPr="00412D8F">
        <w:rPr>
          <w:rStyle w:val="fontepargpadro0"/>
          <w:rFonts w:ascii="Open Sans" w:hAnsi="Open Sans" w:cs="Open Sans"/>
          <w:bCs/>
          <w:color w:val="000000"/>
        </w:rPr>
        <w:t xml:space="preserve">ASSÉDIO MORAL – ASSÉDIO SEXUAL – DISCRIMINAÇÃO DE GÊNERO – VIOLÊNCIA DE GÊNERO - AGENDA 2030 DA ONU - RESPONSABILIDADE CIVIL DO EMPREGADOR POR ATOS DE SEUS PREPOSTOS, SERVIÇAIS E EMPREGADOS – ARTIGO 932, INCISO III, DO CÓDIGO CIVIL - INDENIZAÇÃO POR DANO MORAL – QUANTUM DEVIDO – CARÁTER PUNITIVO-PEDAGÓGICO – </w:t>
      </w:r>
      <w:r w:rsidRPr="00412D8F">
        <w:rPr>
          <w:rStyle w:val="fontepargpadro-000007"/>
          <w:rFonts w:ascii="Open Sans" w:hAnsi="Open Sans" w:cs="Open Sans"/>
          <w:i/>
          <w:iCs/>
          <w:color w:val="000000"/>
        </w:rPr>
        <w:t xml:space="preserve">PUNITIVE DAMAGES. </w:t>
      </w:r>
      <w:r w:rsidRPr="00412D8F">
        <w:rPr>
          <w:rStyle w:val="fontepargpadro-000003"/>
          <w:rFonts w:ascii="Open Sans" w:hAnsi="Open Sans" w:cs="Open Sans"/>
          <w:color w:val="000000"/>
        </w:rPr>
        <w:t xml:space="preserve">De forma fartamente descrita na doutrina de sociologia e medicina do trabalho, é possível identificar a utilização de práticas assediadoras como meio de limitar a manutenção ou a promoção de uma mulher em uma relação de trabalho. Para combater esse tipo de conduta violenta e discriminatória, a </w:t>
      </w:r>
      <w:r w:rsidRPr="00412D8F">
        <w:rPr>
          <w:rStyle w:val="fontepargpadro-000006"/>
          <w:rFonts w:ascii="Open Sans" w:hAnsi="Open Sans" w:cs="Open Sans"/>
          <w:color w:val="000000"/>
        </w:rPr>
        <w:t xml:space="preserve">Lei nº 9.029/95 </w:t>
      </w:r>
      <w:r w:rsidRPr="00412D8F">
        <w:rPr>
          <w:rStyle w:val="fontepargpadro-000003"/>
          <w:rFonts w:ascii="Open Sans" w:hAnsi="Open Sans" w:cs="Open Sans"/>
          <w:color w:val="000000"/>
        </w:rPr>
        <w:t xml:space="preserve">proíbe toda e qualquer prática discriminatória que tenha impacto sobre o acesso ou a manutenção de um vínculo de emprego ou trabalho por motivo de ‘sexo, origem, raça, cor, estado civil, situação familiar, deficiência, reabilitação profissional, idade, entre outros’, prevendo tanto a pena de detenção (típica da seara penal), quanto pena de multa (pecuniária), além da reparação por dano moral caso o vínculo de trabalho se rompa em razão da discriminação, na forma do seu artigo 4º. Com relação à gravidade das condutas imprimidas contra a Reclamante, é imperioso reconhecer o total repúdio a tais expressões de violência, que se materializam de forma mais concreta na forma da condenação ao pagamento de indenizações pelos danos morais sofridos. Isso porque a violência expressa na forma de assédio moral e sexual gera sofrimento psicofísico, como bem pontua a socióloga, pesquisadora e professora da USP Dra. Eleonora </w:t>
      </w:r>
      <w:proofErr w:type="spellStart"/>
      <w:r w:rsidRPr="00412D8F">
        <w:rPr>
          <w:rStyle w:val="fontepargpadro-000003"/>
          <w:rFonts w:ascii="Open Sans" w:hAnsi="Open Sans" w:cs="Open Sans"/>
          <w:color w:val="000000"/>
        </w:rPr>
        <w:t>Menicucci</w:t>
      </w:r>
      <w:proofErr w:type="spellEnd"/>
      <w:r w:rsidRPr="00412D8F">
        <w:rPr>
          <w:rStyle w:val="fontepargpadro-000003"/>
          <w:rFonts w:ascii="Open Sans" w:hAnsi="Open Sans" w:cs="Open Sans"/>
          <w:color w:val="000000"/>
        </w:rPr>
        <w:t xml:space="preserve"> de Oliveira em seu livro ‘A mulher, a sexualidade e o trabalho’. Por isso, é fundamental o arbitramento de uma indenização que comunique repúdio a tais práticas violentas com um caráter punitivo e pedagógico, já que não é mais possível restituir o </w:t>
      </w:r>
      <w:r w:rsidRPr="009304E7">
        <w:rPr>
          <w:rStyle w:val="fontepargpadro-000003"/>
          <w:rFonts w:ascii="Open Sans" w:hAnsi="Open Sans" w:cs="Open Sans"/>
          <w:i/>
          <w:color w:val="000000"/>
        </w:rPr>
        <w:t>status quo</w:t>
      </w:r>
      <w:r w:rsidRPr="00412D8F">
        <w:rPr>
          <w:rStyle w:val="fontepargpadro-000003"/>
          <w:rFonts w:ascii="Open Sans" w:hAnsi="Open Sans" w:cs="Open Sans"/>
          <w:color w:val="000000"/>
        </w:rPr>
        <w:t xml:space="preserve"> ante de saúde mental para sua vítima. Assumindo tais premissas filosóficas, é imperativo reconhecer o dever de uma prestação jurisdicional compatível com o </w:t>
      </w:r>
      <w:proofErr w:type="gramStart"/>
      <w:r w:rsidRPr="00412D8F">
        <w:rPr>
          <w:rStyle w:val="fontepargpadro-000003"/>
          <w:rFonts w:ascii="Open Sans" w:hAnsi="Open Sans" w:cs="Open Sans"/>
          <w:color w:val="000000"/>
        </w:rPr>
        <w:t>compromisso</w:t>
      </w:r>
      <w:proofErr w:type="gramEnd"/>
      <w:r w:rsidRPr="00412D8F">
        <w:rPr>
          <w:rStyle w:val="fontepargpadro-000003"/>
          <w:rFonts w:ascii="Open Sans" w:hAnsi="Open Sans" w:cs="Open Sans"/>
          <w:color w:val="000000"/>
        </w:rPr>
        <w:t xml:space="preserve"> em se repudiar a prática do assédio, seja moral, seja sexual, no ambiente de trabalho, também por força de norma internacional, qual seja, a própria </w:t>
      </w:r>
      <w:r w:rsidRPr="00412D8F">
        <w:rPr>
          <w:rStyle w:val="fontepargpadro-000006"/>
          <w:rFonts w:ascii="Open Sans" w:hAnsi="Open Sans" w:cs="Open Sans"/>
          <w:color w:val="000000"/>
        </w:rPr>
        <w:t xml:space="preserve">Convenção nº 190 da OIT. </w:t>
      </w:r>
      <w:r w:rsidRPr="00412D8F">
        <w:rPr>
          <w:rStyle w:val="fontepargpadro-000003"/>
          <w:rFonts w:ascii="Open Sans" w:hAnsi="Open Sans" w:cs="Open Sans"/>
          <w:color w:val="000000"/>
        </w:rPr>
        <w:t xml:space="preserve">Apurando o olhar para o ordenamento jurídico brasileiro </w:t>
      </w:r>
      <w:r w:rsidRPr="00412D8F">
        <w:rPr>
          <w:rStyle w:val="fontepargpadro-000006"/>
          <w:rFonts w:ascii="Open Sans" w:hAnsi="Open Sans" w:cs="Open Sans"/>
          <w:color w:val="000000"/>
        </w:rPr>
        <w:t>o artigo 932 do Código Civil</w:t>
      </w:r>
      <w:r w:rsidRPr="00412D8F">
        <w:rPr>
          <w:rStyle w:val="fontepargpadro-000003"/>
          <w:rFonts w:ascii="Open Sans" w:hAnsi="Open Sans" w:cs="Open Sans"/>
          <w:color w:val="000000"/>
        </w:rPr>
        <w:t xml:space="preserve"> estabelece que ‘são também responsáveis pela reparação civil: (...) III- o empregador ou comitente, </w:t>
      </w:r>
      <w:proofErr w:type="gramStart"/>
      <w:r w:rsidRPr="00412D8F">
        <w:rPr>
          <w:rStyle w:val="fontepargpadro-000003"/>
          <w:rFonts w:ascii="Open Sans" w:hAnsi="Open Sans" w:cs="Open Sans"/>
          <w:color w:val="000000"/>
        </w:rPr>
        <w:t>por seus empregados, serviçais</w:t>
      </w:r>
      <w:proofErr w:type="gramEnd"/>
      <w:r w:rsidRPr="00412D8F">
        <w:rPr>
          <w:rStyle w:val="fontepargpadro-000003"/>
          <w:rFonts w:ascii="Open Sans" w:hAnsi="Open Sans" w:cs="Open Sans"/>
          <w:color w:val="000000"/>
        </w:rPr>
        <w:t xml:space="preserve"> e prepostos, no exercício do trabalho que lhes competir, ou em razão dele’. No caso, a prática de assédio moral e sexual contra a Reclamante pelo pre</w:t>
      </w:r>
      <w:r w:rsidR="007E429F">
        <w:rPr>
          <w:rStyle w:val="fontepargpadro-000003"/>
          <w:rFonts w:ascii="Open Sans" w:hAnsi="Open Sans" w:cs="Open Sans"/>
          <w:color w:val="000000"/>
        </w:rPr>
        <w:t>posto e serviçal da Reclamada (...)</w:t>
      </w:r>
      <w:r w:rsidRPr="00412D8F">
        <w:rPr>
          <w:rStyle w:val="fontepargpadro-000003"/>
          <w:rFonts w:ascii="Open Sans" w:hAnsi="Open Sans" w:cs="Open Sans"/>
          <w:color w:val="000000"/>
        </w:rPr>
        <w:t xml:space="preserve"> por ter perpetrado violência no exercício do trabalho que lhe competia e em razão dele, implica em responsabilidade da empresa Reclamada pelos danos gerados. Partindo dessas premissas filosóficas, econômicas e jurídicas, é fundamental reconhecer o cabimento e a adequação do valor arbitrado a título de indenização por dano moral pelo assédio moral e sexual sofrido pela Reclamante, qual seja: R$ 2.000,00 (dois mil reais) de indenização a título do assédio moral e R$ 10.000,00 (dez mil reais) de indenização pelo assédio sexual. Por todo o exposto, irreparável o acórdão regional nos termos pretendidos pela Reclamada. </w:t>
      </w:r>
      <w:proofErr w:type="gramStart"/>
      <w:r w:rsidRPr="00412D8F">
        <w:rPr>
          <w:rStyle w:val="fontepargpadro0"/>
          <w:rFonts w:ascii="Open Sans" w:hAnsi="Open Sans" w:cs="Open Sans"/>
          <w:bCs/>
          <w:color w:val="000000"/>
        </w:rPr>
        <w:t>Agravo interno a que se nega provimento.”</w:t>
      </w:r>
      <w:proofErr w:type="gramEnd"/>
      <w:r w:rsidRPr="00412D8F">
        <w:rPr>
          <w:rStyle w:val="fontepargpadro0"/>
          <w:rFonts w:ascii="Open Sans" w:hAnsi="Open Sans" w:cs="Open Sans"/>
          <w:bCs/>
          <w:color w:val="000000"/>
        </w:rPr>
        <w:t xml:space="preserve"> </w:t>
      </w:r>
      <w:r w:rsidRPr="00412D8F">
        <w:rPr>
          <w:rStyle w:val="fontepargpadro-000003"/>
          <w:rFonts w:ascii="Open Sans" w:hAnsi="Open Sans" w:cs="Open Sans"/>
          <w:color w:val="000000"/>
        </w:rPr>
        <w:t>(</w:t>
      </w:r>
      <w:hyperlink r:id="rId13" w:history="1">
        <w:r w:rsidRPr="00412D8F">
          <w:rPr>
            <w:rStyle w:val="Hyperlink"/>
            <w:rFonts w:ascii="Open Sans" w:hAnsi="Open Sans" w:cs="Open Sans"/>
            <w:bCs/>
          </w:rPr>
          <w:t>TST-Ag-AIRR-12645-26.2019.5.18.0241</w:t>
        </w:r>
        <w:r w:rsidRPr="00412D8F">
          <w:rPr>
            <w:rStyle w:val="Hyperlink"/>
            <w:rFonts w:ascii="Open Sans" w:hAnsi="Open Sans" w:cs="Open Sans"/>
          </w:rPr>
          <w:t xml:space="preserve">, 2ª Turma, rel. Min. Liana </w:t>
        </w:r>
        <w:proofErr w:type="spellStart"/>
        <w:r w:rsidRPr="00412D8F">
          <w:rPr>
            <w:rStyle w:val="Hyperlink"/>
            <w:rFonts w:ascii="Open Sans" w:hAnsi="Open Sans" w:cs="Open Sans"/>
          </w:rPr>
          <w:t>Chaib</w:t>
        </w:r>
        <w:proofErr w:type="spellEnd"/>
        <w:r w:rsidRPr="00412D8F">
          <w:rPr>
            <w:rStyle w:val="Hyperlink"/>
            <w:rFonts w:ascii="Open Sans" w:hAnsi="Open Sans" w:cs="Open Sans"/>
          </w:rPr>
          <w:t>, julgado em 2/4/2025</w:t>
        </w:r>
      </w:hyperlink>
      <w:r w:rsidRPr="00412D8F">
        <w:rPr>
          <w:rFonts w:ascii="Open Sans" w:hAnsi="Open Sans" w:cs="Open Sans"/>
          <w:color w:val="222222"/>
        </w:rPr>
        <w:t>)</w:t>
      </w:r>
      <w:r w:rsidR="007E429F">
        <w:rPr>
          <w:rFonts w:ascii="Open Sans" w:hAnsi="Open Sans" w:cs="Open Sans"/>
          <w:color w:val="222222"/>
        </w:rPr>
        <w:t xml:space="preserve"> </w:t>
      </w:r>
    </w:p>
    <w:p w:rsidR="00AA5743" w:rsidRPr="00412D8F" w:rsidRDefault="00AA5743" w:rsidP="00412D8F">
      <w:pPr>
        <w:suppressAutoHyphens/>
        <w:adjustRightInd w:val="0"/>
        <w:ind w:left="-255" w:right="340"/>
        <w:jc w:val="both"/>
        <w:rPr>
          <w:rFonts w:ascii="Open Sans" w:hAnsi="Open Sans" w:cs="Open Sans"/>
          <w:sz w:val="24"/>
          <w:szCs w:val="24"/>
        </w:rPr>
      </w:pPr>
    </w:p>
    <w:p w:rsidR="001111C7" w:rsidRPr="00412D8F" w:rsidRDefault="001111C7" w:rsidP="003E777B">
      <w:pPr>
        <w:suppressAutoHyphens/>
        <w:adjustRightInd w:val="0"/>
        <w:ind w:left="-255" w:right="340"/>
        <w:jc w:val="both"/>
        <w:rPr>
          <w:rFonts w:ascii="Open Sans" w:hAnsi="Open Sans" w:cs="Open Sans"/>
          <w:sz w:val="24"/>
          <w:szCs w:val="24"/>
        </w:rPr>
      </w:pPr>
      <w:r w:rsidRPr="00412D8F">
        <w:rPr>
          <w:rFonts w:ascii="Open Sans" w:hAnsi="Open Sans" w:cs="Open Sans"/>
          <w:bCs/>
          <w:sz w:val="24"/>
          <w:szCs w:val="24"/>
        </w:rPr>
        <w:t xml:space="preserve">“RECURSO DE REVISTA INTERPOSTO A ACÓRDÃO PUBLICADO NA VIGÊNCIA DA LEI N.º 13.467/2017. EXECUÇÃO. PENHORA DE SALÁRIOS E DE PROVENTOS DE APOSENTADORIA. SÓCIOS DA EMPRESA DEVEDORA. PERCENTUAL. TRANSCENDÊNCIA POLÍTICA DA CAUSA RECONHECIDA. </w:t>
      </w:r>
      <w:proofErr w:type="gramStart"/>
      <w:r w:rsidRPr="00412D8F">
        <w:rPr>
          <w:rFonts w:ascii="Open Sans" w:hAnsi="Open Sans" w:cs="Open Sans"/>
          <w:bCs/>
          <w:sz w:val="24"/>
          <w:szCs w:val="24"/>
        </w:rPr>
        <w:t>1</w:t>
      </w:r>
      <w:proofErr w:type="gramEnd"/>
      <w:r w:rsidRPr="00412D8F">
        <w:rPr>
          <w:rFonts w:ascii="Open Sans" w:hAnsi="Open Sans" w:cs="Open Sans"/>
          <w:bCs/>
          <w:sz w:val="24"/>
          <w:szCs w:val="24"/>
        </w:rPr>
        <w:t xml:space="preserve">. </w:t>
      </w:r>
      <w:r w:rsidRPr="00412D8F">
        <w:rPr>
          <w:rFonts w:ascii="Open Sans" w:hAnsi="Open Sans" w:cs="Open Sans"/>
          <w:sz w:val="24"/>
          <w:szCs w:val="24"/>
        </w:rPr>
        <w:t xml:space="preserve">Cuida-se de controvérsia acerca da penhora </w:t>
      </w:r>
      <w:r w:rsidRPr="00412D8F">
        <w:rPr>
          <w:rFonts w:ascii="Open Sans" w:hAnsi="Open Sans" w:cs="Open Sans"/>
          <w:sz w:val="24"/>
          <w:szCs w:val="24"/>
        </w:rPr>
        <w:lastRenderedPageBreak/>
        <w:t xml:space="preserve">determinada pelo Tribunal Regional, relativa ao percentual máximo de 10% do valor que exceder a 5 (cinco) vezes o salário mínimo dos sócios executados, a ser apurado em pesquisa realizada pelo CAGED. </w:t>
      </w:r>
      <w:r w:rsidRPr="00412D8F">
        <w:rPr>
          <w:rFonts w:ascii="Open Sans" w:hAnsi="Open Sans" w:cs="Open Sans"/>
          <w:bCs/>
          <w:sz w:val="24"/>
          <w:szCs w:val="24"/>
        </w:rPr>
        <w:t xml:space="preserve">2. </w:t>
      </w:r>
      <w:r w:rsidRPr="00412D8F">
        <w:rPr>
          <w:rFonts w:ascii="Open Sans" w:hAnsi="Open Sans" w:cs="Open Sans"/>
          <w:sz w:val="24"/>
          <w:szCs w:val="24"/>
        </w:rPr>
        <w:t xml:space="preserve">Este Tribunal Superior, por força da inovação trazida pelo artigo 833, IV, § 2º, do Código de Processo Civil de 2015, sufragou o entendimento no sentido de ser possível, na vigência do CPC/2015, a penhora parcial sobre salários, vencimentos e proventos de aposentadoria, desde que observado o limite de 50% (cinquenta por cento), previsto no § 3º do artigo 529 do CPC/2015, para o pagamento de crédito de natureza salarial. Precedentes. </w:t>
      </w:r>
      <w:r w:rsidRPr="00412D8F">
        <w:rPr>
          <w:rFonts w:ascii="Open Sans" w:hAnsi="Open Sans" w:cs="Open Sans"/>
          <w:bCs/>
          <w:sz w:val="24"/>
          <w:szCs w:val="24"/>
        </w:rPr>
        <w:t xml:space="preserve">3. </w:t>
      </w:r>
      <w:r w:rsidRPr="00412D8F">
        <w:rPr>
          <w:rFonts w:ascii="Open Sans" w:hAnsi="Open Sans" w:cs="Open Sans"/>
          <w:sz w:val="24"/>
          <w:szCs w:val="24"/>
        </w:rPr>
        <w:t xml:space="preserve">A tese esposada pelo Tribunal Regional, no sentido de admitir a penhora dos proventos apenas em relação aos valores que excederem a cinco salários mínimos, respeitada a proporção máxima de 10% deste valor, revela-se dissonante da atual, notória e iterativa jurisprudência deste Tribunal Superior, resultando configurada, nos termos do artigo 896-A, § 1º, inciso II, da CLT, a </w:t>
      </w:r>
      <w:r w:rsidRPr="00412D8F">
        <w:rPr>
          <w:rFonts w:ascii="Open Sans" w:hAnsi="Open Sans" w:cs="Open Sans"/>
          <w:bCs/>
          <w:sz w:val="24"/>
          <w:szCs w:val="24"/>
        </w:rPr>
        <w:t xml:space="preserve">transcendência política </w:t>
      </w:r>
      <w:r w:rsidRPr="00412D8F">
        <w:rPr>
          <w:rFonts w:ascii="Open Sans" w:hAnsi="Open Sans" w:cs="Open Sans"/>
          <w:sz w:val="24"/>
          <w:szCs w:val="24"/>
        </w:rPr>
        <w:t>da causa</w:t>
      </w:r>
      <w:r w:rsidRPr="00412D8F">
        <w:rPr>
          <w:rFonts w:ascii="Open Sans" w:hAnsi="Open Sans" w:cs="Open Sans"/>
          <w:bCs/>
          <w:sz w:val="24"/>
          <w:szCs w:val="24"/>
        </w:rPr>
        <w:t xml:space="preserve">. 4. </w:t>
      </w:r>
      <w:r w:rsidRPr="00412D8F">
        <w:rPr>
          <w:rFonts w:ascii="Open Sans" w:hAnsi="Open Sans" w:cs="Open Sans"/>
          <w:sz w:val="24"/>
          <w:szCs w:val="24"/>
        </w:rPr>
        <w:t>Recurso de Revista conhecido e provido.” (</w:t>
      </w:r>
      <w:hyperlink r:id="rId14" w:anchor="bb863c9" w:history="1">
        <w:r w:rsidRPr="00412D8F">
          <w:rPr>
            <w:rStyle w:val="Hyperlink"/>
            <w:rFonts w:ascii="Open Sans" w:hAnsi="Open Sans" w:cs="Open Sans"/>
            <w:sz w:val="24"/>
            <w:szCs w:val="24"/>
          </w:rPr>
          <w:t>TST-RR-0091300-67.1998.5.02.0055, 3ª Turma, rel. Min. Lelio Bentes Corrêa, julgado em 19/03/2025</w:t>
        </w:r>
      </w:hyperlink>
      <w:r w:rsidRPr="00412D8F">
        <w:rPr>
          <w:rFonts w:ascii="Open Sans" w:hAnsi="Open Sans" w:cs="Open Sans"/>
          <w:sz w:val="24"/>
          <w:szCs w:val="24"/>
        </w:rPr>
        <w:t>)</w:t>
      </w:r>
    </w:p>
    <w:p w:rsidR="00513A6A" w:rsidRPr="00412D8F" w:rsidRDefault="00513A6A" w:rsidP="00412D8F">
      <w:pPr>
        <w:suppressAutoHyphens/>
        <w:adjustRightInd w:val="0"/>
        <w:ind w:left="-255" w:right="340"/>
        <w:jc w:val="both"/>
        <w:rPr>
          <w:rFonts w:ascii="Open Sans" w:hAnsi="Open Sans" w:cs="Open Sans"/>
          <w:sz w:val="24"/>
          <w:szCs w:val="24"/>
        </w:rPr>
      </w:pPr>
    </w:p>
    <w:p w:rsidR="00F11A38" w:rsidRPr="00005BF6" w:rsidRDefault="008C0DCA" w:rsidP="00A2029F">
      <w:pPr>
        <w:suppressAutoHyphens/>
        <w:adjustRightInd w:val="0"/>
        <w:ind w:left="-255" w:right="340"/>
        <w:jc w:val="both"/>
        <w:rPr>
          <w:rFonts w:ascii="Open Sans" w:hAnsi="Open Sans" w:cs="Open Sans"/>
          <w:sz w:val="24"/>
          <w:szCs w:val="24"/>
        </w:rPr>
      </w:pPr>
      <w:r>
        <w:rPr>
          <w:rFonts w:ascii="Open Sans" w:hAnsi="Open Sans" w:cs="Open Sans"/>
          <w:bCs/>
          <w:sz w:val="24"/>
          <w:szCs w:val="24"/>
        </w:rPr>
        <w:t xml:space="preserve">“[...] </w:t>
      </w:r>
      <w:r w:rsidR="00F11A38" w:rsidRPr="00005BF6">
        <w:rPr>
          <w:rFonts w:ascii="Open Sans" w:hAnsi="Open Sans" w:cs="Open Sans"/>
          <w:bCs/>
          <w:sz w:val="24"/>
          <w:szCs w:val="24"/>
        </w:rPr>
        <w:t xml:space="preserve">RECURSO DE REVISTA. EXECUÇÃO. BLOQUEIO E PENHORA EM CONTA SALÁRIO DOS SÓCIOS EXECUTADOS. INCIDÊNCIA DO ART. 833, §2º, DO CPC. INAPLICABILIDADE DA ORIENTAÇÃO JURISPRUDENCIAL 153 DA SDI-II DO TST. </w:t>
      </w:r>
      <w:r w:rsidR="00F11A38" w:rsidRPr="00005BF6">
        <w:rPr>
          <w:rFonts w:ascii="Open Sans" w:hAnsi="Open Sans" w:cs="Open Sans"/>
          <w:sz w:val="24"/>
          <w:szCs w:val="24"/>
        </w:rPr>
        <w:t>Esta Corte passou a admitir a penhora parcial sobre salários, vencimentos e proventos de aposentadoria do executado, desde que observado o limite de 50% (cinquenta por cento) previsto no § 3º do art. 529 do CPC de 2015, tendo em vista que a impenhorabilidade dos vencimentos não se aplica aos casos em que a constrição seja para fins de paga</w:t>
      </w:r>
      <w:r w:rsidR="00FD2D30" w:rsidRPr="00005BF6">
        <w:rPr>
          <w:rFonts w:ascii="Open Sans" w:hAnsi="Open Sans" w:cs="Open Sans"/>
          <w:sz w:val="24"/>
          <w:szCs w:val="24"/>
        </w:rPr>
        <w:t>mento de prestação alimentícia ‘independentemente de sua origem’</w:t>
      </w:r>
      <w:r w:rsidR="00F11A38" w:rsidRPr="00005BF6">
        <w:rPr>
          <w:rFonts w:ascii="Open Sans" w:hAnsi="Open Sans" w:cs="Open Sans"/>
          <w:sz w:val="24"/>
          <w:szCs w:val="24"/>
        </w:rPr>
        <w:t xml:space="preserve"> (art. 833, IV, e § 2º, do CPC), como é o caso das verbas de natureza salarial devidas ao empregado. Precedentes. </w:t>
      </w:r>
      <w:r w:rsidR="00F11A38" w:rsidRPr="00005BF6">
        <w:rPr>
          <w:rFonts w:ascii="Open Sans" w:hAnsi="Open Sans" w:cs="Open Sans"/>
          <w:bCs/>
          <w:sz w:val="24"/>
          <w:szCs w:val="24"/>
        </w:rPr>
        <w:t>Recurso de revista de que se conhece e a que se dá provimento.” (</w:t>
      </w:r>
      <w:hyperlink r:id="rId15" w:history="1">
        <w:r w:rsidR="00F11A38" w:rsidRPr="00005BF6">
          <w:rPr>
            <w:rStyle w:val="Hyperlink"/>
            <w:rFonts w:ascii="Open Sans" w:hAnsi="Open Sans" w:cs="Open Sans"/>
            <w:bCs/>
            <w:sz w:val="24"/>
            <w:szCs w:val="24"/>
          </w:rPr>
          <w:t>TST-RR-20100-04.2005.5.17.0001, 3ª Turma, rel. Min. Alberto Bastos Balazeiro, julgado em 19/3/2025</w:t>
        </w:r>
      </w:hyperlink>
      <w:proofErr w:type="gramStart"/>
      <w:r w:rsidR="00F11A38" w:rsidRPr="00005BF6">
        <w:rPr>
          <w:rFonts w:ascii="Open Sans" w:hAnsi="Open Sans" w:cs="Open Sans"/>
          <w:bCs/>
          <w:sz w:val="24"/>
          <w:szCs w:val="24"/>
        </w:rPr>
        <w:t>)</w:t>
      </w:r>
      <w:proofErr w:type="gramEnd"/>
    </w:p>
    <w:p w:rsidR="001111C7" w:rsidRPr="00412D8F" w:rsidRDefault="001111C7" w:rsidP="00412D8F">
      <w:pPr>
        <w:suppressAutoHyphens/>
        <w:adjustRightInd w:val="0"/>
        <w:ind w:left="-255" w:right="340"/>
        <w:jc w:val="both"/>
        <w:rPr>
          <w:rFonts w:ascii="Open Sans" w:hAnsi="Open Sans" w:cs="Open Sans"/>
          <w:sz w:val="24"/>
          <w:szCs w:val="24"/>
        </w:rPr>
      </w:pPr>
    </w:p>
    <w:p w:rsidR="00287259" w:rsidRPr="00412D8F" w:rsidRDefault="00287259" w:rsidP="00412D8F">
      <w:pPr>
        <w:pStyle w:val="ementa0"/>
        <w:shd w:val="clear" w:color="auto" w:fill="FFFFFF"/>
        <w:suppressAutoHyphens/>
        <w:spacing w:before="0" w:beforeAutospacing="0" w:after="0" w:afterAutospacing="0"/>
        <w:ind w:left="-255" w:right="340"/>
        <w:jc w:val="both"/>
        <w:rPr>
          <w:rFonts w:ascii="Open Sans" w:hAnsi="Open Sans" w:cs="Open Sans"/>
        </w:rPr>
      </w:pPr>
      <w:r w:rsidRPr="00412D8F">
        <w:rPr>
          <w:rStyle w:val="fontepargpadro0"/>
          <w:rFonts w:ascii="Open Sans" w:hAnsi="Open Sans" w:cs="Open Sans"/>
          <w:bCs/>
          <w:color w:val="000000"/>
        </w:rPr>
        <w:t xml:space="preserve">“RECURSO DE REVISTA. NULIDADE DA DISPENSA E NECESSIDADE DE MOTIVAÇÃO. ILEGALIDADE DO ATO DEMISSIONAL. SOCIEDADE DE ECONOMIA MISTA. TEORIA DOS MOTIVOS DETERMINANTES. DISPENSA DISCRIMINATÓRIA. TRANSCENDÊNCIA POLÍTICA. </w:t>
      </w:r>
      <w:proofErr w:type="gramStart"/>
      <w:r w:rsidRPr="00412D8F">
        <w:rPr>
          <w:rStyle w:val="fontepargpadro-000003"/>
          <w:rFonts w:ascii="Open Sans" w:hAnsi="Open Sans" w:cs="Open Sans"/>
          <w:color w:val="000000"/>
        </w:rPr>
        <w:t>1</w:t>
      </w:r>
      <w:proofErr w:type="gramEnd"/>
      <w:r w:rsidRPr="00412D8F">
        <w:rPr>
          <w:rStyle w:val="fontepargpadro-000003"/>
          <w:rFonts w:ascii="Open Sans" w:hAnsi="Open Sans" w:cs="Open Sans"/>
          <w:color w:val="000000"/>
        </w:rPr>
        <w:t xml:space="preserve">. A natureza jurídica da recorrida impossibilita a aplicabilidade dos art. 19 da ADCT e 41 da CF e da OJ 364 da SBDI-1 deste TST, fato esse que torna irretocável o acórdão regional quanto à concessão de estabilidade nos termos propostos pela recorrente. 2. É incontroverso que a reclamante adentrou nos quadros na reclamada em 01/01/1986, isto é, antes da promulgação do art. 37, II, da CF/88. Assim, a ausência de participação em concurso público não interfere no reconhecimento da investidura da autora nos quadros da recorrida. 3. A ruptura do contrato de trabalho da reclamante se deu por iniciativa exclusiva do empregador, atendendo aos ditames contidos no CLT, embora o tenha motivado sem ferir qualquer preceito constitucional. A exigência de motivação não se confunde com a tipificação de causas justificadoras da dispensa. Resguarda-se a discricionariedade do empregador integrante da administração pública indireta, exigindo-se a motivação administrativa para assegurar posterior e eventualmente necessária apuração da legalidade da conduta. 4. A moldura fática do acórdão regional informa que a causa das dispensas havidas no âmbito da reclamada foi financeira, mas também que a reclamada selecionou empregados aposentados, sem que a demissão </w:t>
      </w:r>
      <w:r w:rsidRPr="00412D8F">
        <w:rPr>
          <w:rStyle w:val="fontepargpadro-000003"/>
          <w:rFonts w:ascii="Open Sans" w:hAnsi="Open Sans" w:cs="Open Sans"/>
          <w:color w:val="000000"/>
        </w:rPr>
        <w:lastRenderedPageBreak/>
        <w:t xml:space="preserve">observasse qualquer procedimento negocial coletivo. 5. Em face da teoria dos motivos determinantes, as razões declaradas pela Administração como essenciais para a realização do ato administrativo atuam como elemento vinculante, de forma que a inexistência, a falsidade ou a antijuridicidade das razões expostas pela Administração Pública para a realização do ato administrativo de rescisão contratual também implica nulidade do ato. A dispensa, embora embasada em razões de ordem financeira, alcança, seletivamente os empregados </w:t>
      </w:r>
      <w:proofErr w:type="gramStart"/>
      <w:r w:rsidRPr="00412D8F">
        <w:rPr>
          <w:rStyle w:val="fontepargpadro-000003"/>
          <w:rFonts w:ascii="Open Sans" w:hAnsi="Open Sans" w:cs="Open Sans"/>
          <w:color w:val="000000"/>
        </w:rPr>
        <w:t>aposentados</w:t>
      </w:r>
      <w:proofErr w:type="gramEnd"/>
      <w:r w:rsidRPr="00412D8F">
        <w:rPr>
          <w:rStyle w:val="fontepargpadro-000003"/>
          <w:rFonts w:ascii="Open Sans" w:hAnsi="Open Sans" w:cs="Open Sans"/>
          <w:color w:val="000000"/>
        </w:rPr>
        <w:t xml:space="preserve">, o que configura tratamento discriminatório e, a partir das garantias fundamentais da isonomia e da não discriminação insertas no art. 5º, </w:t>
      </w:r>
      <w:r w:rsidRPr="004F5248">
        <w:rPr>
          <w:rStyle w:val="fontepargpadro-000003"/>
          <w:rFonts w:ascii="Open Sans" w:hAnsi="Open Sans" w:cs="Open Sans"/>
          <w:i/>
          <w:color w:val="000000"/>
        </w:rPr>
        <w:t>caput</w:t>
      </w:r>
      <w:r w:rsidRPr="00412D8F">
        <w:rPr>
          <w:rStyle w:val="fontepargpadro-000003"/>
          <w:rFonts w:ascii="Open Sans" w:hAnsi="Open Sans" w:cs="Open Sans"/>
          <w:color w:val="000000"/>
        </w:rPr>
        <w:t xml:space="preserve">, da CF eiva de nulidade o ato administrativo. Precedentes. </w:t>
      </w:r>
      <w:r w:rsidRPr="00412D8F">
        <w:rPr>
          <w:rStyle w:val="fontepargpadro0"/>
          <w:rFonts w:ascii="Open Sans" w:hAnsi="Open Sans" w:cs="Open Sans"/>
          <w:bCs/>
          <w:color w:val="000000"/>
        </w:rPr>
        <w:t>Recurso de revista de que se c</w:t>
      </w:r>
      <w:r w:rsidR="007E429F">
        <w:rPr>
          <w:rStyle w:val="fontepargpadro0"/>
          <w:rFonts w:ascii="Open Sans" w:hAnsi="Open Sans" w:cs="Open Sans"/>
          <w:bCs/>
          <w:color w:val="000000"/>
        </w:rPr>
        <w:t>onhece e a que se dá provimento</w:t>
      </w:r>
      <w:r w:rsidR="00EE6028">
        <w:rPr>
          <w:rStyle w:val="fontepargpadro0"/>
          <w:rFonts w:ascii="Open Sans" w:hAnsi="Open Sans" w:cs="Open Sans"/>
          <w:bCs/>
          <w:color w:val="000000"/>
        </w:rPr>
        <w:t>.</w:t>
      </w:r>
      <w:r w:rsidR="007E429F">
        <w:rPr>
          <w:rStyle w:val="fontepargpadro0"/>
          <w:rFonts w:ascii="Open Sans" w:hAnsi="Open Sans" w:cs="Open Sans"/>
          <w:bCs/>
          <w:color w:val="000000"/>
        </w:rPr>
        <w:t xml:space="preserve"> [</w:t>
      </w:r>
      <w:proofErr w:type="gramStart"/>
      <w:r w:rsidR="007E429F">
        <w:rPr>
          <w:rStyle w:val="fontepargpadro0"/>
          <w:rFonts w:ascii="Open Sans" w:hAnsi="Open Sans" w:cs="Open Sans"/>
          <w:bCs/>
          <w:color w:val="000000"/>
        </w:rPr>
        <w:t>...]</w:t>
      </w:r>
      <w:r w:rsidRPr="00412D8F">
        <w:rPr>
          <w:rStyle w:val="fontepargpadro0"/>
          <w:rFonts w:ascii="Open Sans" w:hAnsi="Open Sans" w:cs="Open Sans"/>
          <w:bCs/>
          <w:color w:val="000000"/>
        </w:rPr>
        <w:t>”</w:t>
      </w:r>
      <w:proofErr w:type="gramEnd"/>
      <w:r w:rsidRPr="00412D8F">
        <w:rPr>
          <w:rStyle w:val="fontepargpadro0"/>
          <w:rFonts w:ascii="Open Sans" w:hAnsi="Open Sans" w:cs="Open Sans"/>
          <w:bCs/>
          <w:color w:val="000000"/>
        </w:rPr>
        <w:t xml:space="preserve"> </w:t>
      </w:r>
      <w:r w:rsidRPr="00412D8F">
        <w:rPr>
          <w:rStyle w:val="fontepargpadro-000003"/>
          <w:rFonts w:ascii="Open Sans" w:hAnsi="Open Sans" w:cs="Open Sans"/>
          <w:color w:val="000000"/>
        </w:rPr>
        <w:t>(</w:t>
      </w:r>
      <w:hyperlink r:id="rId16" w:history="1">
        <w:r w:rsidRPr="00412D8F">
          <w:rPr>
            <w:rStyle w:val="Hyperlink"/>
            <w:rFonts w:ascii="Open Sans" w:hAnsi="Open Sans" w:cs="Open Sans"/>
            <w:bCs/>
          </w:rPr>
          <w:t>TST-RR-837-80.2020.5.19.0008, 3ª Turma, rel. Min. Alberto Bastos Balazeiro, julgado em 26/3/2025</w:t>
        </w:r>
      </w:hyperlink>
      <w:r w:rsidRPr="00412D8F">
        <w:rPr>
          <w:rStyle w:val="fontepargpadro0"/>
          <w:rFonts w:ascii="Open Sans" w:hAnsi="Open Sans" w:cs="Open Sans"/>
          <w:bCs/>
          <w:color w:val="000000"/>
        </w:rPr>
        <w:t>)</w:t>
      </w:r>
    </w:p>
    <w:p w:rsidR="00BD0C91" w:rsidRPr="00412D8F" w:rsidRDefault="00BD0C91" w:rsidP="00412D8F">
      <w:pPr>
        <w:suppressAutoHyphens/>
        <w:adjustRightInd w:val="0"/>
        <w:ind w:left="-255" w:right="340"/>
        <w:jc w:val="both"/>
        <w:rPr>
          <w:rFonts w:ascii="Open Sans" w:hAnsi="Open Sans" w:cs="Open Sans"/>
          <w:sz w:val="24"/>
          <w:szCs w:val="24"/>
        </w:rPr>
      </w:pPr>
    </w:p>
    <w:p w:rsidR="00287259" w:rsidRPr="001B0539" w:rsidRDefault="00287259" w:rsidP="004B4895">
      <w:pPr>
        <w:pStyle w:val="ementa0"/>
        <w:shd w:val="clear" w:color="auto" w:fill="FFFFFF"/>
        <w:suppressAutoHyphens/>
        <w:spacing w:before="0" w:beforeAutospacing="0" w:after="0" w:afterAutospacing="0"/>
        <w:ind w:left="-255" w:right="340"/>
        <w:jc w:val="both"/>
        <w:rPr>
          <w:rStyle w:val="fontepargpadro-000007"/>
          <w:rFonts w:ascii="Open Sans" w:hAnsi="Open Sans" w:cs="Open Sans"/>
          <w:color w:val="000000"/>
        </w:rPr>
      </w:pPr>
      <w:r w:rsidRPr="001B0539">
        <w:rPr>
          <w:rStyle w:val="fontepargpadro-000010"/>
          <w:rFonts w:ascii="Open Sans" w:hAnsi="Open Sans" w:cs="Open Sans"/>
          <w:bCs/>
          <w:color w:val="000000"/>
        </w:rPr>
        <w:t>“AGRAVO DE INSTRUMENTO EM RECURSO DE REVISTA.</w:t>
      </w:r>
      <w:r w:rsidRPr="001B0539">
        <w:rPr>
          <w:rStyle w:val="fontepargpadro-000010-000010"/>
          <w:rFonts w:ascii="Open Sans" w:hAnsi="Open Sans" w:cs="Open Sans"/>
          <w:bCs/>
          <w:color w:val="000000"/>
        </w:rPr>
        <w:t xml:space="preserve"> </w:t>
      </w:r>
      <w:r w:rsidRPr="001B0539">
        <w:rPr>
          <w:rStyle w:val="fontepargpadro-000004"/>
          <w:rFonts w:ascii="Open Sans" w:hAnsi="Open Sans" w:cs="Open Sans"/>
          <w:bCs/>
          <w:color w:val="000000"/>
        </w:rPr>
        <w:t xml:space="preserve">DANOS MORAIS COLETIVOS. CONTRATAÇÃO DE APRENDIZES. COTA LEGAL. ART. 429 DA CLT. </w:t>
      </w:r>
      <w:r w:rsidRPr="001B0539">
        <w:rPr>
          <w:rStyle w:val="fontepargpadro-000011"/>
          <w:rFonts w:ascii="Open Sans" w:hAnsi="Open Sans" w:cs="Open Sans"/>
          <w:bCs/>
          <w:i/>
        </w:rPr>
        <w:t>QUANTUM</w:t>
      </w:r>
      <w:r w:rsidRPr="001B0539">
        <w:rPr>
          <w:rStyle w:val="fontepargpadro-000004"/>
          <w:rFonts w:ascii="Open Sans" w:hAnsi="Open Sans" w:cs="Open Sans"/>
          <w:bCs/>
          <w:color w:val="000000"/>
        </w:rPr>
        <w:t xml:space="preserve"> INDENIZATÓRIO.</w:t>
      </w:r>
      <w:r w:rsidRPr="001B0539">
        <w:rPr>
          <w:rStyle w:val="fontepargpadro-000004-000011"/>
          <w:rFonts w:ascii="Open Sans" w:hAnsi="Open Sans" w:cs="Open Sans"/>
        </w:rPr>
        <w:t xml:space="preserve"> </w:t>
      </w:r>
      <w:r w:rsidRPr="001B0539">
        <w:rPr>
          <w:rStyle w:val="fontepargpadro-000008"/>
          <w:rFonts w:ascii="Open Sans" w:hAnsi="Open Sans" w:cs="Open Sans"/>
          <w:bCs/>
          <w:color w:val="000000"/>
        </w:rPr>
        <w:t>DEVER PATRONAL DE OBSERVÂNCIA DAS NORMAS DE PROFISSIONALIZAÇÃO DE JOVENS E ADOLESCENTES.</w:t>
      </w:r>
      <w:r w:rsidRPr="001B0539">
        <w:rPr>
          <w:rStyle w:val="fontepargpadro-000004"/>
          <w:rFonts w:ascii="Open Sans" w:hAnsi="Open Sans" w:cs="Open Sans"/>
          <w:bCs/>
          <w:color w:val="000000"/>
        </w:rPr>
        <w:t xml:space="preserve"> </w:t>
      </w:r>
      <w:r w:rsidRPr="001B0539">
        <w:rPr>
          <w:rStyle w:val="fontepargpadro-000012"/>
          <w:rFonts w:ascii="Open Sans" w:hAnsi="Open Sans" w:cs="Open Sans"/>
          <w:color w:val="000000"/>
        </w:rPr>
        <w:t>PROCESSO ESTRUTURAL AMBIENTAL. RELEVÂNCIA DA JURISPRUDÊNCIA COMO ELEMENTO CONSTRUTOR DE MENSAGENS ESTRUTURAIS.</w:t>
      </w:r>
      <w:r w:rsidRPr="001B0539">
        <w:rPr>
          <w:rStyle w:val="fontepargpadro-000008"/>
          <w:rFonts w:ascii="Open Sans" w:hAnsi="Open Sans" w:cs="Open Sans"/>
          <w:bCs/>
          <w:color w:val="000000"/>
        </w:rPr>
        <w:t xml:space="preserve"> </w:t>
      </w:r>
      <w:r w:rsidRPr="001B0539">
        <w:rPr>
          <w:rStyle w:val="fontepargpadro-000012"/>
          <w:rFonts w:ascii="Open Sans" w:hAnsi="Open Sans" w:cs="Open Sans"/>
          <w:color w:val="000000"/>
        </w:rPr>
        <w:t xml:space="preserve">ARQUITETURA DAS ESCOLHAS. </w:t>
      </w:r>
      <w:r w:rsidRPr="001B0539">
        <w:rPr>
          <w:rStyle w:val="fontepargpadro-000013"/>
          <w:rFonts w:ascii="Open Sans" w:hAnsi="Open Sans" w:cs="Open Sans"/>
          <w:bCs/>
          <w:i/>
          <w:iCs/>
          <w:color w:val="000000"/>
        </w:rPr>
        <w:t xml:space="preserve">NUDGES. </w:t>
      </w:r>
      <w:proofErr w:type="gramStart"/>
      <w:r w:rsidRPr="001B0539">
        <w:rPr>
          <w:rStyle w:val="fontepargpadro-000008"/>
          <w:rFonts w:ascii="Open Sans" w:hAnsi="Open Sans" w:cs="Open Sans"/>
          <w:bCs/>
          <w:color w:val="000000"/>
        </w:rPr>
        <w:t>1</w:t>
      </w:r>
      <w:proofErr w:type="gramEnd"/>
      <w:r w:rsidRPr="001B0539">
        <w:rPr>
          <w:rStyle w:val="fontepargpadro-000008"/>
          <w:rFonts w:ascii="Open Sans" w:hAnsi="Open Sans" w:cs="Open Sans"/>
          <w:bCs/>
          <w:color w:val="000000"/>
        </w:rPr>
        <w:t xml:space="preserve">. </w:t>
      </w:r>
      <w:r w:rsidRPr="001B0539">
        <w:rPr>
          <w:rStyle w:val="fontepargpadro-000007"/>
          <w:rFonts w:ascii="Open Sans" w:hAnsi="Open Sans" w:cs="Open Sans"/>
          <w:color w:val="000000"/>
        </w:rPr>
        <w:t xml:space="preserve">Os direitos à profissionalização e à proteção ao mercado de trabalho do (a) jovem aprendiz dão subsídio à política de inclusão de jovens e adolescentes no mercado de trabalho. Isso significa que o acesso à profissionalização é um dos direitos fundamentais de todo jovem e adolescente, conforme prevê o artigo 227 da Constituição Federal. O exercício desse direito deve observar, entre outros, o princípio da proteção integral, por meio do qual a profissionalização encontra limites em qualquer atividade que envolva exploração econômica ou que possa influenciar a saúde e segurança dos jovens. </w:t>
      </w:r>
      <w:r w:rsidRPr="001B0539">
        <w:rPr>
          <w:rStyle w:val="fontepargpadro-000008"/>
          <w:rFonts w:ascii="Open Sans" w:hAnsi="Open Sans" w:cs="Open Sans"/>
          <w:bCs/>
          <w:color w:val="000000"/>
        </w:rPr>
        <w:t xml:space="preserve">2. </w:t>
      </w:r>
      <w:r w:rsidRPr="001B0539">
        <w:rPr>
          <w:rStyle w:val="fontepargpadro-000007"/>
          <w:rFonts w:ascii="Open Sans" w:hAnsi="Open Sans" w:cs="Open Sans"/>
          <w:color w:val="000000"/>
        </w:rPr>
        <w:t xml:space="preserve">Nesse sentido, a leitura sistemática do artigo 32 da Convenção das Nações Unidas Sobre os Direitos da Criança, dos artigos 227, 7º XXXIII da Constituição Federal e 4º e 60 do Estatuto da Criança e do Adolescente, conduz à conclusão de que é proibido o trabalho para adolescente distinto da condição de aprendiz entre os 14 e 16 anos; proibição ao trabalho noturno, perigoso, insalubre (art. 7º, XXXIII da CF) e outros que comprometam o pleno desenvolvimento dessa população em processo de formação física, psíquica e moral (art. 428 da CLT). </w:t>
      </w:r>
      <w:r w:rsidRPr="001B0539">
        <w:rPr>
          <w:rStyle w:val="fontepargpadro-000008"/>
          <w:rFonts w:ascii="Open Sans" w:hAnsi="Open Sans" w:cs="Open Sans"/>
          <w:bCs/>
          <w:color w:val="000000"/>
        </w:rPr>
        <w:t>3.</w:t>
      </w:r>
      <w:r w:rsidRPr="001B0539">
        <w:rPr>
          <w:rStyle w:val="fontepargpadro-000007"/>
          <w:rFonts w:ascii="Open Sans" w:hAnsi="Open Sans" w:cs="Open Sans"/>
          <w:color w:val="000000"/>
        </w:rPr>
        <w:t xml:space="preserve"> É diante desse cenário que a ap</w:t>
      </w:r>
      <w:r w:rsidR="00D054EF" w:rsidRPr="001B0539">
        <w:rPr>
          <w:rStyle w:val="fontepargpadro-000007"/>
          <w:rFonts w:ascii="Open Sans" w:hAnsi="Open Sans" w:cs="Open Sans"/>
          <w:color w:val="000000"/>
        </w:rPr>
        <w:t>rendizagem é compreendida como ‘</w:t>
      </w:r>
      <w:r w:rsidRPr="001B0539">
        <w:rPr>
          <w:rStyle w:val="fontepargpadro-000007"/>
          <w:rFonts w:ascii="Open Sans" w:hAnsi="Open Sans" w:cs="Open Sans"/>
          <w:color w:val="000000"/>
        </w:rPr>
        <w:t>a formação técnico-profissional ministrada segundo as diretrizes e bases da legislação de educação em vigor</w:t>
      </w:r>
      <w:r w:rsidR="00D054EF" w:rsidRPr="001B0539">
        <w:rPr>
          <w:rStyle w:val="fontepargpadro-000007"/>
          <w:rFonts w:ascii="Open Sans" w:hAnsi="Open Sans" w:cs="Open Sans"/>
          <w:color w:val="000000"/>
        </w:rPr>
        <w:t>’</w:t>
      </w:r>
      <w:r w:rsidRPr="001B0539">
        <w:rPr>
          <w:rStyle w:val="fontepargpadro-000007"/>
          <w:rFonts w:ascii="Open Sans" w:hAnsi="Open Sans" w:cs="Open Sans"/>
          <w:color w:val="000000"/>
        </w:rPr>
        <w:t xml:space="preserve"> (art. 62 do ECA). Isso significa que o direito à profissionalização é indissociável da priorização da formação educacional. Não é sem razão, assim, que os programas de </w:t>
      </w:r>
      <w:r w:rsidR="003B65A7" w:rsidRPr="001B0539">
        <w:rPr>
          <w:rStyle w:val="fontepargpadro-000007"/>
          <w:rFonts w:ascii="Open Sans" w:hAnsi="Open Sans" w:cs="Open Sans"/>
          <w:color w:val="000000"/>
        </w:rPr>
        <w:t>aprendizagem não podem impedir ‘</w:t>
      </w:r>
      <w:r w:rsidRPr="001B0539">
        <w:rPr>
          <w:rStyle w:val="fontepargpadro-000007"/>
          <w:rFonts w:ascii="Open Sans" w:hAnsi="Open Sans" w:cs="Open Sans"/>
          <w:color w:val="000000"/>
        </w:rPr>
        <w:t>ou prejudicar o acesso, a</w:t>
      </w:r>
      <w:r w:rsidR="003B65A7" w:rsidRPr="001B0539">
        <w:rPr>
          <w:rStyle w:val="fontepargpadro-000007"/>
          <w:rFonts w:ascii="Open Sans" w:hAnsi="Open Sans" w:cs="Open Sans"/>
          <w:color w:val="000000"/>
        </w:rPr>
        <w:t xml:space="preserve"> frequência e o sucesso escolar’</w:t>
      </w:r>
      <w:r w:rsidRPr="001B0539">
        <w:rPr>
          <w:rStyle w:val="fontepargpadro-000007"/>
          <w:rFonts w:ascii="Open Sans" w:hAnsi="Open Sans" w:cs="Open Sans"/>
          <w:color w:val="000000"/>
        </w:rPr>
        <w:t xml:space="preserve">. </w:t>
      </w:r>
      <w:r w:rsidRPr="001B0539">
        <w:rPr>
          <w:rStyle w:val="fontepargpadro-000014"/>
          <w:rFonts w:ascii="Open Sans" w:hAnsi="Open Sans" w:cs="Open Sans"/>
          <w:color w:val="000000"/>
          <w:shd w:val="clear" w:color="auto" w:fill="FFFFFF"/>
        </w:rPr>
        <w:t>A esse respeito, a Lei de Diretrizes e Bases da Educação Nacional (LDB) possui capítulo específico destinado à educação profissional, em que estabelece diretrizes educacionais orientadoras dos tipos de curso e requisitos para sua consecução no mercado de trabalho (</w:t>
      </w:r>
      <w:proofErr w:type="spellStart"/>
      <w:r w:rsidRPr="001B0539">
        <w:rPr>
          <w:rStyle w:val="fontepargpadro-000014"/>
          <w:rFonts w:ascii="Open Sans" w:hAnsi="Open Sans" w:cs="Open Sans"/>
          <w:color w:val="000000"/>
          <w:shd w:val="clear" w:color="auto" w:fill="FFFFFF"/>
        </w:rPr>
        <w:t>arts</w:t>
      </w:r>
      <w:proofErr w:type="spellEnd"/>
      <w:r w:rsidRPr="001B0539">
        <w:rPr>
          <w:rStyle w:val="fontepargpadro-000014"/>
          <w:rFonts w:ascii="Open Sans" w:hAnsi="Open Sans" w:cs="Open Sans"/>
          <w:color w:val="000000"/>
          <w:shd w:val="clear" w:color="auto" w:fill="FFFFFF"/>
        </w:rPr>
        <w:t xml:space="preserve">. 39 a 42 da LDB). Em sentido similar, a CLT prevê que </w:t>
      </w:r>
      <w:proofErr w:type="gramStart"/>
      <w:r w:rsidRPr="001B0539">
        <w:rPr>
          <w:rStyle w:val="fontepargpadro-000014"/>
          <w:rFonts w:ascii="Open Sans" w:hAnsi="Open Sans" w:cs="Open Sans"/>
          <w:color w:val="000000"/>
          <w:shd w:val="clear" w:color="auto" w:fill="FFFFFF"/>
        </w:rPr>
        <w:t>a formação técnico-profissional destinada</w:t>
      </w:r>
      <w:proofErr w:type="gramEnd"/>
      <w:r w:rsidRPr="001B0539">
        <w:rPr>
          <w:rStyle w:val="fontepargpadro-000014"/>
          <w:rFonts w:ascii="Open Sans" w:hAnsi="Open Sans" w:cs="Open Sans"/>
          <w:color w:val="000000"/>
          <w:shd w:val="clear" w:color="auto" w:fill="FFFFFF"/>
        </w:rPr>
        <w:t xml:space="preserve"> a adolescentes e jovens deve incluir tanto atividades teóricas quanto práticas no ambiente de trabalho e organizadas em tarefas de complexidade progressiva (art. 428, §4º, da CLT). Além do mais, a aprendizagem profissional tem por objetivo </w:t>
      </w:r>
      <w:r w:rsidR="00C13CAC" w:rsidRPr="001B0539">
        <w:rPr>
          <w:rStyle w:val="fontepargpadro-000014"/>
          <w:rFonts w:ascii="Open Sans" w:hAnsi="Open Sans" w:cs="Open Sans"/>
          <w:color w:val="000000"/>
          <w:shd w:val="clear" w:color="auto" w:fill="FFFFFF"/>
        </w:rPr>
        <w:t>‘</w:t>
      </w:r>
      <w:r w:rsidRPr="001B0539">
        <w:rPr>
          <w:rStyle w:val="fontepargpadro-000015"/>
          <w:rFonts w:ascii="Open Sans" w:hAnsi="Open Sans" w:cs="Open Sans"/>
          <w:bCs/>
          <w:color w:val="000000"/>
          <w:shd w:val="clear" w:color="auto" w:fill="FFFFFF"/>
        </w:rPr>
        <w:t xml:space="preserve">a formação cidadã aos </w:t>
      </w:r>
      <w:proofErr w:type="gramStart"/>
      <w:r w:rsidRPr="001B0539">
        <w:rPr>
          <w:rStyle w:val="fontepargpadro-000015"/>
          <w:rFonts w:ascii="Open Sans" w:hAnsi="Open Sans" w:cs="Open Sans"/>
          <w:bCs/>
          <w:color w:val="000000"/>
          <w:shd w:val="clear" w:color="auto" w:fill="FFFFFF"/>
        </w:rPr>
        <w:t>jovens</w:t>
      </w:r>
      <w:r w:rsidR="00C13CAC" w:rsidRPr="001B0539">
        <w:rPr>
          <w:rStyle w:val="fontepargpadro-000014"/>
          <w:rFonts w:ascii="Open Sans" w:hAnsi="Open Sans" w:cs="Open Sans"/>
          <w:color w:val="000000"/>
          <w:shd w:val="clear" w:color="auto" w:fill="FFFFFF"/>
        </w:rPr>
        <w:t>.</w:t>
      </w:r>
      <w:proofErr w:type="gramEnd"/>
      <w:r w:rsidR="00C13CAC" w:rsidRPr="001B0539">
        <w:rPr>
          <w:rStyle w:val="fontepargpadro-000014"/>
          <w:rFonts w:ascii="Open Sans" w:hAnsi="Open Sans" w:cs="Open Sans"/>
          <w:color w:val="000000"/>
          <w:shd w:val="clear" w:color="auto" w:fill="FFFFFF"/>
        </w:rPr>
        <w:t>’</w:t>
      </w:r>
      <w:r w:rsidRPr="001B0539">
        <w:rPr>
          <w:rStyle w:val="fontepargpadro-000014"/>
          <w:rFonts w:ascii="Open Sans" w:hAnsi="Open Sans" w:cs="Open Sans"/>
          <w:color w:val="000000"/>
          <w:shd w:val="clear" w:color="auto" w:fill="FFFFFF"/>
        </w:rPr>
        <w:t xml:space="preserve"> (BRASIL, 2019). </w:t>
      </w:r>
      <w:r w:rsidRPr="001B0539">
        <w:rPr>
          <w:rStyle w:val="fontepargpadro-000008"/>
          <w:rFonts w:ascii="Open Sans" w:hAnsi="Open Sans" w:cs="Open Sans"/>
          <w:bCs/>
          <w:color w:val="000000"/>
        </w:rPr>
        <w:t>4.</w:t>
      </w:r>
      <w:r w:rsidRPr="001B0539">
        <w:rPr>
          <w:rStyle w:val="fontepargpadro-000014"/>
          <w:rFonts w:ascii="Open Sans" w:hAnsi="Open Sans" w:cs="Open Sans"/>
          <w:color w:val="000000"/>
          <w:shd w:val="clear" w:color="auto" w:fill="FFFFFF"/>
        </w:rPr>
        <w:t xml:space="preserve"> À luz dessas normativas, a Consolidação das Leis </w:t>
      </w:r>
      <w:r w:rsidRPr="001B0539">
        <w:rPr>
          <w:rStyle w:val="fontepargpadro-000014"/>
          <w:rFonts w:ascii="Open Sans" w:hAnsi="Open Sans" w:cs="Open Sans"/>
          <w:color w:val="000000"/>
          <w:shd w:val="clear" w:color="auto" w:fill="FFFFFF"/>
        </w:rPr>
        <w:lastRenderedPageBreak/>
        <w:t>do Trabalho (CLT) prevê q</w:t>
      </w:r>
      <w:r w:rsidR="00C13CAC" w:rsidRPr="001B0539">
        <w:rPr>
          <w:rStyle w:val="fontepargpadro-000014"/>
          <w:rFonts w:ascii="Open Sans" w:hAnsi="Open Sans" w:cs="Open Sans"/>
          <w:color w:val="000000"/>
          <w:shd w:val="clear" w:color="auto" w:fill="FFFFFF"/>
        </w:rPr>
        <w:t>ue ‘</w:t>
      </w:r>
      <w:r w:rsidRPr="001B0539">
        <w:rPr>
          <w:rStyle w:val="fontepargpadro-000014"/>
          <w:rFonts w:ascii="Open Sans" w:hAnsi="Open Sans" w:cs="Open Sans"/>
          <w:color w:val="000000"/>
          <w:shd w:val="clear" w:color="auto" w:fill="FFFFFF"/>
        </w:rPr>
        <w:t xml:space="preserve">os estabelecimentos situados em lugar onde a escola estiver a maior distância que </w:t>
      </w:r>
      <w:proofErr w:type="gramStart"/>
      <w:r w:rsidRPr="001B0539">
        <w:rPr>
          <w:rStyle w:val="fontepargpadro-000014"/>
          <w:rFonts w:ascii="Open Sans" w:hAnsi="Open Sans" w:cs="Open Sans"/>
          <w:color w:val="000000"/>
          <w:shd w:val="clear" w:color="auto" w:fill="FFFFFF"/>
        </w:rPr>
        <w:t>2</w:t>
      </w:r>
      <w:proofErr w:type="gramEnd"/>
      <w:r w:rsidRPr="001B0539">
        <w:rPr>
          <w:rStyle w:val="fontepargpadro-000014"/>
          <w:rFonts w:ascii="Open Sans" w:hAnsi="Open Sans" w:cs="Open Sans"/>
          <w:color w:val="000000"/>
          <w:shd w:val="clear" w:color="auto" w:fill="FFFFFF"/>
        </w:rPr>
        <w:t xml:space="preserve"> (dois) quilômetros, e que ocuparem, permanentemente, mais de 30 (trinta) menores analfabetos, de 14 (quatorze) a 18 (dezoito) anos, serão obrigados a manter local apropriado em que lhes seja m</w:t>
      </w:r>
      <w:r w:rsidR="00C13CAC" w:rsidRPr="001B0539">
        <w:rPr>
          <w:rStyle w:val="fontepargpadro-000014"/>
          <w:rFonts w:ascii="Open Sans" w:hAnsi="Open Sans" w:cs="Open Sans"/>
          <w:color w:val="000000"/>
          <w:shd w:val="clear" w:color="auto" w:fill="FFFFFF"/>
        </w:rPr>
        <w:t>inistrada a instrução primária.’</w:t>
      </w:r>
      <w:r w:rsidRPr="001B0539">
        <w:rPr>
          <w:rStyle w:val="fontepargpadro-000014"/>
          <w:rFonts w:ascii="Open Sans" w:hAnsi="Open Sans" w:cs="Open Sans"/>
          <w:color w:val="000000"/>
          <w:shd w:val="clear" w:color="auto" w:fill="FFFFFF"/>
        </w:rPr>
        <w:t xml:space="preserve"> (CLT. Art. 27, parágrafo único). Essa obrigação materializa a repartição de obrigações entre todos os atores sociais pela proteção integral da criança, do adolescente e do jovem, que, conforme visto, deve ser orientada pelo máximo interesse na formação educacional e cidadã. Aliás, a ausência injustificada à escola que implique perda do ano letivo é uma das causas de extinção antecipada do contrato de aprendizagem (art. 433, §2º, da CLT). </w:t>
      </w:r>
      <w:r w:rsidR="00AE44C7" w:rsidRPr="001B0539">
        <w:rPr>
          <w:rStyle w:val="fontepargpadro-000008"/>
          <w:rFonts w:ascii="Open Sans" w:hAnsi="Open Sans" w:cs="Open Sans"/>
          <w:bCs/>
          <w:color w:val="000000"/>
        </w:rPr>
        <w:t xml:space="preserve"> 5. Além da Constituição Federal (</w:t>
      </w:r>
      <w:proofErr w:type="spellStart"/>
      <w:r w:rsidR="00AE44C7" w:rsidRPr="001B0539">
        <w:rPr>
          <w:rStyle w:val="fontepargpadro-000008"/>
          <w:rFonts w:ascii="Open Sans" w:hAnsi="Open Sans" w:cs="Open Sans"/>
          <w:bCs/>
          <w:color w:val="000000"/>
        </w:rPr>
        <w:t>arts</w:t>
      </w:r>
      <w:proofErr w:type="spellEnd"/>
      <w:r w:rsidR="00AE44C7" w:rsidRPr="001B0539">
        <w:rPr>
          <w:rStyle w:val="fontepargpadro-000008"/>
          <w:rFonts w:ascii="Open Sans" w:hAnsi="Open Sans" w:cs="Open Sans"/>
          <w:bCs/>
          <w:color w:val="000000"/>
        </w:rPr>
        <w:t>. 7º, XXXIII e 227 da CF) e</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das normas infraconstitucionais anteriormente abordadas, o</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Brasil é signatário de importantes normativas internacionais que</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ratificam a importância de políticas públicas voltadas à</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aprendizagem. A esse respeito é a Convenção nº 138 da OIT. A</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mencionada convenção dispõe sobre a idade mínima para</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admissão no emprego e contém previsões específicas voltadas à</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aprendizagem, como aquela contida em seu artigo 1º, quando</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indic</w:t>
      </w:r>
      <w:r w:rsidR="004D6558" w:rsidRPr="001B0539">
        <w:rPr>
          <w:rStyle w:val="fontepargpadro-000008"/>
          <w:rFonts w:ascii="Open Sans" w:hAnsi="Open Sans" w:cs="Open Sans"/>
          <w:bCs/>
          <w:color w:val="000000"/>
        </w:rPr>
        <w:t>a que os Estados membros criem ‘</w:t>
      </w:r>
      <w:r w:rsidR="00AE44C7" w:rsidRPr="001B0539">
        <w:rPr>
          <w:rStyle w:val="fontepargpadro-000008"/>
          <w:rFonts w:ascii="Open Sans" w:hAnsi="Open Sans" w:cs="Open Sans"/>
          <w:bCs/>
          <w:color w:val="000000"/>
        </w:rPr>
        <w:t>política nacional que</w:t>
      </w:r>
      <w:r w:rsidR="00760594" w:rsidRPr="001B0539">
        <w:rPr>
          <w:rStyle w:val="fontepargpadro-000008"/>
          <w:rFonts w:ascii="Open Sans" w:hAnsi="Open Sans" w:cs="Open Sans"/>
          <w:bCs/>
          <w:color w:val="000000"/>
        </w:rPr>
        <w:t xml:space="preserve"> </w:t>
      </w:r>
      <w:r w:rsidR="00AE44C7" w:rsidRPr="001B0539">
        <w:rPr>
          <w:rStyle w:val="fontepargpadro-000008"/>
          <w:rFonts w:ascii="Open Sans" w:hAnsi="Open Sans" w:cs="Open Sans"/>
          <w:bCs/>
          <w:color w:val="000000"/>
        </w:rPr>
        <w:t xml:space="preserve">assegure a efetiva abolição do trabalho infantil e eleve </w:t>
      </w:r>
      <w:r w:rsidR="00AE44C7" w:rsidRPr="001B0539">
        <w:rPr>
          <w:rFonts w:ascii="Open Sans" w:eastAsiaTheme="minorHAnsi" w:hAnsi="Open Sans" w:cs="OpenSans-Medium"/>
          <w:szCs w:val="17"/>
          <w:lang w:eastAsia="en-US"/>
        </w:rPr>
        <w:t>progressivamente, a idade mínima de admissão a emprego ou a</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trabalho a um nível adequado ao pleno desenvolvimento físico e</w:t>
      </w:r>
      <w:r w:rsidR="00760594" w:rsidRPr="001B0539">
        <w:rPr>
          <w:rFonts w:ascii="Open Sans" w:eastAsiaTheme="minorHAnsi" w:hAnsi="Open Sans" w:cs="OpenSans-Medium"/>
          <w:szCs w:val="17"/>
          <w:lang w:eastAsia="en-US"/>
        </w:rPr>
        <w:t xml:space="preserve"> </w:t>
      </w:r>
      <w:r w:rsidR="004D6558" w:rsidRPr="001B0539">
        <w:rPr>
          <w:rFonts w:ascii="Open Sans" w:eastAsiaTheme="minorHAnsi" w:hAnsi="Open Sans" w:cs="OpenSans-Medium"/>
          <w:szCs w:val="17"/>
          <w:lang w:eastAsia="en-US"/>
        </w:rPr>
        <w:t xml:space="preserve">mental do </w:t>
      </w:r>
      <w:proofErr w:type="gramStart"/>
      <w:r w:rsidR="004D6558" w:rsidRPr="001B0539">
        <w:rPr>
          <w:rFonts w:ascii="Open Sans" w:eastAsiaTheme="minorHAnsi" w:hAnsi="Open Sans" w:cs="OpenSans-Medium"/>
          <w:szCs w:val="17"/>
          <w:lang w:eastAsia="en-US"/>
        </w:rPr>
        <w:t>adolescente.</w:t>
      </w:r>
      <w:proofErr w:type="gramEnd"/>
      <w:r w:rsidR="004D6558" w:rsidRPr="001B0539">
        <w:rPr>
          <w:rFonts w:ascii="Open Sans" w:eastAsiaTheme="minorHAnsi" w:hAnsi="Open Sans" w:cs="OpenSans-Medium"/>
          <w:szCs w:val="17"/>
          <w:lang w:eastAsia="en-US"/>
        </w:rPr>
        <w:t>’</w:t>
      </w:r>
      <w:r w:rsidR="00AE44C7" w:rsidRPr="001B0539">
        <w:rPr>
          <w:rFonts w:ascii="Open Sans" w:eastAsiaTheme="minorHAnsi" w:hAnsi="Open Sans" w:cs="OpenSans-Medium"/>
          <w:szCs w:val="17"/>
          <w:lang w:eastAsia="en-US"/>
        </w:rPr>
        <w:t>. Ademais, durante a 111ª Convenção</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Internacional do Trabalho (2023), houve a aprovação da</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Recomendaç</w:t>
      </w:r>
      <w:r w:rsidR="004D6558" w:rsidRPr="001B0539">
        <w:rPr>
          <w:rFonts w:ascii="Open Sans" w:eastAsiaTheme="minorHAnsi" w:hAnsi="Open Sans" w:cs="OpenSans-Medium"/>
          <w:szCs w:val="17"/>
          <w:lang w:eastAsia="en-US"/>
        </w:rPr>
        <w:t>ão 208 da OIT, que versa sobre ‘</w:t>
      </w:r>
      <w:r w:rsidR="00AE44C7" w:rsidRPr="001B0539">
        <w:rPr>
          <w:rFonts w:ascii="Open Sans" w:eastAsiaTheme="minorHAnsi" w:hAnsi="Open Sans" w:cs="OpenSans-Medium"/>
          <w:szCs w:val="17"/>
          <w:lang w:eastAsia="en-US"/>
        </w:rPr>
        <w:t>Aprendizagem de</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Qualidade</w:t>
      </w:r>
      <w:r w:rsidR="004D6558" w:rsidRPr="001B0539">
        <w:rPr>
          <w:rFonts w:ascii="Open Sans" w:eastAsiaTheme="minorHAnsi" w:hAnsi="Open Sans" w:cs="OpenSans-Medium"/>
          <w:szCs w:val="17"/>
          <w:lang w:eastAsia="en-US"/>
        </w:rPr>
        <w:t>’</w:t>
      </w:r>
      <w:r w:rsidR="00AE44C7" w:rsidRPr="001B0539">
        <w:rPr>
          <w:rFonts w:ascii="Open Sans" w:eastAsiaTheme="minorHAnsi" w:hAnsi="Open Sans" w:cs="OpenSans-Medium"/>
          <w:szCs w:val="17"/>
          <w:lang w:eastAsia="en-US"/>
        </w:rPr>
        <w:t>. Este novo texto normativo tem como objetivo apoiar</w:t>
      </w:r>
      <w:r w:rsidR="00760594" w:rsidRPr="001B0539">
        <w:rPr>
          <w:rFonts w:ascii="Open Sans" w:eastAsiaTheme="minorHAnsi" w:hAnsi="Open Sans" w:cs="OpenSans-Medium"/>
          <w:szCs w:val="17"/>
          <w:lang w:eastAsia="en-US"/>
        </w:rPr>
        <w:t xml:space="preserve"> </w:t>
      </w:r>
      <w:r w:rsidR="004D6558" w:rsidRPr="001B0539">
        <w:rPr>
          <w:rFonts w:ascii="Open Sans" w:eastAsiaTheme="minorHAnsi" w:hAnsi="Open Sans" w:cs="OpenSans-Medium"/>
          <w:szCs w:val="17"/>
          <w:lang w:eastAsia="en-US"/>
        </w:rPr>
        <w:t>‘</w:t>
      </w:r>
      <w:r w:rsidR="00AE44C7" w:rsidRPr="001B0539">
        <w:rPr>
          <w:rFonts w:ascii="Open Sans" w:eastAsiaTheme="minorHAnsi" w:hAnsi="Open Sans" w:cs="OpenSans-Medium"/>
          <w:szCs w:val="17"/>
          <w:lang w:eastAsia="en-US"/>
        </w:rPr>
        <w:t>oportunidades para pessoas de todas as idades se qualificarem,</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requalificarem e melhorarem continuamente em mercados de</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trabalho em rápida mudança</w:t>
      </w:r>
      <w:r w:rsidR="004D6558" w:rsidRPr="001B0539">
        <w:rPr>
          <w:rFonts w:ascii="Open Sans" w:eastAsiaTheme="minorHAnsi" w:hAnsi="Open Sans" w:cs="OpenSans-Medium"/>
          <w:szCs w:val="17"/>
          <w:lang w:eastAsia="en-US"/>
        </w:rPr>
        <w:t>’</w:t>
      </w:r>
      <w:r w:rsidR="00AE44C7" w:rsidRPr="001B0539">
        <w:rPr>
          <w:rFonts w:ascii="Open Sans" w:eastAsiaTheme="minorHAnsi" w:hAnsi="Open Sans" w:cs="OpenSans-Medium"/>
          <w:szCs w:val="17"/>
          <w:lang w:eastAsia="en-US"/>
        </w:rPr>
        <w:t>. (OIT, 2023</w:t>
      </w:r>
      <w:proofErr w:type="gramStart"/>
      <w:r w:rsidR="00AE44C7" w:rsidRPr="001B0539">
        <w:rPr>
          <w:rFonts w:ascii="Open Sans" w:eastAsiaTheme="minorHAnsi" w:hAnsi="Open Sans" w:cs="OpenSans-Medium"/>
          <w:szCs w:val="17"/>
          <w:lang w:eastAsia="en-US"/>
        </w:rPr>
        <w:t>).</w:t>
      </w:r>
      <w:proofErr w:type="gramEnd"/>
      <w:r w:rsidR="00AE44C7" w:rsidRPr="001B0539">
        <w:rPr>
          <w:rFonts w:ascii="Open Sans" w:eastAsiaTheme="minorHAnsi" w:hAnsi="Open Sans" w:cs="OpenSans-Medium"/>
          <w:szCs w:val="17"/>
          <w:lang w:eastAsia="en-US"/>
        </w:rPr>
        <w:t>m Da mesma forma, a</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Recomendação prevê o compromisso dos Estados Membros de</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adotarem medidas para promover a igualdade, diversidade e</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inclusão social dos aprendizes, com atenção especial às pessoas</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pertencentes a grupos mais vulneráveis.</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Bold"/>
          <w:bCs/>
          <w:szCs w:val="17"/>
          <w:lang w:eastAsia="en-US"/>
        </w:rPr>
        <w:t xml:space="preserve">6. </w:t>
      </w:r>
      <w:r w:rsidR="00AE44C7" w:rsidRPr="001B0539">
        <w:rPr>
          <w:rFonts w:ascii="Open Sans" w:eastAsiaTheme="minorHAnsi" w:hAnsi="Open Sans" w:cs="OpenSans-Medium"/>
          <w:szCs w:val="17"/>
          <w:lang w:eastAsia="en-US"/>
        </w:rPr>
        <w:t>Assim, a contratação de aprendizes figura como importante</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política pública que intersecciona educação e mercado de</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trabalho, além de influenciar no ingresso de adolescentes e</w:t>
      </w:r>
      <w:r w:rsidR="00760594"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jovens em empregos juridicamente protegidos. Ainda, trata-se</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de medida que, em muitos casos, possui efeitos sobre outros</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âmbitos da vida dessa população – mais suscetível a relações</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precárias de trabalho-, auxiliando na superação da pobreza</w:t>
      </w:r>
      <w:r w:rsidR="00B10FB2" w:rsidRPr="001B0539">
        <w:rPr>
          <w:rFonts w:ascii="Open Sans" w:eastAsiaTheme="minorHAnsi" w:hAnsi="Open Sans" w:cs="OpenSans-Medium"/>
          <w:szCs w:val="17"/>
          <w:lang w:eastAsia="en-US"/>
        </w:rPr>
        <w:t xml:space="preserve"> </w:t>
      </w:r>
      <w:proofErr w:type="spellStart"/>
      <w:r w:rsidR="00AE44C7" w:rsidRPr="001B0539">
        <w:rPr>
          <w:rFonts w:ascii="Open Sans" w:eastAsiaTheme="minorHAnsi" w:hAnsi="Open Sans" w:cs="OpenSans-Medium"/>
          <w:szCs w:val="17"/>
          <w:lang w:eastAsia="en-US"/>
        </w:rPr>
        <w:t>intergeracional</w:t>
      </w:r>
      <w:proofErr w:type="spellEnd"/>
      <w:r w:rsidR="00AE44C7" w:rsidRPr="001B0539">
        <w:rPr>
          <w:rFonts w:ascii="Open Sans" w:eastAsiaTheme="minorHAnsi" w:hAnsi="Open Sans" w:cs="OpenSans-Medium"/>
          <w:szCs w:val="17"/>
          <w:lang w:eastAsia="en-US"/>
        </w:rPr>
        <w:t xml:space="preserve"> de suas respectivas famílias. Iniciativas dessa</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natureza minimizam o desemprego entre os jovens, além de</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contribuir para a diversidade no mundo do trabalho, ao</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 xml:space="preserve">concretizar direito que </w:t>
      </w:r>
      <w:proofErr w:type="gramStart"/>
      <w:r w:rsidR="00AE44C7" w:rsidRPr="001B0539">
        <w:rPr>
          <w:rFonts w:ascii="Open Sans" w:eastAsiaTheme="minorHAnsi" w:hAnsi="Open Sans" w:cs="OpenSans-Medium"/>
          <w:szCs w:val="17"/>
          <w:lang w:eastAsia="en-US"/>
        </w:rPr>
        <w:t>alcança adolescentes e jovens</w:t>
      </w:r>
      <w:proofErr w:type="gramEnd"/>
      <w:r w:rsidR="00AE44C7" w:rsidRPr="001B0539">
        <w:rPr>
          <w:rFonts w:ascii="Open Sans" w:eastAsiaTheme="minorHAnsi" w:hAnsi="Open Sans" w:cs="OpenSans-Medium"/>
          <w:szCs w:val="17"/>
          <w:lang w:eastAsia="en-US"/>
        </w:rPr>
        <w:t xml:space="preserve"> de</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diferentes origens e contextos socioculturais, além de funcionar</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como mecanismo de prevenção do trabalho infantil. Dessa</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forma, garantir o direito à profissionalização dos jovens é um</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mecanismo eficaz de concretização da justiça social e o Poder</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Judiciário desempenha importante papel na solução de litígios</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que envolvem a tentativa de não cumprimento das</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determinações concernentes à mencionada política pública.</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Bold"/>
          <w:bCs/>
          <w:szCs w:val="17"/>
          <w:lang w:eastAsia="en-US"/>
        </w:rPr>
        <w:t xml:space="preserve">7. </w:t>
      </w:r>
      <w:r w:rsidR="00AE44C7" w:rsidRPr="001B0539">
        <w:rPr>
          <w:rFonts w:ascii="Open Sans" w:eastAsiaTheme="minorHAnsi" w:hAnsi="Open Sans" w:cs="OpenSans-Medium"/>
          <w:szCs w:val="17"/>
          <w:lang w:eastAsia="en-US"/>
        </w:rPr>
        <w:t xml:space="preserve">Logo, </w:t>
      </w:r>
      <w:r w:rsidR="00AE44C7" w:rsidRPr="001B0539">
        <w:rPr>
          <w:rFonts w:ascii="Open Sans" w:eastAsiaTheme="minorHAnsi" w:hAnsi="Open Sans" w:cs="OpenSans-Bold"/>
          <w:bCs/>
          <w:szCs w:val="17"/>
          <w:lang w:eastAsia="en-US"/>
        </w:rPr>
        <w:t xml:space="preserve">as cotas legais de aprendizagem </w:t>
      </w:r>
      <w:r w:rsidR="00AE44C7" w:rsidRPr="001B0539">
        <w:rPr>
          <w:rFonts w:ascii="Open Sans" w:eastAsiaTheme="minorHAnsi" w:hAnsi="Open Sans" w:cs="OpenSans-Medium"/>
          <w:szCs w:val="17"/>
          <w:lang w:eastAsia="en-US"/>
        </w:rPr>
        <w:t>se inserem no</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 xml:space="preserve">contexto de </w:t>
      </w:r>
      <w:r w:rsidR="00AE44C7" w:rsidRPr="001B0539">
        <w:rPr>
          <w:rFonts w:ascii="Open Sans" w:eastAsiaTheme="minorHAnsi" w:hAnsi="Open Sans" w:cs="OpenSans-Bold"/>
          <w:bCs/>
          <w:szCs w:val="17"/>
          <w:lang w:eastAsia="en-US"/>
        </w:rPr>
        <w:t>demandas estruturais</w:t>
      </w:r>
      <w:r w:rsidR="00AE44C7" w:rsidRPr="001B0539">
        <w:rPr>
          <w:rFonts w:ascii="Open Sans" w:eastAsiaTheme="minorHAnsi" w:hAnsi="Open Sans" w:cs="OpenSans-Medium"/>
          <w:szCs w:val="17"/>
          <w:lang w:eastAsia="en-US"/>
        </w:rPr>
        <w:t>, assim compreendidas como</w:t>
      </w:r>
      <w:r w:rsidR="00B10FB2"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aquelas que envolvem um grave estado de desconformidade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cuja solução exige uma mudança de índole profunda (ZANETI J;</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DIDIER Jr., 2019). Nesse sentido, a criação de uma cultura de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promoção à profissionalização de jovens e adolescentes é tanto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essencial, quanto complexa e, portanto, possui tipicidade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própria dos litígios estruturais. Em função disso, é dever do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Judiciário e da jurisprudência brasileira apontar nas mesmas</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 xml:space="preserve">direções do constituinte </w:t>
      </w:r>
      <w:r w:rsidR="00AE44C7" w:rsidRPr="001B0539">
        <w:rPr>
          <w:rFonts w:ascii="Open Sans" w:eastAsiaTheme="minorHAnsi" w:hAnsi="Open Sans" w:cs="OpenSans-Medium"/>
          <w:szCs w:val="17"/>
          <w:lang w:eastAsia="en-US"/>
        </w:rPr>
        <w:lastRenderedPageBreak/>
        <w:t xml:space="preserve">de 1988, assentando </w:t>
      </w:r>
      <w:r w:rsidR="00AE44C7" w:rsidRPr="001B0539">
        <w:rPr>
          <w:rFonts w:ascii="Open Sans" w:eastAsiaTheme="minorHAnsi" w:hAnsi="Open Sans" w:cs="OpenSans-Bold"/>
          <w:bCs/>
          <w:szCs w:val="17"/>
          <w:lang w:eastAsia="en-US"/>
        </w:rPr>
        <w:t>mensagens</w:t>
      </w:r>
      <w:r w:rsidR="004B4895" w:rsidRPr="001B0539">
        <w:rPr>
          <w:rFonts w:ascii="Open Sans" w:eastAsiaTheme="minorHAnsi" w:hAnsi="Open Sans" w:cs="OpenSans-Bold"/>
          <w:bCs/>
          <w:szCs w:val="17"/>
          <w:lang w:eastAsia="en-US"/>
        </w:rPr>
        <w:t xml:space="preserve"> </w:t>
      </w:r>
      <w:r w:rsidR="00AE44C7" w:rsidRPr="001B0539">
        <w:rPr>
          <w:rFonts w:ascii="Open Sans" w:eastAsiaTheme="minorHAnsi" w:hAnsi="Open Sans" w:cs="OpenSans-Bold"/>
          <w:bCs/>
          <w:szCs w:val="17"/>
          <w:lang w:eastAsia="en-US"/>
        </w:rPr>
        <w:t xml:space="preserve">estruturais </w:t>
      </w:r>
      <w:r w:rsidR="00AE44C7" w:rsidRPr="001B0539">
        <w:rPr>
          <w:rFonts w:ascii="Open Sans" w:eastAsiaTheme="minorHAnsi" w:hAnsi="Open Sans" w:cs="OpenSans-Medium"/>
          <w:szCs w:val="17"/>
          <w:lang w:eastAsia="en-US"/>
        </w:rPr>
        <w:t>de respeito aos valores sociais do trabalho e do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respeito à dignidade humana. A ideia por trás das mensagens</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estruturais está fundada na arquitetura de escolhas, a partir da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qual são oferecidos incentivos ou comandos que conduzam à</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mudança de comportamento empresarial (são os chamados</w:t>
      </w:r>
      <w:r w:rsidR="004B4895" w:rsidRPr="001B0539">
        <w:rPr>
          <w:rFonts w:ascii="Open Sans" w:eastAsiaTheme="minorHAnsi" w:hAnsi="Open Sans" w:cs="OpenSans-Medium"/>
          <w:szCs w:val="17"/>
          <w:lang w:eastAsia="en-US"/>
        </w:rPr>
        <w:t xml:space="preserve"> </w:t>
      </w:r>
      <w:r w:rsidR="00DE07EF" w:rsidRPr="001B0539">
        <w:rPr>
          <w:rFonts w:ascii="Open Sans" w:eastAsiaTheme="minorHAnsi" w:hAnsi="Open Sans" w:cs="OpenSans-Medium"/>
          <w:szCs w:val="17"/>
          <w:lang w:eastAsia="en-US"/>
        </w:rPr>
        <w:t>‘</w:t>
      </w:r>
      <w:proofErr w:type="spellStart"/>
      <w:r w:rsidR="00DE07EF" w:rsidRPr="001B0539">
        <w:rPr>
          <w:rFonts w:ascii="Open Sans" w:eastAsiaTheme="minorHAnsi" w:hAnsi="Open Sans" w:cs="OpenSans-MediumItalic"/>
          <w:i/>
          <w:iCs/>
          <w:szCs w:val="17"/>
          <w:lang w:eastAsia="en-US"/>
        </w:rPr>
        <w:t>nudges</w:t>
      </w:r>
      <w:proofErr w:type="spellEnd"/>
      <w:r w:rsidR="00DE07EF" w:rsidRPr="001B0539">
        <w:rPr>
          <w:rFonts w:ascii="Open Sans" w:eastAsiaTheme="minorHAnsi" w:hAnsi="Open Sans" w:cs="OpenSans-MediumItalic"/>
          <w:i/>
          <w:iCs/>
          <w:szCs w:val="17"/>
          <w:lang w:eastAsia="en-US"/>
        </w:rPr>
        <w:t>’</w:t>
      </w:r>
      <w:r w:rsidR="00AE44C7" w:rsidRPr="001B0539">
        <w:rPr>
          <w:rFonts w:ascii="Open Sans" w:eastAsiaTheme="minorHAnsi" w:hAnsi="Open Sans" w:cs="OpenSans-MediumItalic"/>
          <w:i/>
          <w:iCs/>
          <w:szCs w:val="17"/>
          <w:lang w:eastAsia="en-US"/>
        </w:rPr>
        <w:t xml:space="preserve"> </w:t>
      </w:r>
      <w:r w:rsidR="00AE44C7" w:rsidRPr="001B0539">
        <w:rPr>
          <w:rFonts w:ascii="Open Sans" w:eastAsiaTheme="minorHAnsi" w:hAnsi="Open Sans" w:cs="OpenSans-Medium"/>
          <w:szCs w:val="17"/>
          <w:lang w:eastAsia="en-US"/>
        </w:rPr>
        <w:t>(THALER; SUNSTEIN, 2019)), que deve se curvar à</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disciplina constitucional de proteção ao meio ambiente do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trabalho. A partir disso, a jurisprudência constitucional</w:t>
      </w:r>
      <w:r w:rsidR="001B0539"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trabalhista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deve estar robustecida com decisões que direcionem</w:t>
      </w:r>
      <w:r w:rsidR="004B4895" w:rsidRPr="001B0539">
        <w:rPr>
          <w:rFonts w:ascii="Open Sans" w:eastAsiaTheme="minorHAnsi" w:hAnsi="Open Sans" w:cs="OpenSans-Medium"/>
          <w:szCs w:val="17"/>
          <w:lang w:eastAsia="en-US"/>
        </w:rPr>
        <w:t xml:space="preserve"> </w:t>
      </w:r>
      <w:r w:rsidR="00DE07EF" w:rsidRPr="001B0539">
        <w:rPr>
          <w:rFonts w:ascii="Open Sans" w:eastAsiaTheme="minorHAnsi" w:hAnsi="Open Sans" w:cs="OpenSans-Medium"/>
          <w:szCs w:val="17"/>
          <w:lang w:eastAsia="en-US"/>
        </w:rPr>
        <w:t>‘</w:t>
      </w:r>
      <w:r w:rsidR="00AE44C7" w:rsidRPr="001B0539">
        <w:rPr>
          <w:rFonts w:ascii="Open Sans" w:eastAsiaTheme="minorHAnsi" w:hAnsi="Open Sans" w:cs="OpenSans-Medium"/>
          <w:szCs w:val="17"/>
          <w:lang w:eastAsia="en-US"/>
        </w:rPr>
        <w:t>mudanças de culturas, comportamentos, pensamentos etc., de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modo que, em longo prazo, possa se ter um ganho significativo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 xml:space="preserve">em </w:t>
      </w:r>
      <w:r w:rsidR="00AE44C7" w:rsidRPr="001B0539">
        <w:rPr>
          <w:rFonts w:ascii="Open Sans" w:eastAsiaTheme="minorHAnsi" w:hAnsi="Open Sans" w:cs="OpenSans-Bold"/>
          <w:bCs/>
          <w:szCs w:val="17"/>
          <w:lang w:eastAsia="en-US"/>
        </w:rPr>
        <w:t>algum objetivo específico</w:t>
      </w:r>
      <w:r w:rsidR="00DE07EF" w:rsidRPr="001B0539">
        <w:rPr>
          <w:rFonts w:ascii="Open Sans" w:eastAsiaTheme="minorHAnsi" w:hAnsi="Open Sans" w:cs="OpenSans-Medium"/>
          <w:szCs w:val="17"/>
          <w:lang w:eastAsia="en-US"/>
        </w:rPr>
        <w:t>’</w:t>
      </w:r>
      <w:r w:rsidR="00AE44C7" w:rsidRPr="001B0539">
        <w:rPr>
          <w:rFonts w:ascii="Open Sans" w:eastAsiaTheme="minorHAnsi" w:hAnsi="Open Sans" w:cs="OpenSans-Medium"/>
          <w:szCs w:val="17"/>
          <w:lang w:eastAsia="en-US"/>
        </w:rPr>
        <w:t xml:space="preserve"> (BENEVIDES; ALMEIDA;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MARANHÃO, 2020), qual seja, o cumprimento da cota de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aprendizagem.</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Bold"/>
          <w:bCs/>
          <w:szCs w:val="17"/>
          <w:lang w:eastAsia="en-US"/>
        </w:rPr>
        <w:t xml:space="preserve">8. </w:t>
      </w:r>
      <w:r w:rsidR="00AE44C7" w:rsidRPr="001B0539">
        <w:rPr>
          <w:rFonts w:ascii="Open Sans" w:eastAsiaTheme="minorHAnsi" w:hAnsi="Open Sans" w:cs="OpenSans-Medium"/>
          <w:szCs w:val="17"/>
          <w:lang w:eastAsia="en-US"/>
        </w:rPr>
        <w:t xml:space="preserve">Dessa forma, </w:t>
      </w:r>
      <w:r w:rsidR="00AE44C7" w:rsidRPr="001B0539">
        <w:rPr>
          <w:rFonts w:ascii="Open Sans" w:eastAsiaTheme="minorHAnsi" w:hAnsi="Open Sans" w:cs="OpenSans-Bold"/>
          <w:bCs/>
          <w:szCs w:val="17"/>
          <w:lang w:eastAsia="en-US"/>
        </w:rPr>
        <w:t>comandos judiciais sobre cumprimento da</w:t>
      </w:r>
      <w:r w:rsidR="004B4895" w:rsidRPr="001B0539">
        <w:rPr>
          <w:rFonts w:ascii="Open Sans" w:eastAsiaTheme="minorHAnsi" w:hAnsi="Open Sans" w:cs="OpenSans-Bold"/>
          <w:bCs/>
          <w:szCs w:val="17"/>
          <w:lang w:eastAsia="en-US"/>
        </w:rPr>
        <w:t xml:space="preserve"> </w:t>
      </w:r>
      <w:r w:rsidR="00AE44C7" w:rsidRPr="001B0539">
        <w:rPr>
          <w:rFonts w:ascii="Open Sans" w:eastAsiaTheme="minorHAnsi" w:hAnsi="Open Sans" w:cs="OpenSans-Bold"/>
          <w:bCs/>
          <w:szCs w:val="17"/>
          <w:lang w:eastAsia="en-US"/>
        </w:rPr>
        <w:t xml:space="preserve">cota de aprendizagem devem funcionar como </w:t>
      </w:r>
      <w:proofErr w:type="spellStart"/>
      <w:r w:rsidR="00AE44C7" w:rsidRPr="001B0539">
        <w:rPr>
          <w:rFonts w:ascii="Open Sans" w:eastAsiaTheme="minorHAnsi" w:hAnsi="Open Sans" w:cs="OpenSans-BoldItalic"/>
          <w:bCs/>
          <w:i/>
          <w:iCs/>
          <w:szCs w:val="17"/>
          <w:lang w:eastAsia="en-US"/>
        </w:rPr>
        <w:t>nudges</w:t>
      </w:r>
      <w:proofErr w:type="spellEnd"/>
      <w:r w:rsidR="00AE44C7" w:rsidRPr="001B0539">
        <w:rPr>
          <w:rFonts w:ascii="Open Sans" w:eastAsiaTheme="minorHAnsi" w:hAnsi="Open Sans" w:cs="OpenSans-Medium"/>
          <w:szCs w:val="17"/>
          <w:lang w:eastAsia="en-US"/>
        </w:rPr>
        <w:t>, ao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reafirmarem mensagens estruturais, quanto à inafastabilidade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da promoção do trabalho decente para esse público. Ainda,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essas mensagens estruturais devem ser observadas pelas</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demais instâncias trabalhistas e agentes sociais, tendo em vista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a integridade do sistema judicial brasileiro, que é orientado pela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sistemática de uniformização de jurisprudência no âmbito dos</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tribunais superiores (</w:t>
      </w:r>
      <w:proofErr w:type="spellStart"/>
      <w:r w:rsidR="00AE44C7" w:rsidRPr="001B0539">
        <w:rPr>
          <w:rFonts w:ascii="Open Sans" w:eastAsiaTheme="minorHAnsi" w:hAnsi="Open Sans" w:cs="OpenSans-Medium"/>
          <w:szCs w:val="17"/>
          <w:lang w:eastAsia="en-US"/>
        </w:rPr>
        <w:t>arts</w:t>
      </w:r>
      <w:proofErr w:type="spellEnd"/>
      <w:r w:rsidR="00AE44C7" w:rsidRPr="001B0539">
        <w:rPr>
          <w:rFonts w:ascii="Open Sans" w:eastAsiaTheme="minorHAnsi" w:hAnsi="Open Sans" w:cs="OpenSans-Medium"/>
          <w:szCs w:val="17"/>
          <w:lang w:eastAsia="en-US"/>
        </w:rPr>
        <w:t>. 926 a 928 do CPC). Portanto, na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hipótese, a mensagem estrutural é complexa, mas objetiva: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Bold"/>
          <w:bCs/>
          <w:szCs w:val="17"/>
          <w:lang w:eastAsia="en-US"/>
        </w:rPr>
        <w:t>tendo em vista o escopo que alicerça o direito à</w:t>
      </w:r>
      <w:r w:rsidR="004B4895" w:rsidRPr="001B0539">
        <w:rPr>
          <w:rFonts w:ascii="Open Sans" w:eastAsiaTheme="minorHAnsi" w:hAnsi="Open Sans" w:cs="OpenSans-Bold"/>
          <w:bCs/>
          <w:szCs w:val="17"/>
          <w:lang w:eastAsia="en-US"/>
        </w:rPr>
        <w:t xml:space="preserve"> </w:t>
      </w:r>
      <w:r w:rsidR="00AE44C7" w:rsidRPr="001B0539">
        <w:rPr>
          <w:rFonts w:ascii="Open Sans" w:eastAsiaTheme="minorHAnsi" w:hAnsi="Open Sans" w:cs="OpenSans-Bold"/>
          <w:bCs/>
          <w:szCs w:val="17"/>
          <w:lang w:eastAsia="en-US"/>
        </w:rPr>
        <w:t>profissionalização dos jovens e adolescentes não há dúvidas</w:t>
      </w:r>
      <w:r w:rsidR="004B4895" w:rsidRPr="001B0539">
        <w:rPr>
          <w:rFonts w:ascii="Open Sans" w:eastAsiaTheme="minorHAnsi" w:hAnsi="Open Sans" w:cs="OpenSans-Bold"/>
          <w:bCs/>
          <w:szCs w:val="17"/>
          <w:lang w:eastAsia="en-US"/>
        </w:rPr>
        <w:t xml:space="preserve"> </w:t>
      </w:r>
      <w:r w:rsidR="00AE44C7" w:rsidRPr="001B0539">
        <w:rPr>
          <w:rFonts w:ascii="Open Sans" w:eastAsiaTheme="minorHAnsi" w:hAnsi="Open Sans" w:cs="OpenSans-Bold"/>
          <w:bCs/>
          <w:szCs w:val="17"/>
          <w:lang w:eastAsia="en-US"/>
        </w:rPr>
        <w:t>sobre o caráter indisponível e obrigatório da observância da</w:t>
      </w:r>
      <w:r w:rsidR="004B4895" w:rsidRPr="001B0539">
        <w:rPr>
          <w:rFonts w:ascii="Open Sans" w:eastAsiaTheme="minorHAnsi" w:hAnsi="Open Sans" w:cs="OpenSans-Bold"/>
          <w:bCs/>
          <w:szCs w:val="17"/>
          <w:lang w:eastAsia="en-US"/>
        </w:rPr>
        <w:t xml:space="preserve"> </w:t>
      </w:r>
      <w:r w:rsidR="00AE44C7" w:rsidRPr="001B0539">
        <w:rPr>
          <w:rFonts w:ascii="Open Sans" w:eastAsiaTheme="minorHAnsi" w:hAnsi="Open Sans" w:cs="OpenSans-Bold"/>
          <w:bCs/>
          <w:szCs w:val="17"/>
          <w:lang w:eastAsia="en-US"/>
        </w:rPr>
        <w:t>cota legal de aprendizagem e dos demais aspectos a ela</w:t>
      </w:r>
      <w:r w:rsidR="004B4895" w:rsidRPr="001B0539">
        <w:rPr>
          <w:rFonts w:ascii="Open Sans" w:eastAsiaTheme="minorHAnsi" w:hAnsi="Open Sans" w:cs="OpenSans-Bold"/>
          <w:bCs/>
          <w:szCs w:val="17"/>
          <w:lang w:eastAsia="en-US"/>
        </w:rPr>
        <w:t xml:space="preserve"> </w:t>
      </w:r>
      <w:r w:rsidR="00AE44C7" w:rsidRPr="001B0539">
        <w:rPr>
          <w:rFonts w:ascii="Open Sans" w:eastAsiaTheme="minorHAnsi" w:hAnsi="Open Sans" w:cs="OpenSans-Bold"/>
          <w:bCs/>
          <w:szCs w:val="17"/>
          <w:lang w:eastAsia="en-US"/>
        </w:rPr>
        <w:t xml:space="preserve">conectados. </w:t>
      </w:r>
      <w:r w:rsidR="00AE44C7" w:rsidRPr="001B0539">
        <w:rPr>
          <w:rFonts w:ascii="Open Sans" w:eastAsiaTheme="minorHAnsi" w:hAnsi="Open Sans" w:cs="OpenSans-Medium"/>
          <w:szCs w:val="17"/>
          <w:lang w:eastAsia="en-US"/>
        </w:rPr>
        <w:t>Do contrário, deverão ser aplicadas medidas que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induzam à observância das regras atinentes à matéria, como é 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caso da indenização por dano moral, especialmente na acepção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de sua função pedagógica.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Bold"/>
          <w:bCs/>
          <w:szCs w:val="17"/>
          <w:lang w:eastAsia="en-US"/>
        </w:rPr>
        <w:t xml:space="preserve">9. </w:t>
      </w:r>
      <w:r w:rsidR="00AE44C7" w:rsidRPr="001B0539">
        <w:rPr>
          <w:rFonts w:ascii="Open Sans" w:eastAsiaTheme="minorHAnsi" w:hAnsi="Open Sans" w:cs="OpenSans-Medium"/>
          <w:szCs w:val="17"/>
          <w:lang w:eastAsia="en-US"/>
        </w:rPr>
        <w:t xml:space="preserve">No caso dos autos, a Corte Regional, ao </w:t>
      </w:r>
      <w:proofErr w:type="spellStart"/>
      <w:r w:rsidR="00AE44C7" w:rsidRPr="001B0539">
        <w:rPr>
          <w:rFonts w:ascii="Open Sans" w:eastAsiaTheme="minorHAnsi" w:hAnsi="Open Sans" w:cs="OpenSans-Medium"/>
          <w:szCs w:val="17"/>
          <w:lang w:eastAsia="en-US"/>
        </w:rPr>
        <w:t>rearbitrar</w:t>
      </w:r>
      <w:proofErr w:type="spellEnd"/>
      <w:r w:rsidR="00AE44C7" w:rsidRPr="001B0539">
        <w:rPr>
          <w:rFonts w:ascii="Open Sans" w:eastAsiaTheme="minorHAnsi" w:hAnsi="Open Sans" w:cs="OpenSans-Medium"/>
          <w:szCs w:val="17"/>
          <w:lang w:eastAsia="en-US"/>
        </w:rPr>
        <w:t xml:space="preserve"> o valor da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 xml:space="preserve">indenização por dano moral coletivo em </w:t>
      </w:r>
      <w:proofErr w:type="gramStart"/>
      <w:r w:rsidR="00AE44C7" w:rsidRPr="001B0539">
        <w:rPr>
          <w:rFonts w:ascii="Open Sans" w:eastAsiaTheme="minorHAnsi" w:hAnsi="Open Sans" w:cs="OpenSans-Medium"/>
          <w:szCs w:val="17"/>
          <w:lang w:eastAsia="en-US"/>
        </w:rPr>
        <w:t>R$ 200.000,00</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(duzentos mil reais), diante da não observância</w:t>
      </w:r>
      <w:proofErr w:type="gramEnd"/>
      <w:r w:rsidR="00AE44C7" w:rsidRPr="001B0539">
        <w:rPr>
          <w:rFonts w:ascii="Open Sans" w:eastAsiaTheme="minorHAnsi" w:hAnsi="Open Sans" w:cs="OpenSans-Medium"/>
          <w:szCs w:val="17"/>
          <w:lang w:eastAsia="en-US"/>
        </w:rPr>
        <w:t xml:space="preserve"> da cota de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aprendizagem, observou os princípios do arbitramento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equitativo, da proporcionalidade e da razoabilidade, insertos no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art. 5º, V e X, da CF/1988, bem como a teoria do valor do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desestímulo (punir, compensar e prevenir), levando em conta a</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extensão do dano, a potencialidade e a gravidade da lesão (art.</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944 do CCB). Nestes termos, a decisão do Tribunal Regional está</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em consonância com o entendimento desta Corte uma vez que</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não se trata de valor estratosférico ou excessivamente módico,</w:t>
      </w:r>
      <w:r w:rsidR="004B4895" w:rsidRPr="001B0539">
        <w:rPr>
          <w:rFonts w:ascii="Open Sans" w:eastAsiaTheme="minorHAnsi" w:hAnsi="Open Sans" w:cs="OpenSans-Medium"/>
          <w:szCs w:val="17"/>
          <w:lang w:eastAsia="en-US"/>
        </w:rPr>
        <w:t xml:space="preserve"> </w:t>
      </w:r>
      <w:r w:rsidR="00AE44C7" w:rsidRPr="001B0539">
        <w:rPr>
          <w:rFonts w:ascii="Open Sans" w:eastAsiaTheme="minorHAnsi" w:hAnsi="Open Sans" w:cs="OpenSans-Medium"/>
          <w:szCs w:val="17"/>
          <w:lang w:eastAsia="en-US"/>
        </w:rPr>
        <w:t>a ponto de legitimar a intervenção desta Corte. Incidência do art. 896, § 7º, da CLT e da Súmula 333 do TST.</w:t>
      </w:r>
      <w:r w:rsidR="004B4895" w:rsidRPr="001B0539">
        <w:rPr>
          <w:rFonts w:ascii="Open Sans" w:eastAsiaTheme="minorHAnsi" w:hAnsi="Open Sans" w:cs="OpenSans-Medium"/>
          <w:szCs w:val="17"/>
          <w:lang w:eastAsia="en-US"/>
        </w:rPr>
        <w:t xml:space="preserve"> </w:t>
      </w:r>
      <w:proofErr w:type="gramStart"/>
      <w:r w:rsidR="00AE44C7" w:rsidRPr="001B0539">
        <w:rPr>
          <w:rFonts w:ascii="Open Sans" w:eastAsiaTheme="minorHAnsi" w:hAnsi="Open Sans" w:cs="OpenSans-Bold"/>
          <w:bCs/>
          <w:szCs w:val="17"/>
          <w:lang w:eastAsia="en-US"/>
        </w:rPr>
        <w:t>Agravo de instrumento a que se nega provimento.</w:t>
      </w:r>
      <w:r w:rsidR="007A3ACA" w:rsidRPr="001B0539">
        <w:rPr>
          <w:rStyle w:val="fontepargpadro-000004"/>
          <w:rFonts w:ascii="Open Sans" w:hAnsi="Open Sans" w:cs="Open Sans"/>
          <w:bCs/>
          <w:color w:val="000000"/>
        </w:rPr>
        <w:t>”</w:t>
      </w:r>
      <w:proofErr w:type="gramEnd"/>
      <w:r w:rsidRPr="001B0539">
        <w:rPr>
          <w:rFonts w:ascii="Open Sans" w:hAnsi="Open Sans" w:cs="Open Sans"/>
        </w:rPr>
        <w:t xml:space="preserve"> (</w:t>
      </w:r>
      <w:hyperlink r:id="rId17" w:anchor="78f25c0" w:history="1">
        <w:r w:rsidRPr="001B0539">
          <w:rPr>
            <w:rStyle w:val="Hyperlink"/>
            <w:rFonts w:ascii="Open Sans" w:hAnsi="Open Sans" w:cs="Open Sans"/>
          </w:rPr>
          <w:t>TST-</w:t>
        </w:r>
        <w:r w:rsidRPr="001B0539">
          <w:rPr>
            <w:rStyle w:val="Hyperlink"/>
            <w:rFonts w:ascii="Open Sans" w:hAnsi="Open Sans" w:cs="Open Sans"/>
            <w:bCs/>
          </w:rPr>
          <w:t>AIRR-1001320-14.2023.5.02.0606</w:t>
        </w:r>
        <w:r w:rsidRPr="001B0539">
          <w:rPr>
            <w:rStyle w:val="Hyperlink"/>
            <w:rFonts w:ascii="Open Sans" w:hAnsi="Open Sans" w:cs="Open Sans"/>
          </w:rPr>
          <w:t>, 3ª Turma, rel. Min. Alberto Bastos Balazeiro, julgado em 2/4/2025</w:t>
        </w:r>
      </w:hyperlink>
      <w:r w:rsidRPr="001B0539">
        <w:rPr>
          <w:rStyle w:val="fontepargpadro-000007"/>
          <w:rFonts w:ascii="Open Sans" w:hAnsi="Open Sans" w:cs="Open Sans"/>
          <w:color w:val="000000"/>
        </w:rPr>
        <w:t>)</w:t>
      </w:r>
    </w:p>
    <w:p w:rsidR="00287259" w:rsidRPr="00412D8F" w:rsidRDefault="00287259" w:rsidP="00412D8F">
      <w:pPr>
        <w:suppressAutoHyphens/>
        <w:adjustRightInd w:val="0"/>
        <w:ind w:left="-255" w:right="340"/>
        <w:jc w:val="both"/>
        <w:rPr>
          <w:rFonts w:ascii="Open Sans" w:hAnsi="Open Sans" w:cs="Open Sans"/>
          <w:sz w:val="24"/>
          <w:szCs w:val="24"/>
        </w:rPr>
      </w:pPr>
    </w:p>
    <w:p w:rsidR="00E50607" w:rsidRPr="00412D8F" w:rsidRDefault="00E50607" w:rsidP="00412D8F">
      <w:pPr>
        <w:pStyle w:val="ementa0"/>
        <w:shd w:val="clear" w:color="auto" w:fill="FFFFFF"/>
        <w:suppressAutoHyphens/>
        <w:spacing w:before="0" w:beforeAutospacing="0" w:after="0" w:afterAutospacing="0"/>
        <w:ind w:left="-255" w:right="340"/>
        <w:jc w:val="both"/>
        <w:rPr>
          <w:rFonts w:ascii="Open Sans" w:hAnsi="Open Sans" w:cs="Open Sans"/>
          <w:color w:val="222222"/>
        </w:rPr>
      </w:pPr>
      <w:r w:rsidRPr="00412D8F">
        <w:rPr>
          <w:rFonts w:ascii="Open Sans" w:hAnsi="Open Sans" w:cs="Open Sans"/>
        </w:rPr>
        <w:t>“</w:t>
      </w:r>
      <w:r w:rsidRPr="00412D8F">
        <w:rPr>
          <w:rStyle w:val="fontepargpadro-000004"/>
          <w:rFonts w:ascii="Open Sans" w:hAnsi="Open Sans" w:cs="Open Sans"/>
          <w:bCs/>
          <w:color w:val="000000"/>
          <w:shd w:val="clear" w:color="auto" w:fill="FFFFFF"/>
        </w:rPr>
        <w:t xml:space="preserve">[...] </w:t>
      </w:r>
      <w:r w:rsidRPr="00412D8F">
        <w:rPr>
          <w:rStyle w:val="fontepargpadro-000004"/>
          <w:rFonts w:ascii="Open Sans" w:hAnsi="Open Sans" w:cs="Open Sans"/>
          <w:bCs/>
          <w:color w:val="000000"/>
        </w:rPr>
        <w:t>ADICIONAL DE RISCO PORTUÁRIO. PORTO MISTO. EMPREGADO EM TERMINAL PRIVADO. APLICAÇÃO DA OJ Nº 402 DA SDI-I DO TST. TEMA 222</w:t>
      </w:r>
      <w:r w:rsidRPr="00412D8F">
        <w:rPr>
          <w:rStyle w:val="fontepargpadro-000012"/>
          <w:rFonts w:ascii="Open Sans" w:hAnsi="Open Sans" w:cs="Open Sans"/>
          <w:color w:val="000000"/>
        </w:rPr>
        <w:t xml:space="preserve"> </w:t>
      </w:r>
      <w:r w:rsidRPr="00412D8F">
        <w:rPr>
          <w:rStyle w:val="fontepargpadro-000004"/>
          <w:rFonts w:ascii="Open Sans" w:hAnsi="Open Sans" w:cs="Open Sans"/>
          <w:bCs/>
          <w:color w:val="000000"/>
        </w:rPr>
        <w:t xml:space="preserve">DA TABELA DE REPERCUSSÃO GERAL DO STF. TRANSCENDÊNCIA JURÍDICA RECONHECIDA. </w:t>
      </w:r>
      <w:r w:rsidRPr="00412D8F">
        <w:rPr>
          <w:rStyle w:val="fontepargpadro-000013"/>
          <w:rFonts w:ascii="Open Sans" w:hAnsi="Open Sans" w:cs="Open Sans"/>
        </w:rPr>
        <w:t>Tendo em vista o caráter vinculante das teses jurídicas fixadas pelo STF, deve ser reconhecida a transcendência jurídica da matéria, nos termos</w:t>
      </w:r>
      <w:r w:rsidRPr="00412D8F">
        <w:rPr>
          <w:rStyle w:val="fontepargpadro-000012"/>
          <w:rFonts w:ascii="Open Sans" w:hAnsi="Open Sans" w:cs="Open Sans"/>
          <w:color w:val="000000"/>
        </w:rPr>
        <w:t xml:space="preserve"> </w:t>
      </w:r>
      <w:r w:rsidRPr="00412D8F">
        <w:rPr>
          <w:rStyle w:val="fontepargpadro-000013"/>
          <w:rFonts w:ascii="Open Sans" w:hAnsi="Open Sans" w:cs="Open Sans"/>
        </w:rPr>
        <w:t xml:space="preserve">do art. 896-A, § 1º, IV, da CLT. A jurisprudência deste Tribunal Superior do Trabalho entende ser devido o adicional de risco portuário tão somente ao empregado de porto organizado, excluindo-se os terminais privativos, conforme a diretriz contida na Orientação Jurisprudencial nº 402 da SDI-1 desta Corte Superior. Necessário ressaltar que este Tribunal possui julgados que entenderam pela não aplicação do adicional de risco aos empregados de terminais privativos em uso misto, reconhecendo sua incidência apenas àqueles que trabalham </w:t>
      </w:r>
      <w:r w:rsidRPr="00412D8F">
        <w:rPr>
          <w:rStyle w:val="fontepargpadro-000013"/>
          <w:rFonts w:ascii="Open Sans" w:hAnsi="Open Sans" w:cs="Open Sans"/>
        </w:rPr>
        <w:lastRenderedPageBreak/>
        <w:t xml:space="preserve">em portos organizados. Por outro lado, há julgados no sentido de que, constatada a exposição efetiva à situação de risco, ser devido ao adicional de risco portuário aos empregados dos portos independentemente de serem públicos ou privados e do regime jurídico o qual é vinculado, com fundamento no Princípio da Isonomia e no Tema de Repercussão Geral nº 222 do STF. Todavia, a controvérsia abordada no Tema nº 222 do STF não diz respeito ao pagamento do adicional de risco sob o prisma do local de prestação de serviços, isto é, se em portos organizados ou privados, mas sim </w:t>
      </w:r>
      <w:proofErr w:type="gramStart"/>
      <w:r w:rsidRPr="00412D8F">
        <w:rPr>
          <w:rStyle w:val="fontepargpadro-000013"/>
          <w:rFonts w:ascii="Open Sans" w:hAnsi="Open Sans" w:cs="Open Sans"/>
        </w:rPr>
        <w:t>cinge-se</w:t>
      </w:r>
      <w:proofErr w:type="gramEnd"/>
      <w:r w:rsidRPr="00412D8F">
        <w:rPr>
          <w:rStyle w:val="fontepargpadro-000013"/>
          <w:rFonts w:ascii="Open Sans" w:hAnsi="Open Sans" w:cs="Open Sans"/>
        </w:rPr>
        <w:t xml:space="preserve"> ao tipo de vínculo entre o empregado e o empregador, qual seja, a extensão do adicional disposto no art. 14 da Lei nº 4.860/65 devidos aos empregados com vínculo permanente para os empregados avulsos. Não obstante o julgamento do ARE 1498098 </w:t>
      </w:r>
      <w:proofErr w:type="spellStart"/>
      <w:r w:rsidRPr="00412D8F">
        <w:rPr>
          <w:rStyle w:val="fontepargpadro-000013"/>
          <w:rFonts w:ascii="Open Sans" w:hAnsi="Open Sans" w:cs="Open Sans"/>
        </w:rPr>
        <w:t>AgR</w:t>
      </w:r>
      <w:proofErr w:type="spellEnd"/>
      <w:r w:rsidRPr="00412D8F">
        <w:rPr>
          <w:rStyle w:val="fontepargpadro-000013"/>
          <w:rFonts w:ascii="Open Sans" w:hAnsi="Open Sans" w:cs="Open Sans"/>
        </w:rPr>
        <w:t xml:space="preserve">/ES do STF, </w:t>
      </w:r>
      <w:r w:rsidR="00137E9F">
        <w:rPr>
          <w:rStyle w:val="fontepargpadro-000013"/>
          <w:rFonts w:ascii="Open Sans" w:hAnsi="Open Sans" w:cs="Open Sans"/>
        </w:rPr>
        <w:t xml:space="preserve">verifica-se o entendimento da </w:t>
      </w:r>
      <w:proofErr w:type="spellStart"/>
      <w:r w:rsidR="00137E9F">
        <w:rPr>
          <w:rStyle w:val="fontepargpadro-000013"/>
          <w:rFonts w:ascii="Open Sans" w:hAnsi="Open Sans" w:cs="Open Sans"/>
        </w:rPr>
        <w:t>Sb</w:t>
      </w:r>
      <w:r w:rsidRPr="00412D8F">
        <w:rPr>
          <w:rStyle w:val="fontepargpadro-000013"/>
          <w:rFonts w:ascii="Open Sans" w:hAnsi="Open Sans" w:cs="Open Sans"/>
        </w:rPr>
        <w:t>DI</w:t>
      </w:r>
      <w:proofErr w:type="spellEnd"/>
      <w:r w:rsidRPr="00412D8F">
        <w:rPr>
          <w:rStyle w:val="fontepargpadro-000013"/>
          <w:rFonts w:ascii="Open Sans" w:hAnsi="Open Sans" w:cs="Open Sans"/>
        </w:rPr>
        <w:t xml:space="preserve">-I, do TST, no sentido da não aplicação da tese ficada no Tema n º 222 do STF quanto ao direito ao adicional de risco portuário para os empregados atuantes em portos privativos, devendo ser mantida, portanto, a aplicação da OJ nº 402 do TST, no caso em questão. Portanto, o adicional previsto no art. 14 da Lei nº 4.860/65 não pode ser estendido aos empregados que operam em terminal privativo, contratados em regime celetista, seja exclusivo (movimentação de carga própria) ou misto (movimentação de carga própria e de terceiros). Dessa forma, a decisão do Tribunal Regional que considerou devido o adicional de risco portuário ao empregado que laborava em porto privativo misto contraria a OJ nº 402 da </w:t>
      </w:r>
      <w:proofErr w:type="spellStart"/>
      <w:proofErr w:type="gramStart"/>
      <w:r w:rsidRPr="00412D8F">
        <w:rPr>
          <w:rStyle w:val="fontepargpadro-000013"/>
          <w:rFonts w:ascii="Open Sans" w:hAnsi="Open Sans" w:cs="Open Sans"/>
        </w:rPr>
        <w:t>SbDI</w:t>
      </w:r>
      <w:proofErr w:type="spellEnd"/>
      <w:proofErr w:type="gramEnd"/>
      <w:r w:rsidRPr="00412D8F">
        <w:rPr>
          <w:rStyle w:val="fontepargpadro-000013"/>
          <w:rFonts w:ascii="Open Sans" w:hAnsi="Open Sans" w:cs="Open Sans"/>
        </w:rPr>
        <w:t xml:space="preserve">-I, do TST. </w:t>
      </w:r>
      <w:r w:rsidRPr="00412D8F">
        <w:rPr>
          <w:rStyle w:val="fontepargpadro-000004"/>
          <w:rFonts w:ascii="Open Sans" w:hAnsi="Open Sans" w:cs="Open Sans"/>
          <w:bCs/>
          <w:color w:val="000000"/>
        </w:rPr>
        <w:t>Recurso de Revista conhecido e provido. [</w:t>
      </w:r>
      <w:proofErr w:type="gramStart"/>
      <w:r w:rsidRPr="00412D8F">
        <w:rPr>
          <w:rStyle w:val="fontepargpadro-000004"/>
          <w:rFonts w:ascii="Open Sans" w:hAnsi="Open Sans" w:cs="Open Sans"/>
          <w:bCs/>
          <w:color w:val="000000"/>
        </w:rPr>
        <w:t>...]”</w:t>
      </w:r>
      <w:proofErr w:type="gramEnd"/>
      <w:r w:rsidRPr="00412D8F">
        <w:rPr>
          <w:rStyle w:val="fontepargpadro-000004"/>
          <w:rFonts w:ascii="Open Sans" w:hAnsi="Open Sans" w:cs="Open Sans"/>
          <w:bCs/>
          <w:color w:val="000000"/>
        </w:rPr>
        <w:t xml:space="preserve"> (</w:t>
      </w:r>
      <w:hyperlink r:id="rId18" w:anchor="89ad4c0" w:history="1">
        <w:r w:rsidRPr="00412D8F">
          <w:rPr>
            <w:rStyle w:val="Hyperlink"/>
            <w:rFonts w:ascii="Open Sans" w:hAnsi="Open Sans" w:cs="Open Sans"/>
          </w:rPr>
          <w:t>TST-</w:t>
        </w:r>
        <w:r w:rsidRPr="00412D8F">
          <w:rPr>
            <w:rStyle w:val="Hyperlink"/>
            <w:rFonts w:ascii="Open Sans" w:hAnsi="Open Sans" w:cs="Open Sans"/>
            <w:bCs/>
          </w:rPr>
          <w:t xml:space="preserve">RR-0000142-40.2021.5.17.0011, 6ª Turma, rel. Min. </w:t>
        </w:r>
        <w:r w:rsidRPr="00412D8F">
          <w:rPr>
            <w:rStyle w:val="Hyperlink"/>
            <w:rFonts w:ascii="Open Sans" w:hAnsi="Open Sans" w:cs="Open Sans"/>
          </w:rPr>
          <w:t>Antônio Fabrício de Matos Gonçalves, julgado em 26/3/2025</w:t>
        </w:r>
      </w:hyperlink>
      <w:r w:rsidRPr="00412D8F">
        <w:rPr>
          <w:rFonts w:ascii="Open Sans" w:hAnsi="Open Sans" w:cs="Open Sans"/>
          <w:color w:val="222222"/>
        </w:rPr>
        <w:t>)</w:t>
      </w:r>
    </w:p>
    <w:p w:rsidR="00E50607" w:rsidRPr="00412D8F" w:rsidRDefault="00E50607" w:rsidP="00412D8F">
      <w:pPr>
        <w:pStyle w:val="ementa0"/>
        <w:shd w:val="clear" w:color="auto" w:fill="FFFFFF"/>
        <w:suppressAutoHyphens/>
        <w:spacing w:before="0" w:beforeAutospacing="0" w:after="0" w:afterAutospacing="0"/>
        <w:ind w:left="-255" w:right="340"/>
        <w:jc w:val="both"/>
        <w:rPr>
          <w:rFonts w:ascii="Open Sans" w:hAnsi="Open Sans" w:cs="Open Sans"/>
        </w:rPr>
      </w:pPr>
    </w:p>
    <w:p w:rsidR="000352E2" w:rsidRPr="00412D8F" w:rsidRDefault="00137E9F" w:rsidP="00412D8F">
      <w:pPr>
        <w:pStyle w:val="ementa0"/>
        <w:shd w:val="clear" w:color="auto" w:fill="FFFFFF"/>
        <w:suppressAutoHyphens/>
        <w:spacing w:before="0" w:beforeAutospacing="0" w:after="0" w:afterAutospacing="0"/>
        <w:ind w:left="-255" w:right="340"/>
        <w:jc w:val="both"/>
        <w:rPr>
          <w:rFonts w:ascii="Open Sans" w:hAnsi="Open Sans" w:cs="Open Sans"/>
        </w:rPr>
      </w:pPr>
      <w:r>
        <w:rPr>
          <w:rStyle w:val="fontepargpadro-000004"/>
          <w:rFonts w:ascii="Open Sans" w:hAnsi="Open Sans" w:cs="Open Sans"/>
          <w:bCs/>
          <w:color w:val="000000"/>
        </w:rPr>
        <w:t xml:space="preserve">“[...] </w:t>
      </w:r>
      <w:r w:rsidR="000352E2" w:rsidRPr="00412D8F">
        <w:rPr>
          <w:rStyle w:val="fontepargpadro-000004"/>
          <w:rFonts w:ascii="Open Sans" w:hAnsi="Open Sans" w:cs="Open Sans"/>
          <w:bCs/>
          <w:color w:val="000000"/>
        </w:rPr>
        <w:t>RECURSO DE REVISTA. NEGATIVA DE PRESTAÇÃO JURISDICIONAL. INTEMPESTIVIDADE DO RECURSO ORDINÁRIO. NÃO OCORRÊNCIA.</w:t>
      </w:r>
      <w:r w:rsidR="000352E2" w:rsidRPr="00412D8F">
        <w:rPr>
          <w:rStyle w:val="fontepargpadro-000007"/>
          <w:rFonts w:ascii="Open Sans" w:hAnsi="Open Sans" w:cs="Open Sans"/>
          <w:color w:val="000000"/>
        </w:rPr>
        <w:t xml:space="preserve"> No julgamento dos embargos de declaração aviados pelo reclamante, a Corte Regional consignou não ter sido identificado </w:t>
      </w:r>
      <w:r w:rsidR="000352E2" w:rsidRPr="00412D8F">
        <w:rPr>
          <w:rStyle w:val="fontepargpadro-000012"/>
          <w:rFonts w:ascii="Open Sans" w:hAnsi="Open Sans" w:cs="Open Sans"/>
          <w:iCs/>
          <w:color w:val="000000"/>
        </w:rPr>
        <w:t>‘qualquer hipótese de vicio formal de julgamento’</w:t>
      </w:r>
      <w:r w:rsidR="000352E2" w:rsidRPr="00412D8F">
        <w:rPr>
          <w:rStyle w:val="fontepargpadro-000012"/>
          <w:rFonts w:ascii="Open Sans" w:hAnsi="Open Sans" w:cs="Open Sans"/>
          <w:i/>
          <w:iCs/>
          <w:color w:val="000000"/>
        </w:rPr>
        <w:t xml:space="preserve"> </w:t>
      </w:r>
      <w:r w:rsidR="000352E2" w:rsidRPr="00412D8F">
        <w:rPr>
          <w:rStyle w:val="fontepargpadro-000007"/>
          <w:rFonts w:ascii="Open Sans" w:hAnsi="Open Sans" w:cs="Open Sans"/>
          <w:color w:val="000000"/>
        </w:rPr>
        <w:t>(pág. 3687)</w:t>
      </w:r>
      <w:r w:rsidR="000352E2" w:rsidRPr="00412D8F">
        <w:rPr>
          <w:rStyle w:val="fontepargpadro-000012"/>
          <w:rFonts w:ascii="Open Sans" w:hAnsi="Open Sans" w:cs="Open Sans"/>
          <w:i/>
          <w:iCs/>
          <w:color w:val="000000"/>
        </w:rPr>
        <w:t>.</w:t>
      </w:r>
      <w:r w:rsidR="000352E2" w:rsidRPr="00412D8F">
        <w:rPr>
          <w:rStyle w:val="fontepargpadro-000007"/>
          <w:rFonts w:ascii="Open Sans" w:hAnsi="Open Sans" w:cs="Open Sans"/>
          <w:color w:val="000000"/>
        </w:rPr>
        <w:t xml:space="preserve"> Embora o Tribunal regional tenha sido sucinto em seu fundamento, o fato é que efetivamente não se constata a alegada intempestividade. Ademais, tratando-se de pressuposto recursal, o exame mais detalhado dos aspectos fáticos relevantes por esta Corte não implica ofensa ao disposto nas Súmulas 126 e 297/TST. O recorrente alega que a empresa, ao interpor seu recurso ordinário, não observou a Súmula </w:t>
      </w:r>
      <w:proofErr w:type="gramStart"/>
      <w:r w:rsidR="000352E2" w:rsidRPr="00412D8F">
        <w:rPr>
          <w:rStyle w:val="fontepargpadro-000007"/>
          <w:rFonts w:ascii="Open Sans" w:hAnsi="Open Sans" w:cs="Open Sans"/>
          <w:color w:val="000000"/>
        </w:rPr>
        <w:t>4</w:t>
      </w:r>
      <w:proofErr w:type="gramEnd"/>
      <w:r w:rsidR="000352E2" w:rsidRPr="00412D8F">
        <w:rPr>
          <w:rStyle w:val="fontepargpadro-000007"/>
          <w:rFonts w:ascii="Open Sans" w:hAnsi="Open Sans" w:cs="Open Sans"/>
          <w:color w:val="000000"/>
        </w:rPr>
        <w:t xml:space="preserve"> do Tribunal Regional do Trabalho da 5ª Região, que expressamente dispõe que o recurso deverá ser protocolizado até as 20hs do último dia do prazo recursal, fato que redundaria na intempestividade do recurso. Ocorre que, nos termos do art. 3º, parágrafo único, da Lei nº 11.419/2006 e do art. 24, §1º da IN 30/2007 do TST, </w:t>
      </w:r>
      <w:r w:rsidR="000352E2" w:rsidRPr="00412D8F">
        <w:rPr>
          <w:rStyle w:val="fontepargpadro-000012"/>
          <w:rFonts w:ascii="Open Sans" w:hAnsi="Open Sans" w:cs="Open Sans"/>
          <w:iCs/>
          <w:color w:val="000000"/>
        </w:rPr>
        <w:t>‘</w:t>
      </w:r>
      <w:r w:rsidR="000352E2" w:rsidRPr="00412D8F">
        <w:rPr>
          <w:rStyle w:val="fontepargpadro-000013"/>
          <w:rFonts w:ascii="Open Sans" w:hAnsi="Open Sans" w:cs="Open Sans"/>
          <w:iCs/>
        </w:rPr>
        <w:t xml:space="preserve">Consideram-se realizados os </w:t>
      </w:r>
      <w:r w:rsidR="000352E2" w:rsidRPr="00412D8F">
        <w:rPr>
          <w:rStyle w:val="fontepargpadro-000014"/>
          <w:rFonts w:ascii="Open Sans" w:hAnsi="Open Sans" w:cs="Open Sans"/>
          <w:bCs/>
          <w:iCs/>
        </w:rPr>
        <w:t>atos processuais por meio eletrônico</w:t>
      </w:r>
      <w:r w:rsidR="000352E2" w:rsidRPr="00412D8F">
        <w:rPr>
          <w:rStyle w:val="fontepargpadro-000013"/>
          <w:rFonts w:ascii="Open Sans" w:hAnsi="Open Sans" w:cs="Open Sans"/>
          <w:iCs/>
        </w:rPr>
        <w:t xml:space="preserve"> no dia e hora do seu envio ao sistema do Poder Judiciário, do que deverá ser fornecido protocolo eletrônico.’</w:t>
      </w:r>
      <w:r w:rsidR="000352E2" w:rsidRPr="00412D8F">
        <w:rPr>
          <w:rStyle w:val="fontepargpadro-000016"/>
          <w:rFonts w:ascii="Open Sans" w:hAnsi="Open Sans" w:cs="Open Sans"/>
          <w:color w:val="000000"/>
        </w:rPr>
        <w:t xml:space="preserve"> e ‘</w:t>
      </w:r>
      <w:r w:rsidR="000352E2" w:rsidRPr="00412D8F">
        <w:rPr>
          <w:rStyle w:val="fontepargpadro-000013"/>
          <w:rFonts w:ascii="Open Sans" w:hAnsi="Open Sans" w:cs="Open Sans"/>
          <w:iCs/>
        </w:rPr>
        <w:t xml:space="preserve">Quando a </w:t>
      </w:r>
      <w:r w:rsidR="000352E2" w:rsidRPr="00412D8F">
        <w:rPr>
          <w:rStyle w:val="fontepargpadro-000014"/>
          <w:rFonts w:ascii="Open Sans" w:hAnsi="Open Sans" w:cs="Open Sans"/>
          <w:bCs/>
          <w:iCs/>
        </w:rPr>
        <w:t xml:space="preserve">petição eletrônica for enviada </w:t>
      </w:r>
      <w:r w:rsidR="000352E2" w:rsidRPr="00412D8F">
        <w:rPr>
          <w:rStyle w:val="fontepargpadro-000013"/>
          <w:rFonts w:ascii="Open Sans" w:hAnsi="Open Sans" w:cs="Open Sans"/>
          <w:iCs/>
        </w:rPr>
        <w:t>para atender prazo processual, serão consideradas tempestivas as transmitidas até as 24 (vinte e quatro) horas do seu último dia.</w:t>
      </w:r>
      <w:r w:rsidR="000352E2" w:rsidRPr="00412D8F">
        <w:rPr>
          <w:rStyle w:val="fontepargpadro-000015"/>
          <w:rFonts w:ascii="Open Sans" w:hAnsi="Open Sans" w:cs="Open Sans"/>
          <w:iCs/>
          <w:color w:val="000000"/>
        </w:rPr>
        <w:t xml:space="preserve">’. </w:t>
      </w:r>
      <w:r w:rsidR="000352E2" w:rsidRPr="00412D8F">
        <w:rPr>
          <w:rStyle w:val="fontepargpadro-000007"/>
          <w:rFonts w:ascii="Open Sans" w:hAnsi="Open Sans" w:cs="Open Sans"/>
          <w:color w:val="000000"/>
        </w:rPr>
        <w:t xml:space="preserve">Assim, são tempestivos, para fins de atendimento de prazo processual, os atos processuais que forem efetivados </w:t>
      </w:r>
      <w:r w:rsidR="000352E2" w:rsidRPr="00412D8F">
        <w:rPr>
          <w:rStyle w:val="fontepargpadro-000017"/>
          <w:rFonts w:ascii="Open Sans" w:hAnsi="Open Sans" w:cs="Open Sans"/>
          <w:bCs/>
          <w:color w:val="000000"/>
        </w:rPr>
        <w:t xml:space="preserve">até às 24 horas do último dia do prazo. </w:t>
      </w:r>
      <w:r w:rsidR="000352E2" w:rsidRPr="00412D8F">
        <w:rPr>
          <w:rStyle w:val="fontepargpadro-000007"/>
          <w:rFonts w:ascii="Open Sans" w:hAnsi="Open Sans" w:cs="Open Sans"/>
          <w:color w:val="000000"/>
        </w:rPr>
        <w:t xml:space="preserve">Por outro lado, observa-se que a Súmula 4 do TRT5 foi editada em maio de 2003, portanto, anteriormente à Lei 11.419/2006, publicada em dezembro de 2006. Logo, há que se considerar que a Sumula 4 deixou de ser aplicável aos casos disciplinados pela Lei 11.419/2006. Impõe-se, ainda, ressaltar que a referida Lei não foi dirigida exclusivamente ao Sistema </w:t>
      </w:r>
      <w:proofErr w:type="spellStart"/>
      <w:r w:rsidR="000352E2" w:rsidRPr="00412D8F">
        <w:rPr>
          <w:rStyle w:val="fontepargpadro-000007"/>
          <w:rFonts w:ascii="Open Sans" w:hAnsi="Open Sans" w:cs="Open Sans"/>
          <w:color w:val="000000"/>
        </w:rPr>
        <w:t>PJe</w:t>
      </w:r>
      <w:proofErr w:type="spellEnd"/>
      <w:r w:rsidR="000352E2" w:rsidRPr="00412D8F">
        <w:rPr>
          <w:rStyle w:val="fontepargpadro-000007"/>
          <w:rFonts w:ascii="Open Sans" w:hAnsi="Open Sans" w:cs="Open Sans"/>
          <w:color w:val="000000"/>
        </w:rPr>
        <w:t xml:space="preserve">, </w:t>
      </w:r>
      <w:r w:rsidR="000352E2" w:rsidRPr="00412D8F">
        <w:rPr>
          <w:rStyle w:val="fontepargpadro-000007"/>
          <w:rFonts w:ascii="Open Sans" w:hAnsi="Open Sans" w:cs="Open Sans"/>
          <w:color w:val="000000"/>
        </w:rPr>
        <w:lastRenderedPageBreak/>
        <w:t xml:space="preserve">que implementou o processo eletrônico na Justiça do Trabalho pela </w:t>
      </w:r>
      <w:r w:rsidR="000352E2" w:rsidRPr="00412D8F">
        <w:rPr>
          <w:rStyle w:val="fontepargpadro-000018"/>
          <w:rFonts w:ascii="Open Sans" w:hAnsi="Open Sans" w:cs="Open Sans"/>
          <w:bCs/>
          <w:color w:val="000000"/>
        </w:rPr>
        <w:t>Resolução n. 136/CSJT, de 25 de abril de 2014</w:t>
      </w:r>
      <w:r w:rsidR="000352E2" w:rsidRPr="00412D8F">
        <w:rPr>
          <w:rStyle w:val="fontepargpadro-000019"/>
          <w:rFonts w:ascii="Open Sans" w:hAnsi="Open Sans" w:cs="Open Sans"/>
          <w:color w:val="000000"/>
        </w:rPr>
        <w:t xml:space="preserve">, tendo em vista que anteriormente existiam diferentes sistemas eletrônicos, desenvolvidos e utilizados pelos respectivos Tribunais regionais, mas, ressalte-se, disciplinados pela Lei 11.419/2006 e, utilizados basicamente para o </w:t>
      </w:r>
      <w:proofErr w:type="spellStart"/>
      <w:r w:rsidR="000352E2" w:rsidRPr="00412D8F">
        <w:rPr>
          <w:rStyle w:val="fontepargpadro-000018"/>
          <w:rFonts w:ascii="Open Sans" w:hAnsi="Open Sans" w:cs="Open Sans"/>
          <w:bCs/>
          <w:color w:val="000000"/>
        </w:rPr>
        <w:t>peticionamento</w:t>
      </w:r>
      <w:proofErr w:type="spellEnd"/>
      <w:r w:rsidR="000352E2" w:rsidRPr="00412D8F">
        <w:rPr>
          <w:rStyle w:val="fontepargpadro-000018"/>
          <w:rFonts w:ascii="Open Sans" w:hAnsi="Open Sans" w:cs="Open Sans"/>
          <w:bCs/>
          <w:color w:val="000000"/>
        </w:rPr>
        <w:t xml:space="preserve"> eletrônico</w:t>
      </w:r>
      <w:r w:rsidR="000352E2" w:rsidRPr="00412D8F">
        <w:rPr>
          <w:rStyle w:val="fontepargpadro-000019"/>
          <w:rFonts w:ascii="Open Sans" w:hAnsi="Open Sans" w:cs="Open Sans"/>
          <w:color w:val="000000"/>
        </w:rPr>
        <w:t xml:space="preserve">. Em consulta ao andamento processual junto ao Tribunal regional de origem, verifica-se que os presentes autos tiveram sua </w:t>
      </w:r>
      <w:r w:rsidR="000352E2" w:rsidRPr="00412D8F">
        <w:rPr>
          <w:rStyle w:val="fontepargpadro-000018"/>
          <w:rFonts w:ascii="Open Sans" w:hAnsi="Open Sans" w:cs="Open Sans"/>
          <w:bCs/>
          <w:color w:val="000000"/>
        </w:rPr>
        <w:t>tramitação convertida</w:t>
      </w:r>
      <w:r w:rsidR="000352E2" w:rsidRPr="00412D8F">
        <w:rPr>
          <w:rStyle w:val="fontepargpadro-000019"/>
          <w:rFonts w:ascii="Open Sans" w:hAnsi="Open Sans" w:cs="Open Sans"/>
          <w:color w:val="000000"/>
        </w:rPr>
        <w:t xml:space="preserve"> do meio físico para o meio eletrônico em 5/2/2021. Também em consulta no site oficial do Tribunal Regional do Trabalho da 5ª Região, verifica-se que referido órgão, </w:t>
      </w:r>
      <w:r w:rsidR="000352E2" w:rsidRPr="00412D8F">
        <w:rPr>
          <w:rStyle w:val="fontepargpadro-000018"/>
          <w:rFonts w:ascii="Open Sans" w:hAnsi="Open Sans" w:cs="Open Sans"/>
          <w:bCs/>
          <w:color w:val="000000"/>
        </w:rPr>
        <w:t>anteriormente</w:t>
      </w:r>
      <w:r w:rsidR="000352E2" w:rsidRPr="00412D8F">
        <w:rPr>
          <w:rStyle w:val="fontepargpadro-000019"/>
          <w:rFonts w:ascii="Open Sans" w:hAnsi="Open Sans" w:cs="Open Sans"/>
          <w:color w:val="000000"/>
        </w:rPr>
        <w:t xml:space="preserve"> à implementação do </w:t>
      </w:r>
      <w:proofErr w:type="spellStart"/>
      <w:proofErr w:type="gramStart"/>
      <w:r w:rsidR="000352E2" w:rsidRPr="00412D8F">
        <w:rPr>
          <w:rStyle w:val="fontepargpadro-000019"/>
          <w:rFonts w:ascii="Open Sans" w:hAnsi="Open Sans" w:cs="Open Sans"/>
          <w:color w:val="000000"/>
        </w:rPr>
        <w:t>PJe</w:t>
      </w:r>
      <w:proofErr w:type="spellEnd"/>
      <w:proofErr w:type="gramEnd"/>
      <w:r w:rsidR="000352E2" w:rsidRPr="00412D8F">
        <w:rPr>
          <w:rStyle w:val="fontepargpadro-000019"/>
          <w:rFonts w:ascii="Open Sans" w:hAnsi="Open Sans" w:cs="Open Sans"/>
          <w:color w:val="000000"/>
        </w:rPr>
        <w:t xml:space="preserve">, viabilizava </w:t>
      </w:r>
      <w:r w:rsidR="000352E2" w:rsidRPr="00412D8F">
        <w:rPr>
          <w:rStyle w:val="fontepargpadro-000018"/>
          <w:rFonts w:ascii="Open Sans" w:hAnsi="Open Sans" w:cs="Open Sans"/>
          <w:bCs/>
          <w:color w:val="000000"/>
        </w:rPr>
        <w:t xml:space="preserve">o </w:t>
      </w:r>
      <w:proofErr w:type="spellStart"/>
      <w:r w:rsidR="000352E2" w:rsidRPr="00412D8F">
        <w:rPr>
          <w:rStyle w:val="fontepargpadro-000018"/>
          <w:rFonts w:ascii="Open Sans" w:hAnsi="Open Sans" w:cs="Open Sans"/>
          <w:bCs/>
          <w:color w:val="000000"/>
        </w:rPr>
        <w:t>peticionamento</w:t>
      </w:r>
      <w:proofErr w:type="spellEnd"/>
      <w:r w:rsidR="000352E2" w:rsidRPr="00412D8F">
        <w:rPr>
          <w:rStyle w:val="fontepargpadro-000018"/>
          <w:rFonts w:ascii="Open Sans" w:hAnsi="Open Sans" w:cs="Open Sans"/>
          <w:bCs/>
          <w:color w:val="000000"/>
        </w:rPr>
        <w:t xml:space="preserve"> eletrônico pelo Sistema e-</w:t>
      </w:r>
      <w:proofErr w:type="spellStart"/>
      <w:r w:rsidR="000352E2" w:rsidRPr="00412D8F">
        <w:rPr>
          <w:rStyle w:val="fontepargpadro-000018"/>
          <w:rFonts w:ascii="Open Sans" w:hAnsi="Open Sans" w:cs="Open Sans"/>
          <w:bCs/>
          <w:color w:val="000000"/>
        </w:rPr>
        <w:t>Samp</w:t>
      </w:r>
      <w:proofErr w:type="spellEnd"/>
      <w:r w:rsidR="000352E2" w:rsidRPr="00412D8F">
        <w:rPr>
          <w:rStyle w:val="fontepargpadro-000019"/>
          <w:rFonts w:ascii="Open Sans" w:hAnsi="Open Sans" w:cs="Open Sans"/>
          <w:color w:val="000000"/>
        </w:rPr>
        <w:t xml:space="preserve">. </w:t>
      </w:r>
      <w:r w:rsidR="000352E2" w:rsidRPr="00412D8F">
        <w:rPr>
          <w:rStyle w:val="fontepargpadro-000007"/>
          <w:rFonts w:ascii="Open Sans" w:hAnsi="Open Sans" w:cs="Open Sans"/>
          <w:color w:val="000000"/>
        </w:rPr>
        <w:t xml:space="preserve">Portanto, ainda, que os presentes autos não estivessem tramitando pelo </w:t>
      </w:r>
      <w:proofErr w:type="spellStart"/>
      <w:proofErr w:type="gramStart"/>
      <w:r w:rsidR="000352E2" w:rsidRPr="00412D8F">
        <w:rPr>
          <w:rStyle w:val="fontepargpadro-000007"/>
          <w:rFonts w:ascii="Open Sans" w:hAnsi="Open Sans" w:cs="Open Sans"/>
          <w:color w:val="000000"/>
        </w:rPr>
        <w:t>PJe</w:t>
      </w:r>
      <w:proofErr w:type="spellEnd"/>
      <w:proofErr w:type="gramEnd"/>
      <w:r w:rsidR="000352E2" w:rsidRPr="00412D8F">
        <w:rPr>
          <w:rStyle w:val="fontepargpadro-000007"/>
          <w:rFonts w:ascii="Open Sans" w:hAnsi="Open Sans" w:cs="Open Sans"/>
          <w:color w:val="000000"/>
        </w:rPr>
        <w:t xml:space="preserve">, o fato é que o </w:t>
      </w:r>
      <w:proofErr w:type="spellStart"/>
      <w:r w:rsidR="000352E2" w:rsidRPr="00412D8F">
        <w:rPr>
          <w:rStyle w:val="fontepargpadro-000007"/>
          <w:rFonts w:ascii="Open Sans" w:hAnsi="Open Sans" w:cs="Open Sans"/>
          <w:color w:val="000000"/>
        </w:rPr>
        <w:t>peticionamento</w:t>
      </w:r>
      <w:proofErr w:type="spellEnd"/>
      <w:r w:rsidR="000352E2" w:rsidRPr="00412D8F">
        <w:rPr>
          <w:rStyle w:val="fontepargpadro-000007"/>
          <w:rFonts w:ascii="Open Sans" w:hAnsi="Open Sans" w:cs="Open Sans"/>
          <w:color w:val="000000"/>
        </w:rPr>
        <w:t xml:space="preserve"> era eletrônico, sob a disciplina da Lei 11.419/2006. Tanto é assim, que no próprio protocolo do recurso, constante da pag. 3480, consta expressamente ‘</w:t>
      </w:r>
      <w:r w:rsidR="000352E2" w:rsidRPr="00412D8F">
        <w:rPr>
          <w:rStyle w:val="fontepargpadro-000012"/>
          <w:rFonts w:ascii="Open Sans" w:hAnsi="Open Sans" w:cs="Open Sans"/>
          <w:iCs/>
          <w:color w:val="000000"/>
        </w:rPr>
        <w:t>Assinado Eletronicamente/Digitalmente po</w:t>
      </w:r>
      <w:r>
        <w:rPr>
          <w:rStyle w:val="fontepargpadro-000012"/>
          <w:rFonts w:ascii="Open Sans" w:hAnsi="Open Sans" w:cs="Open Sans"/>
          <w:iCs/>
          <w:color w:val="000000"/>
        </w:rPr>
        <w:t>r (...)</w:t>
      </w:r>
      <w:r w:rsidR="000352E2" w:rsidRPr="00412D8F">
        <w:rPr>
          <w:rStyle w:val="fontepargpadro-000012"/>
          <w:rFonts w:ascii="Open Sans" w:hAnsi="Open Sans" w:cs="Open Sans"/>
          <w:iCs/>
          <w:color w:val="000000"/>
        </w:rPr>
        <w:t xml:space="preserve"> em 16/02/2017 </w:t>
      </w:r>
      <w:proofErr w:type="gramStart"/>
      <w:r w:rsidR="000352E2" w:rsidRPr="00412D8F">
        <w:rPr>
          <w:rStyle w:val="fontepargpadro-000012"/>
          <w:rFonts w:ascii="Open Sans" w:hAnsi="Open Sans" w:cs="Open Sans"/>
          <w:iCs/>
          <w:color w:val="000000"/>
        </w:rPr>
        <w:t>20:14</w:t>
      </w:r>
      <w:proofErr w:type="gramEnd"/>
      <w:r w:rsidR="000352E2" w:rsidRPr="00412D8F">
        <w:rPr>
          <w:rStyle w:val="fontepargpadro-000012"/>
          <w:rFonts w:ascii="Open Sans" w:hAnsi="Open Sans" w:cs="Open Sans"/>
          <w:iCs/>
          <w:color w:val="000000"/>
        </w:rPr>
        <w:t>:08. (</w:t>
      </w:r>
      <w:r w:rsidR="000352E2" w:rsidRPr="00412D8F">
        <w:rPr>
          <w:rStyle w:val="fontepargpadro-000020"/>
          <w:rFonts w:ascii="Open Sans" w:hAnsi="Open Sans" w:cs="Open Sans"/>
          <w:bCs/>
          <w:iCs/>
          <w:color w:val="000000"/>
        </w:rPr>
        <w:t>Lei 11.419-2006</w:t>
      </w:r>
      <w:r w:rsidR="000352E2" w:rsidRPr="00412D8F">
        <w:rPr>
          <w:rStyle w:val="fontepargpadro-000012"/>
          <w:rFonts w:ascii="Open Sans" w:hAnsi="Open Sans" w:cs="Open Sans"/>
          <w:iCs/>
          <w:color w:val="000000"/>
        </w:rPr>
        <w:t>).’</w:t>
      </w:r>
      <w:r w:rsidR="000352E2" w:rsidRPr="00412D8F">
        <w:rPr>
          <w:rStyle w:val="fontepargpadro-000007"/>
          <w:rFonts w:ascii="Open Sans" w:hAnsi="Open Sans" w:cs="Open Sans"/>
          <w:color w:val="000000"/>
        </w:rPr>
        <w:t xml:space="preserve"> Logo, considerando-se que o recurso ordinário da ré foi protocolizado no </w:t>
      </w:r>
      <w:r w:rsidR="000352E2" w:rsidRPr="00412D8F">
        <w:rPr>
          <w:rStyle w:val="fontepargpadro-000017"/>
          <w:rFonts w:ascii="Open Sans" w:hAnsi="Open Sans" w:cs="Open Sans"/>
          <w:bCs/>
          <w:color w:val="000000"/>
        </w:rPr>
        <w:t>último dia do prazo às 20h:14min:08seg</w:t>
      </w:r>
      <w:r w:rsidR="000352E2" w:rsidRPr="00412D8F">
        <w:rPr>
          <w:rStyle w:val="fontepargpadro-000007"/>
          <w:rFonts w:ascii="Open Sans" w:hAnsi="Open Sans" w:cs="Open Sans"/>
          <w:color w:val="000000"/>
        </w:rPr>
        <w:t xml:space="preserve">, conforme informado pelo reclamante, não há que se falar em intempestividade do apelo, resultando sem utilidade o reconhecimento de negativa de prestação jurisdicional, bem como a determinação de retorno dos autos ao Tribunal Regional. </w:t>
      </w:r>
      <w:r w:rsidR="000352E2" w:rsidRPr="00412D8F">
        <w:rPr>
          <w:rStyle w:val="fontepargpadro-000004"/>
          <w:rFonts w:ascii="Open Sans" w:hAnsi="Open Sans" w:cs="Open Sans"/>
          <w:bCs/>
          <w:color w:val="000000"/>
        </w:rPr>
        <w:t>Recurso de revista não conhecido.” (</w:t>
      </w:r>
      <w:hyperlink r:id="rId19" w:history="1">
        <w:r w:rsidR="000352E2" w:rsidRPr="00412D8F">
          <w:rPr>
            <w:rStyle w:val="Hyperlink"/>
            <w:rFonts w:ascii="Open Sans" w:eastAsiaTheme="majorEastAsia" w:hAnsi="Open Sans" w:cs="Open Sans"/>
          </w:rPr>
          <w:t>TST-ARR-1371-84.2011.5.05.0022, 7ª Turma, rel. Min. Alexandre de Souza Agra Belmonte, julgado em 26/3/2025</w:t>
        </w:r>
      </w:hyperlink>
      <w:r w:rsidR="000352E2" w:rsidRPr="00412D8F">
        <w:rPr>
          <w:rStyle w:val="fontepargpadro-000007"/>
          <w:rFonts w:ascii="Open Sans" w:hAnsi="Open Sans" w:cs="Open Sans"/>
          <w:color w:val="000000"/>
        </w:rPr>
        <w:t>)</w:t>
      </w:r>
    </w:p>
    <w:p w:rsidR="00AD5290" w:rsidRPr="00412D8F" w:rsidRDefault="00AD5290" w:rsidP="00AD5290">
      <w:pPr>
        <w:pStyle w:val="ementa0"/>
        <w:suppressAutoHyphens/>
        <w:spacing w:before="0" w:beforeAutospacing="0" w:after="0" w:afterAutospacing="0"/>
        <w:ind w:left="-255" w:right="340"/>
        <w:jc w:val="both"/>
        <w:rPr>
          <w:rFonts w:ascii="Open Sans" w:hAnsi="Open Sans" w:cs="Open Sans"/>
        </w:rPr>
      </w:pPr>
    </w:p>
    <w:p w:rsidR="00835DE4" w:rsidRPr="00412D8F" w:rsidRDefault="00835DE4" w:rsidP="00412D8F">
      <w:pPr>
        <w:pStyle w:val="ementa0"/>
        <w:shd w:val="clear" w:color="auto" w:fill="FFFFFF"/>
        <w:suppressAutoHyphens/>
        <w:spacing w:before="0" w:beforeAutospacing="0" w:after="0" w:afterAutospacing="0"/>
        <w:ind w:left="-255" w:right="340"/>
        <w:jc w:val="both"/>
        <w:rPr>
          <w:rStyle w:val="fontepargpadro-000005"/>
          <w:rFonts w:ascii="Open Sans" w:hAnsi="Open Sans" w:cs="Open Sans"/>
          <w:color w:val="000000"/>
        </w:rPr>
      </w:pPr>
      <w:r w:rsidRPr="00412D8F">
        <w:rPr>
          <w:rStyle w:val="fontepargpadro-000004"/>
          <w:rFonts w:ascii="Open Sans" w:hAnsi="Open Sans" w:cs="Open Sans"/>
          <w:bCs/>
          <w:color w:val="000000"/>
        </w:rPr>
        <w:t>“RECURSO DE REVISTA DA PARTE AUTORA</w:t>
      </w:r>
      <w:r w:rsidRPr="00412D8F">
        <w:rPr>
          <w:rStyle w:val="fontepargpadro-000002"/>
          <w:rFonts w:ascii="Open Sans" w:hAnsi="Open Sans" w:cs="Open Sans"/>
          <w:bCs/>
          <w:color w:val="000000"/>
        </w:rPr>
        <w:t xml:space="preserve">. LEI Nº 13.467/2017. TURNOS ININTERRUPTOS DE REVEZAMENTO. EMPREGADO HORISTA. ATIVIDADE INSALUBRE. CÁLCULO DAS HORAS EXTRAS (ADICIONAL E DIVISOR). AUSÊNCIA DE EXPRESSA PREVISÃO EM NORMA COLETIVA. </w:t>
      </w:r>
      <w:r w:rsidRPr="00412D8F">
        <w:rPr>
          <w:rStyle w:val="fontepargpadro-000004"/>
          <w:rFonts w:ascii="Open Sans" w:hAnsi="Open Sans" w:cs="Open Sans"/>
          <w:bCs/>
          <w:color w:val="000000"/>
        </w:rPr>
        <w:t>ESTRITA ADERÊNCIA AO TEMA Nº 1046 DO STF NÃO IDENTIFICADA</w:t>
      </w:r>
      <w:r w:rsidRPr="00412D8F">
        <w:rPr>
          <w:rStyle w:val="fontepargpadro-000002"/>
          <w:rFonts w:ascii="Open Sans" w:hAnsi="Open Sans" w:cs="Open Sans"/>
          <w:bCs/>
          <w:color w:val="000000"/>
        </w:rPr>
        <w:t xml:space="preserve">. </w:t>
      </w:r>
      <w:r w:rsidRPr="00412D8F">
        <w:rPr>
          <w:rStyle w:val="fontepargpadro-000004"/>
          <w:rFonts w:ascii="Open Sans" w:hAnsi="Open Sans" w:cs="Open Sans"/>
          <w:bCs/>
          <w:color w:val="000000"/>
        </w:rPr>
        <w:t>TRANSCENDÊNCIA POLÍTICA CONSTATADA</w:t>
      </w:r>
      <w:r w:rsidRPr="00412D8F">
        <w:rPr>
          <w:rStyle w:val="fontepargpadro-000005"/>
          <w:rFonts w:ascii="Open Sans" w:hAnsi="Open Sans" w:cs="Open Sans"/>
          <w:color w:val="000000"/>
        </w:rPr>
        <w:t xml:space="preserve">.  O disposto no artigo 7º, XIV, da Constituição Federal encerra regra que visa garantir condições mínimas de segurança, saúde e higiene do trabalho, sem que com isso se possibilite a redução salarial, sob pena de ofender ao inciso VI do mencionado dispositivo. Irrelevante, portanto, que o trabalhador receba por hora trabalhada. No caso dos autos, é incontroverso que o autor se ativava em turnos ininterruptos de revezamento. Desse modo, as horas excedentes a 6ª diária deverão ser consideradas como extras, o que enseja o pagamento do respectivo adicional. Como consequência, o valor da hora normal trabalhada pelo demandante, nos períodos em que houve jornada em turnos ininterruptos de revezamento (seis horas), deverá ser recalculado por meio do divisor 180. Precedentes. </w:t>
      </w:r>
      <w:r w:rsidRPr="00412D8F">
        <w:rPr>
          <w:rStyle w:val="fontepargpadro-000002"/>
          <w:rFonts w:ascii="Open Sans" w:hAnsi="Open Sans" w:cs="Open Sans"/>
          <w:bCs/>
          <w:color w:val="000000"/>
        </w:rPr>
        <w:t xml:space="preserve">Recurso de revista conhecido e parcialmente provido.” </w:t>
      </w:r>
      <w:r w:rsidRPr="00412D8F">
        <w:rPr>
          <w:rStyle w:val="fontepargpadro-000005"/>
          <w:rFonts w:ascii="Open Sans" w:hAnsi="Open Sans" w:cs="Open Sans"/>
          <w:color w:val="000000"/>
        </w:rPr>
        <w:t>(</w:t>
      </w:r>
      <w:hyperlink r:id="rId20" w:history="1">
        <w:r w:rsidRPr="00412D8F">
          <w:rPr>
            <w:rStyle w:val="Hyperlink"/>
            <w:rFonts w:ascii="Open Sans" w:hAnsi="Open Sans" w:cs="Open Sans"/>
            <w:bCs/>
          </w:rPr>
          <w:t>TST-RR-1001251-63.2016.5.02.0432</w:t>
        </w:r>
        <w:r w:rsidRPr="00412D8F">
          <w:rPr>
            <w:rStyle w:val="Hyperlink"/>
            <w:rFonts w:ascii="Open Sans" w:hAnsi="Open Sans" w:cs="Open Sans"/>
          </w:rPr>
          <w:t>, 7ª Turma, rel. Min. Cláudio Mascarenhas Brandão, julgado em 26/3/2025</w:t>
        </w:r>
      </w:hyperlink>
      <w:proofErr w:type="gramStart"/>
      <w:r w:rsidRPr="00412D8F">
        <w:rPr>
          <w:rStyle w:val="fontepargpadro-000005"/>
          <w:rFonts w:ascii="Open Sans" w:hAnsi="Open Sans" w:cs="Open Sans"/>
          <w:color w:val="000000"/>
        </w:rPr>
        <w:t>)</w:t>
      </w:r>
      <w:proofErr w:type="gramEnd"/>
    </w:p>
    <w:p w:rsidR="000352E2" w:rsidRDefault="000352E2" w:rsidP="00412D8F">
      <w:pPr>
        <w:suppressAutoHyphens/>
        <w:adjustRightInd w:val="0"/>
        <w:ind w:left="-255" w:right="340"/>
        <w:jc w:val="both"/>
        <w:rPr>
          <w:rFonts w:ascii="Open Sans" w:hAnsi="Open Sans" w:cs="Open Sans"/>
          <w:sz w:val="24"/>
          <w:szCs w:val="24"/>
        </w:rPr>
      </w:pPr>
    </w:p>
    <w:p w:rsidR="00EA1890" w:rsidRDefault="00EA1890" w:rsidP="00EA1890">
      <w:pPr>
        <w:suppressAutoHyphens/>
        <w:ind w:left="-255" w:right="340"/>
        <w:jc w:val="both"/>
        <w:rPr>
          <w:rFonts w:ascii="Open Sans" w:eastAsiaTheme="minorEastAsia" w:hAnsi="Open Sans" w:cs="Open Sans"/>
          <w:bCs/>
          <w:color w:val="000000"/>
          <w:sz w:val="24"/>
          <w:szCs w:val="24"/>
        </w:rPr>
      </w:pPr>
      <w:proofErr w:type="gramStart"/>
      <w:r w:rsidRPr="00EA1890">
        <w:rPr>
          <w:rFonts w:ascii="Open Sans" w:eastAsiaTheme="minorEastAsia" w:hAnsi="Open Sans" w:cs="Courier New"/>
          <w:color w:val="000000"/>
          <w:sz w:val="24"/>
          <w:szCs w:val="24"/>
        </w:rPr>
        <w:t>“</w:t>
      </w:r>
      <w:r w:rsidR="001B0539">
        <w:rPr>
          <w:rFonts w:ascii="Open Sans" w:eastAsiaTheme="minorEastAsia" w:hAnsi="Open Sans" w:cs="Courier New"/>
          <w:color w:val="000000"/>
          <w:sz w:val="24"/>
          <w:szCs w:val="24"/>
        </w:rPr>
        <w:t xml:space="preserve">[...] </w:t>
      </w:r>
      <w:r w:rsidRPr="00EA1890">
        <w:rPr>
          <w:rFonts w:ascii="Open Sans" w:eastAsiaTheme="minorEastAsia" w:hAnsi="Open Sans" w:cs="Courier New"/>
          <w:color w:val="000000"/>
          <w:sz w:val="24"/>
          <w:szCs w:val="24"/>
        </w:rPr>
        <w:t>RECURSOS DE REVISTA.</w:t>
      </w:r>
      <w:proofErr w:type="gramEnd"/>
      <w:r w:rsidRPr="00EA1890">
        <w:rPr>
          <w:rFonts w:ascii="Open Sans" w:eastAsiaTheme="minorEastAsia" w:hAnsi="Open Sans" w:cs="Courier New"/>
          <w:color w:val="000000"/>
          <w:sz w:val="24"/>
          <w:szCs w:val="24"/>
        </w:rPr>
        <w:t xml:space="preserve"> ACÓRDÃO REGIONAL PUBLICADO NA VIGÊNCIA DA LEI Nº 13.467/2017. EXECUÇÃO DE SENTENÇA. INCIDENTE DE DESCONSIDERAÇÃO DA PERSONALIDADE JURÍDICA. ENTIDADE SEM FINS LUCRATIVOS. RESPONSABILIDADE DOS MEMBROS DO CONSELHO DELIBERATIVO. AUSÊNCIA DE ATUAÇÃO NA GESTÃO OU APROVAÇÃO DE CONTAS. TRANSCENDÊNCIA ECONÔMICA. RECONHECIMENTO. I. Extrai-se do acórdão regional, transcrito na fundamentação do agravo interno, que recorrentes eram integrantes do conselho deliberativo da fundação educacional </w:t>
      </w:r>
      <w:r w:rsidRPr="00EA1890">
        <w:rPr>
          <w:rFonts w:ascii="Open Sans" w:eastAsiaTheme="minorEastAsia" w:hAnsi="Open Sans" w:cs="Courier New"/>
          <w:color w:val="000000"/>
          <w:sz w:val="24"/>
          <w:szCs w:val="24"/>
        </w:rPr>
        <w:lastRenderedPageBreak/>
        <w:t xml:space="preserve">executada, mas que não participavam da gestão. A propósito, a Corte Regional registrou que ‘foi comprovado que tais integrantes do Conselho Deliberativo não participavam das eleições, nem eram regularmente convocados ou mesmo que a fundação sequer detinha seus documentos de identificação ou o registro de seus domicílios, de forma a permitir a composição regular de seus órgãos estatutários’. Não obstante esse registro, o Tribunal Regional manteve a sentença em que se deferiu o pedido de desconsideração da personalidade jurídica, para incluir os membros do inativo conselho deliberativo no polo passivo da execução, porque concluiu que ‘não importa se não participavam efetivamente das decisões tomadas pelo aludido conselho, uma vez que enquanto integrantes são responsabilizados por seus atos’. II. Assim, por terem participado da instituição da fundação educacional sem fins lucrativos, décadas atrás, como membros do conselho deliberativo, que não atuava, segundo o registro do acórdão regional, os ora agravantes foram incluídos no polo passivo da execução de sentença trabalhista ajuizada em face da fundação educacional. III. Considerando a sua não participação em atos de gestão ou aprovação de gestão, a sua responsabilização pelos créditos e, execuções trabalhistas de empregado da fundação educacional configura ofensa direta ao art. 5°, II, da Constituição da República. IV. Nesse contexto, não se pode responsabilizar pessoas que participaram unicamente do ato de instituição de fundação sem fins lucrativos, décadas atrás, que não praticaram ato de gestão ou aprovação. V. Não há discussão sobre fraude. VI. </w:t>
      </w:r>
      <w:proofErr w:type="gramStart"/>
      <w:r w:rsidRPr="00EA1890">
        <w:rPr>
          <w:rFonts w:ascii="Open Sans" w:eastAsiaTheme="minorEastAsia" w:hAnsi="Open Sans" w:cs="Courier New"/>
          <w:color w:val="000000"/>
          <w:sz w:val="24"/>
          <w:szCs w:val="24"/>
        </w:rPr>
        <w:t>Recursos de revista dos quais se conhece e ao quais se dá provimento.</w:t>
      </w:r>
      <w:r w:rsidRPr="00EA1890">
        <w:rPr>
          <w:rFonts w:ascii="Open Sans" w:eastAsiaTheme="minorEastAsia" w:hAnsi="Open Sans" w:cs="Open Sans"/>
          <w:color w:val="000000"/>
          <w:sz w:val="24"/>
          <w:szCs w:val="24"/>
        </w:rPr>
        <w:t>”</w:t>
      </w:r>
      <w:proofErr w:type="gramEnd"/>
      <w:r w:rsidRPr="00EA1890">
        <w:rPr>
          <w:rFonts w:ascii="Open Sans" w:eastAsiaTheme="minorEastAsia" w:hAnsi="Open Sans" w:cs="Open Sans"/>
          <w:color w:val="000000"/>
          <w:sz w:val="24"/>
          <w:szCs w:val="24"/>
        </w:rPr>
        <w:t xml:space="preserve"> (</w:t>
      </w:r>
      <w:hyperlink r:id="rId21" w:history="1">
        <w:r w:rsidRPr="00EA1890">
          <w:rPr>
            <w:rFonts w:ascii="Open Sans" w:eastAsiaTheme="minorEastAsia" w:hAnsi="Open Sans" w:cs="Open Sans"/>
            <w:bCs/>
            <w:color w:val="0000FF" w:themeColor="hyperlink"/>
            <w:sz w:val="24"/>
            <w:szCs w:val="24"/>
            <w:u w:val="single"/>
          </w:rPr>
          <w:t>TST-RR-100039-53.2019.5.01.0206, 7ª Turma, rel. Min. Evandro Pereira Valadão Lopes, julgado em 1º/4/2025</w:t>
        </w:r>
      </w:hyperlink>
      <w:r w:rsidRPr="00EA1890">
        <w:rPr>
          <w:rFonts w:ascii="Open Sans" w:eastAsiaTheme="minorEastAsia" w:hAnsi="Open Sans" w:cs="Open Sans"/>
          <w:bCs/>
          <w:color w:val="000000"/>
          <w:sz w:val="24"/>
          <w:szCs w:val="24"/>
        </w:rPr>
        <w:t>)</w:t>
      </w:r>
    </w:p>
    <w:p w:rsidR="00185145" w:rsidRDefault="00185145" w:rsidP="00EA1890">
      <w:pPr>
        <w:suppressAutoHyphens/>
        <w:ind w:left="-255" w:right="340"/>
        <w:jc w:val="both"/>
        <w:rPr>
          <w:rFonts w:ascii="Open Sans" w:eastAsiaTheme="minorEastAsia" w:hAnsi="Open Sans" w:cs="Open Sans"/>
          <w:bCs/>
          <w:color w:val="000000"/>
          <w:sz w:val="24"/>
          <w:szCs w:val="24"/>
        </w:rPr>
      </w:pPr>
    </w:p>
    <w:p w:rsidR="00185145" w:rsidRDefault="00034A35" w:rsidP="00185145">
      <w:pPr>
        <w:suppressAutoHyphens/>
        <w:adjustRightInd w:val="0"/>
        <w:ind w:left="-255" w:right="340"/>
        <w:jc w:val="both"/>
        <w:rPr>
          <w:rFonts w:ascii="Open Sans" w:hAnsi="Open Sans" w:cs="Open Sans"/>
          <w:sz w:val="24"/>
          <w:szCs w:val="24"/>
        </w:rPr>
      </w:pPr>
      <w:r>
        <w:rPr>
          <w:rStyle w:val="fontepargpadro-000004"/>
          <w:rFonts w:ascii="Open Sans" w:hAnsi="Open Sans" w:cs="Open Sans"/>
          <w:bCs/>
          <w:color w:val="000000"/>
          <w:sz w:val="24"/>
          <w:szCs w:val="24"/>
        </w:rPr>
        <w:t xml:space="preserve">“[...] </w:t>
      </w:r>
      <w:r w:rsidR="00185145">
        <w:rPr>
          <w:rFonts w:ascii="Open Sans" w:hAnsi="Open Sans" w:cs="Open Sans"/>
          <w:bCs/>
          <w:sz w:val="24"/>
          <w:szCs w:val="24"/>
        </w:rPr>
        <w:t xml:space="preserve">RECURSO DE REVISTA INTERPOSTO PELO CONDOMÍNIO CIVIL SHOPPING CENTER. AÇÃO CIVIL PÚBLICA. OBRIGAÇÃO DE FAZER. DISPONIBILIZAÇÃO DE LOCAL APROPRIADO PARA AS MULHERES QUE TRABALHAM NAS DEPENDÊNCIAS DO </w:t>
      </w:r>
      <w:r w:rsidR="00185145">
        <w:rPr>
          <w:rFonts w:ascii="Open Sans" w:hAnsi="Open Sans" w:cs="Open Sans"/>
          <w:bCs/>
          <w:i/>
          <w:iCs/>
          <w:sz w:val="24"/>
          <w:szCs w:val="24"/>
        </w:rPr>
        <w:t xml:space="preserve">SHOPPING </w:t>
      </w:r>
      <w:r w:rsidR="00185145">
        <w:rPr>
          <w:rFonts w:ascii="Open Sans" w:hAnsi="Open Sans" w:cs="Open Sans"/>
          <w:bCs/>
          <w:sz w:val="24"/>
          <w:szCs w:val="24"/>
        </w:rPr>
        <w:t xml:space="preserve">DEIXAREM SEUS FILHOS, SOB VIGILÂNCIA E ASSISTÊNCIA, DURANTE O PERÍODO DE AMAMENTAÇÃO. ART. 389, §§ 1º E 2º, DA CLT. </w:t>
      </w:r>
      <w:proofErr w:type="gramStart"/>
      <w:r w:rsidR="00185145">
        <w:rPr>
          <w:rFonts w:ascii="Open Sans" w:hAnsi="Open Sans" w:cs="Open Sans"/>
          <w:bCs/>
          <w:sz w:val="24"/>
          <w:szCs w:val="24"/>
        </w:rPr>
        <w:t>1</w:t>
      </w:r>
      <w:proofErr w:type="gramEnd"/>
      <w:r w:rsidR="00185145">
        <w:rPr>
          <w:rFonts w:ascii="Open Sans" w:hAnsi="Open Sans" w:cs="Open Sans"/>
          <w:bCs/>
          <w:sz w:val="24"/>
          <w:szCs w:val="24"/>
        </w:rPr>
        <w:t xml:space="preserve">. </w:t>
      </w:r>
      <w:r w:rsidR="00185145">
        <w:rPr>
          <w:rFonts w:ascii="Open Sans" w:hAnsi="Open Sans" w:cs="Open Sans"/>
          <w:sz w:val="24"/>
          <w:szCs w:val="24"/>
        </w:rPr>
        <w:t xml:space="preserve">A controvérsia dos presentes autos se refere à aplicabilidade do comando instaurado no art. 389, §§ 1º e 2º, da CLT aos </w:t>
      </w:r>
      <w:r w:rsidR="00185145">
        <w:rPr>
          <w:rFonts w:ascii="Open Sans" w:hAnsi="Open Sans" w:cs="Open Sans"/>
          <w:i/>
          <w:iCs/>
          <w:sz w:val="24"/>
          <w:szCs w:val="24"/>
        </w:rPr>
        <w:t>shopping centers</w:t>
      </w:r>
      <w:r w:rsidR="00185145">
        <w:rPr>
          <w:rFonts w:ascii="Open Sans" w:hAnsi="Open Sans" w:cs="Open Sans"/>
          <w:sz w:val="24"/>
          <w:szCs w:val="24"/>
        </w:rPr>
        <w:t xml:space="preserve">, em relação às empregadas dos estabelecimentos lojistas instalados nas suas dependências. </w:t>
      </w:r>
      <w:r w:rsidR="00185145">
        <w:rPr>
          <w:rFonts w:ascii="Open Sans" w:hAnsi="Open Sans" w:cs="Open Sans"/>
          <w:bCs/>
          <w:sz w:val="24"/>
          <w:szCs w:val="24"/>
        </w:rPr>
        <w:t xml:space="preserve">2. </w:t>
      </w:r>
      <w:r w:rsidR="00185145">
        <w:rPr>
          <w:rFonts w:ascii="Open Sans" w:hAnsi="Open Sans" w:cs="Open Sans"/>
          <w:sz w:val="24"/>
          <w:szCs w:val="24"/>
        </w:rPr>
        <w:t xml:space="preserve">Segundo a Associação Brasileira de Shopping Centers – ABRASCE, </w:t>
      </w:r>
      <w:r w:rsidR="00185145">
        <w:rPr>
          <w:rFonts w:ascii="Open Sans" w:hAnsi="Open Sans" w:cs="Open Sans"/>
          <w:i/>
          <w:iCs/>
          <w:sz w:val="24"/>
          <w:szCs w:val="24"/>
        </w:rPr>
        <w:t xml:space="preserve">shoppings </w:t>
      </w:r>
      <w:r w:rsidR="00185145">
        <w:rPr>
          <w:rFonts w:ascii="Open Sans" w:hAnsi="Open Sans" w:cs="Open Sans"/>
          <w:sz w:val="24"/>
          <w:szCs w:val="24"/>
        </w:rPr>
        <w:t>são ‘</w:t>
      </w:r>
      <w:r w:rsidR="00185145">
        <w:rPr>
          <w:rFonts w:ascii="Open Sans" w:hAnsi="Open Sans" w:cs="Open Sans"/>
          <w:iCs/>
          <w:sz w:val="24"/>
          <w:szCs w:val="24"/>
        </w:rPr>
        <w:t xml:space="preserve">empreendimentos com Área Bruta </w:t>
      </w:r>
      <w:proofErr w:type="spellStart"/>
      <w:r w:rsidR="00185145">
        <w:rPr>
          <w:rFonts w:ascii="Open Sans" w:hAnsi="Open Sans" w:cs="Open Sans"/>
          <w:iCs/>
          <w:sz w:val="24"/>
          <w:szCs w:val="24"/>
        </w:rPr>
        <w:t>Locável</w:t>
      </w:r>
      <w:proofErr w:type="spellEnd"/>
      <w:r w:rsidR="00185145">
        <w:rPr>
          <w:rFonts w:ascii="Open Sans" w:hAnsi="Open Sans" w:cs="Open Sans"/>
          <w:iCs/>
          <w:sz w:val="24"/>
          <w:szCs w:val="24"/>
        </w:rPr>
        <w:t xml:space="preserve"> (ABL), normalmente, superior a 5 mil m², formados por diversas unidades comerciais, com administração única e centralizada, que pratica aluguel fixo e percentual. Na maioria das vezes, dispõe de lojas âncoras e vagas de estacionamento compatível com a legislação da região onde está instalado</w:t>
      </w:r>
      <w:r w:rsidR="00185145">
        <w:rPr>
          <w:rFonts w:ascii="Open Sans" w:hAnsi="Open Sans" w:cs="Open Sans"/>
          <w:sz w:val="24"/>
          <w:szCs w:val="24"/>
        </w:rPr>
        <w:t xml:space="preserve">’ (www.abrasce.com.br). </w:t>
      </w:r>
      <w:r w:rsidR="00185145">
        <w:rPr>
          <w:rFonts w:ascii="Open Sans" w:hAnsi="Open Sans" w:cs="Open Sans"/>
          <w:bCs/>
          <w:sz w:val="24"/>
          <w:szCs w:val="24"/>
        </w:rPr>
        <w:t xml:space="preserve">3. </w:t>
      </w:r>
      <w:r w:rsidR="00185145">
        <w:rPr>
          <w:rFonts w:ascii="Open Sans" w:hAnsi="Open Sans" w:cs="Open Sans"/>
          <w:sz w:val="24"/>
          <w:szCs w:val="24"/>
        </w:rPr>
        <w:t xml:space="preserve">Assim, mesmo em se reconhecendo que a atividade empresarial do demandado consiste na administração e exploração do estabelecimento, isto é, do </w:t>
      </w:r>
      <w:r w:rsidR="00185145">
        <w:rPr>
          <w:rFonts w:ascii="Open Sans" w:hAnsi="Open Sans" w:cs="Open Sans"/>
          <w:i/>
          <w:iCs/>
          <w:sz w:val="24"/>
          <w:szCs w:val="24"/>
        </w:rPr>
        <w:t>shopping center</w:t>
      </w:r>
      <w:r w:rsidR="00185145">
        <w:rPr>
          <w:rFonts w:ascii="Open Sans" w:hAnsi="Open Sans" w:cs="Open Sans"/>
          <w:sz w:val="24"/>
          <w:szCs w:val="24"/>
        </w:rPr>
        <w:t xml:space="preserve">, por certo que não possui nenhuma ingerência na gestão dos negócios dos lojistas e/ou locatários, nem é beneficiado diretamente pelos serviços prestados pelas empregadas desses estabelecimentos, haja vista que essas trabalham em proveito apenas dos seus respectivos empregadores. </w:t>
      </w:r>
      <w:r w:rsidR="00185145">
        <w:rPr>
          <w:rFonts w:ascii="Open Sans" w:hAnsi="Open Sans" w:cs="Open Sans"/>
          <w:bCs/>
          <w:sz w:val="24"/>
          <w:szCs w:val="24"/>
        </w:rPr>
        <w:t xml:space="preserve">4. </w:t>
      </w:r>
      <w:r w:rsidR="00185145">
        <w:rPr>
          <w:rFonts w:ascii="Open Sans" w:hAnsi="Open Sans" w:cs="Open Sans"/>
          <w:sz w:val="24"/>
          <w:szCs w:val="24"/>
        </w:rPr>
        <w:t xml:space="preserve">Dentro desse contexto, não obstante o preceito legal em análise envolver direitos correlatos à maternidade, à proteção da infância e à proteção do trabalho da mulher, os quais exprimem valores fundamentais da sociedade, não há como impor ao réu a obrigação de disponibilizar local apropriado para que todas as </w:t>
      </w:r>
      <w:r w:rsidR="00185145">
        <w:rPr>
          <w:rFonts w:ascii="Open Sans" w:hAnsi="Open Sans" w:cs="Open Sans"/>
          <w:sz w:val="24"/>
          <w:szCs w:val="24"/>
        </w:rPr>
        <w:lastRenderedPageBreak/>
        <w:t xml:space="preserve">mulheres empregadas em suas dependências possam deixar seus filhos, sob vigilância e assistência, durante o período de amamentação, salvo se o próprio </w:t>
      </w:r>
      <w:r w:rsidR="00185145">
        <w:rPr>
          <w:rFonts w:ascii="Open Sans" w:hAnsi="Open Sans" w:cs="Open Sans"/>
          <w:i/>
          <w:iCs/>
          <w:sz w:val="24"/>
          <w:szCs w:val="24"/>
        </w:rPr>
        <w:t>shopping</w:t>
      </w:r>
      <w:r w:rsidR="00185145">
        <w:rPr>
          <w:rFonts w:ascii="Open Sans" w:hAnsi="Open Sans" w:cs="Open Sans"/>
          <w:sz w:val="24"/>
          <w:szCs w:val="24"/>
        </w:rPr>
        <w:t xml:space="preserve">, isoladamente considerado, possuir mais de trinta empregadas. </w:t>
      </w:r>
      <w:r w:rsidR="00185145">
        <w:rPr>
          <w:rFonts w:ascii="Open Sans" w:hAnsi="Open Sans" w:cs="Open Sans"/>
          <w:bCs/>
          <w:sz w:val="24"/>
          <w:szCs w:val="24"/>
        </w:rPr>
        <w:t xml:space="preserve">5. </w:t>
      </w:r>
      <w:r w:rsidR="00185145">
        <w:rPr>
          <w:rFonts w:ascii="Open Sans" w:hAnsi="Open Sans" w:cs="Open Sans"/>
          <w:sz w:val="24"/>
          <w:szCs w:val="24"/>
        </w:rPr>
        <w:t xml:space="preserve">Ocorre que a obrigação </w:t>
      </w:r>
      <w:proofErr w:type="gramStart"/>
      <w:r w:rsidR="00185145">
        <w:rPr>
          <w:rFonts w:ascii="Open Sans" w:hAnsi="Open Sans" w:cs="Open Sans"/>
          <w:sz w:val="24"/>
          <w:szCs w:val="24"/>
        </w:rPr>
        <w:t>estatuída</w:t>
      </w:r>
      <w:proofErr w:type="gramEnd"/>
      <w:r w:rsidR="00185145">
        <w:rPr>
          <w:rFonts w:ascii="Open Sans" w:hAnsi="Open Sans" w:cs="Open Sans"/>
          <w:sz w:val="24"/>
          <w:szCs w:val="24"/>
        </w:rPr>
        <w:t xml:space="preserve"> pelo referido dispositivo consolidado é imposta ao empregador, pois é este que, no exercício da atividade empresarial, possui o complexo de bens denominado estabelecimento, de modo que apenas quem admite, assalaria e dirige a prestação pessoal de serviços enquadra-se no conceito de empregador, não havendo como considerar, ou confundir, o </w:t>
      </w:r>
      <w:r w:rsidR="00185145">
        <w:rPr>
          <w:rFonts w:ascii="Open Sans" w:hAnsi="Open Sans" w:cs="Open Sans"/>
          <w:i/>
          <w:iCs/>
          <w:sz w:val="24"/>
          <w:szCs w:val="24"/>
        </w:rPr>
        <w:t xml:space="preserve">shopping </w:t>
      </w:r>
      <w:r w:rsidR="00185145">
        <w:rPr>
          <w:rFonts w:ascii="Open Sans" w:hAnsi="Open Sans" w:cs="Open Sans"/>
          <w:sz w:val="24"/>
          <w:szCs w:val="24"/>
        </w:rPr>
        <w:t xml:space="preserve">como o verdadeiro empregador das trabalhadoras beneficiadas pela disposição legal. </w:t>
      </w:r>
      <w:r w:rsidR="00185145">
        <w:rPr>
          <w:rFonts w:ascii="Open Sans" w:hAnsi="Open Sans" w:cs="Open Sans"/>
          <w:bCs/>
          <w:sz w:val="24"/>
          <w:szCs w:val="24"/>
        </w:rPr>
        <w:t xml:space="preserve">6. </w:t>
      </w:r>
      <w:r w:rsidR="00185145">
        <w:rPr>
          <w:rFonts w:ascii="Open Sans" w:hAnsi="Open Sans" w:cs="Open Sans"/>
          <w:sz w:val="24"/>
          <w:szCs w:val="24"/>
        </w:rPr>
        <w:t>Com efeito, numa interpretação sistemática da norma celetista, é possível concluir que o art. 389, § 1º, da CLT utiliza a palavra estabelecimento como sinônimo de empresa empregadora, enquanto o art. 1.142 do CC conceitua estabelecimento como</w:t>
      </w:r>
      <w:r w:rsidR="00185145">
        <w:rPr>
          <w:rFonts w:ascii="Open Sans" w:hAnsi="Open Sans" w:cs="Open Sans"/>
          <w:i/>
          <w:sz w:val="24"/>
          <w:szCs w:val="24"/>
        </w:rPr>
        <w:t xml:space="preserve"> </w:t>
      </w:r>
      <w:r w:rsidR="00185145">
        <w:rPr>
          <w:rFonts w:ascii="Open Sans" w:hAnsi="Open Sans" w:cs="Open Sans"/>
          <w:sz w:val="24"/>
          <w:szCs w:val="24"/>
        </w:rPr>
        <w:t>‘</w:t>
      </w:r>
      <w:r w:rsidR="00185145">
        <w:rPr>
          <w:rFonts w:ascii="Open Sans" w:hAnsi="Open Sans" w:cs="Open Sans"/>
          <w:iCs/>
          <w:sz w:val="24"/>
          <w:szCs w:val="24"/>
        </w:rPr>
        <w:t>todo complexo de bens organizado, para exercício da empresa, por empresário, ou por sociedade empresária</w:t>
      </w:r>
      <w:r w:rsidR="00185145">
        <w:rPr>
          <w:rFonts w:ascii="Open Sans" w:hAnsi="Open Sans" w:cs="Open Sans"/>
          <w:sz w:val="24"/>
          <w:szCs w:val="24"/>
        </w:rPr>
        <w:t>’.</w:t>
      </w:r>
      <w:r w:rsidR="00185145">
        <w:rPr>
          <w:rFonts w:ascii="Open Sans" w:hAnsi="Open Sans" w:cs="Open Sans"/>
          <w:i/>
          <w:sz w:val="24"/>
          <w:szCs w:val="24"/>
        </w:rPr>
        <w:t xml:space="preserve"> </w:t>
      </w:r>
      <w:r w:rsidR="00185145">
        <w:rPr>
          <w:rFonts w:ascii="Open Sans" w:hAnsi="Open Sans" w:cs="Open Sans"/>
          <w:bCs/>
          <w:sz w:val="24"/>
          <w:szCs w:val="24"/>
        </w:rPr>
        <w:t xml:space="preserve">7. </w:t>
      </w:r>
      <w:r w:rsidR="00185145">
        <w:rPr>
          <w:rFonts w:ascii="Open Sans" w:hAnsi="Open Sans" w:cs="Open Sans"/>
          <w:sz w:val="24"/>
          <w:szCs w:val="24"/>
        </w:rPr>
        <w:t xml:space="preserve">Corrobora essa inferência o disposto na Portaria nº 671/2021 do Ministério do Trabalho, a qual autoriza a substituição da obrigação ora controvertida pelo reembolso das despesas com creche, por meio de negociação coletiva, não se podendo cogitar de pagamento de reembolso de creche pelo </w:t>
      </w:r>
      <w:r w:rsidR="00185145">
        <w:rPr>
          <w:rFonts w:ascii="Open Sans" w:hAnsi="Open Sans" w:cs="Open Sans"/>
          <w:i/>
          <w:iCs/>
          <w:sz w:val="24"/>
          <w:szCs w:val="24"/>
        </w:rPr>
        <w:t xml:space="preserve">shopping </w:t>
      </w:r>
      <w:proofErr w:type="gramStart"/>
      <w:r w:rsidR="00185145">
        <w:rPr>
          <w:rFonts w:ascii="Open Sans" w:hAnsi="Open Sans" w:cs="Open Sans"/>
          <w:i/>
          <w:iCs/>
          <w:sz w:val="24"/>
          <w:szCs w:val="24"/>
        </w:rPr>
        <w:t>center</w:t>
      </w:r>
      <w:proofErr w:type="gramEnd"/>
      <w:r w:rsidR="00185145">
        <w:rPr>
          <w:rFonts w:ascii="Open Sans" w:hAnsi="Open Sans" w:cs="Open Sans"/>
          <w:sz w:val="24"/>
          <w:szCs w:val="24"/>
        </w:rPr>
        <w:t xml:space="preserve">, mas apenas pelos reais empregadores, ou seja, os lojistas. </w:t>
      </w:r>
      <w:r w:rsidR="00185145">
        <w:rPr>
          <w:rFonts w:ascii="Open Sans" w:hAnsi="Open Sans" w:cs="Open Sans"/>
          <w:bCs/>
          <w:sz w:val="24"/>
          <w:szCs w:val="24"/>
        </w:rPr>
        <w:t xml:space="preserve">8. </w:t>
      </w:r>
      <w:proofErr w:type="gramStart"/>
      <w:r w:rsidR="00185145">
        <w:rPr>
          <w:rFonts w:ascii="Open Sans" w:hAnsi="Open Sans" w:cs="Open Sans"/>
          <w:sz w:val="24"/>
          <w:szCs w:val="24"/>
        </w:rPr>
        <w:t>Outrossim</w:t>
      </w:r>
      <w:proofErr w:type="gramEnd"/>
      <w:r w:rsidR="00185145">
        <w:rPr>
          <w:rFonts w:ascii="Open Sans" w:hAnsi="Open Sans" w:cs="Open Sans"/>
          <w:sz w:val="24"/>
          <w:szCs w:val="24"/>
        </w:rPr>
        <w:t xml:space="preserve">, não se desconhece que o TST, no julgamento do E-RR-131651-27.2015.5.13.0008, cujo acórdão foi publicado no DEJT de 15/10/2021, concluiu que, como responsáveis pelas áreas de uso comum, compete aos </w:t>
      </w:r>
      <w:r w:rsidR="00185145">
        <w:rPr>
          <w:rFonts w:ascii="Open Sans" w:hAnsi="Open Sans" w:cs="Open Sans"/>
          <w:i/>
          <w:iCs/>
          <w:sz w:val="24"/>
          <w:szCs w:val="24"/>
        </w:rPr>
        <w:t xml:space="preserve">shopping centers </w:t>
      </w:r>
      <w:r w:rsidR="00185145">
        <w:rPr>
          <w:rFonts w:ascii="Open Sans" w:hAnsi="Open Sans" w:cs="Open Sans"/>
          <w:sz w:val="24"/>
          <w:szCs w:val="24"/>
        </w:rPr>
        <w:t>assegurar, diretamente ou por outros meios, ‘</w:t>
      </w:r>
      <w:r w:rsidR="00185145">
        <w:rPr>
          <w:rFonts w:ascii="Open Sans" w:hAnsi="Open Sans" w:cs="Open Sans"/>
          <w:iCs/>
          <w:sz w:val="24"/>
          <w:szCs w:val="24"/>
        </w:rPr>
        <w:t>local apropriado, onde seja permitido às empregadas guardar sob vigilância e assistência os seus filhos no período de amamentação</w:t>
      </w:r>
      <w:r w:rsidR="00185145">
        <w:rPr>
          <w:rFonts w:ascii="Open Sans" w:hAnsi="Open Sans" w:cs="Open Sans"/>
          <w:sz w:val="24"/>
          <w:szCs w:val="24"/>
        </w:rPr>
        <w:t xml:space="preserve">’, atendendo ao escopo do art. 227 da CF. </w:t>
      </w:r>
      <w:r w:rsidR="00185145">
        <w:rPr>
          <w:rFonts w:ascii="Open Sans" w:hAnsi="Open Sans" w:cs="Open Sans"/>
          <w:bCs/>
          <w:sz w:val="24"/>
          <w:szCs w:val="24"/>
        </w:rPr>
        <w:t xml:space="preserve">9. </w:t>
      </w:r>
      <w:r w:rsidR="00185145">
        <w:rPr>
          <w:rFonts w:ascii="Open Sans" w:hAnsi="Open Sans" w:cs="Open Sans"/>
          <w:sz w:val="24"/>
          <w:szCs w:val="24"/>
        </w:rPr>
        <w:t xml:space="preserve">Contudo, o Supremo Tribunal Federal, em julgamento presencial da 2ª Turma, na data de 25/2/2025 (certidão de julgamento publicada no DJE de 26/2/2025), negou provimento ao Agravo Regimental nos autos do </w:t>
      </w:r>
      <w:proofErr w:type="spellStart"/>
      <w:r w:rsidR="00185145">
        <w:rPr>
          <w:rFonts w:ascii="Open Sans" w:hAnsi="Open Sans" w:cs="Open Sans"/>
          <w:sz w:val="24"/>
          <w:szCs w:val="24"/>
        </w:rPr>
        <w:t>ARE-AgR</w:t>
      </w:r>
      <w:proofErr w:type="spellEnd"/>
      <w:r w:rsidR="00185145">
        <w:rPr>
          <w:rFonts w:ascii="Open Sans" w:hAnsi="Open Sans" w:cs="Open Sans"/>
          <w:sz w:val="24"/>
          <w:szCs w:val="24"/>
        </w:rPr>
        <w:t xml:space="preserve"> 1.499.584, para manter a decisão monocrática da relatoria do Ministro Dias </w:t>
      </w:r>
      <w:proofErr w:type="spellStart"/>
      <w:r w:rsidR="00185145">
        <w:rPr>
          <w:rFonts w:ascii="Open Sans" w:hAnsi="Open Sans" w:cs="Open Sans"/>
          <w:sz w:val="24"/>
          <w:szCs w:val="24"/>
        </w:rPr>
        <w:t>Toffoli</w:t>
      </w:r>
      <w:proofErr w:type="spellEnd"/>
      <w:r w:rsidR="00185145">
        <w:rPr>
          <w:rFonts w:ascii="Open Sans" w:hAnsi="Open Sans" w:cs="Open Sans"/>
          <w:sz w:val="24"/>
          <w:szCs w:val="24"/>
        </w:rPr>
        <w:t xml:space="preserve">, que deu provimento aos recursos extraordinários interpostos ao referido acórdão prolatado pela SDI-1 desta Corte, a fim de julgar improcedentes os pedidos formulados na ação civil pública, adotando, para tanto, o fundamento, em síntese, de que, apesar da nobreza do interesse defendido pelo Ministério Público do Trabalho ao ajuizar a ação civil pública, a irresignação recursal merece prosperar, haja vista não ser possível estender ao </w:t>
      </w:r>
      <w:r w:rsidR="00185145">
        <w:rPr>
          <w:rFonts w:ascii="Open Sans" w:hAnsi="Open Sans" w:cs="Open Sans"/>
          <w:i/>
          <w:iCs/>
          <w:sz w:val="24"/>
          <w:szCs w:val="24"/>
        </w:rPr>
        <w:t xml:space="preserve">shopping </w:t>
      </w:r>
      <w:r w:rsidR="00185145">
        <w:rPr>
          <w:rFonts w:ascii="Open Sans" w:hAnsi="Open Sans" w:cs="Open Sans"/>
          <w:sz w:val="24"/>
          <w:szCs w:val="24"/>
        </w:rPr>
        <w:t xml:space="preserve">recorrente, sem expressa previsão legal, obrigação trabalhista imposta exclusivamente ao empregador com o qual a empregada mantém vínculo trabalhista. </w:t>
      </w:r>
      <w:r w:rsidR="00185145">
        <w:rPr>
          <w:rFonts w:ascii="Open Sans" w:hAnsi="Open Sans" w:cs="Open Sans"/>
          <w:bCs/>
          <w:sz w:val="24"/>
          <w:szCs w:val="24"/>
        </w:rPr>
        <w:t xml:space="preserve">Recurso de revista conhecido e provido. </w:t>
      </w:r>
      <w:r w:rsidR="00185145">
        <w:rPr>
          <w:rFonts w:ascii="Open Sans" w:hAnsi="Open Sans" w:cs="Open Sans"/>
          <w:sz w:val="24"/>
          <w:szCs w:val="24"/>
        </w:rPr>
        <w:t>[</w:t>
      </w:r>
      <w:proofErr w:type="gramStart"/>
      <w:r w:rsidR="00185145">
        <w:rPr>
          <w:rFonts w:ascii="Open Sans" w:hAnsi="Open Sans" w:cs="Open Sans"/>
          <w:sz w:val="24"/>
          <w:szCs w:val="24"/>
        </w:rPr>
        <w:t>...]”</w:t>
      </w:r>
      <w:proofErr w:type="gramEnd"/>
      <w:r w:rsidR="00185145">
        <w:rPr>
          <w:rFonts w:ascii="Open Sans" w:hAnsi="Open Sans" w:cs="Open Sans"/>
          <w:sz w:val="24"/>
          <w:szCs w:val="24"/>
        </w:rPr>
        <w:t xml:space="preserve"> (</w:t>
      </w:r>
      <w:hyperlink r:id="rId22" w:history="1">
        <w:r w:rsidR="00185145">
          <w:rPr>
            <w:rStyle w:val="Hyperlink"/>
            <w:rFonts w:ascii="Open Sans" w:hAnsi="Open Sans" w:cs="Open Sans"/>
            <w:sz w:val="24"/>
            <w:szCs w:val="24"/>
          </w:rPr>
          <w:t>TST-Ag-ARR-17-21.2015.5.05.0010, 8ª Turma, rel. Min. Dora Maria da Costa, julgado em 26/2/2025</w:t>
        </w:r>
      </w:hyperlink>
      <w:r w:rsidR="00185145">
        <w:rPr>
          <w:rFonts w:ascii="Open Sans" w:hAnsi="Open Sans" w:cs="Open Sans"/>
          <w:sz w:val="24"/>
          <w:szCs w:val="24"/>
        </w:rPr>
        <w:t>)</w:t>
      </w:r>
    </w:p>
    <w:p w:rsidR="00EA1890" w:rsidRPr="00412D8F" w:rsidRDefault="00EA1890" w:rsidP="00412D8F">
      <w:pPr>
        <w:suppressAutoHyphens/>
        <w:adjustRightInd w:val="0"/>
        <w:ind w:left="-255" w:right="340"/>
        <w:jc w:val="both"/>
        <w:rPr>
          <w:rFonts w:ascii="Open Sans" w:hAnsi="Open Sans" w:cs="Open Sans"/>
          <w:sz w:val="24"/>
          <w:szCs w:val="24"/>
        </w:rPr>
      </w:pPr>
      <w:bookmarkStart w:id="0" w:name="_GoBack"/>
      <w:bookmarkEnd w:id="0"/>
    </w:p>
    <w:p w:rsidR="00DE32BF" w:rsidRPr="00412D8F" w:rsidRDefault="00034A35" w:rsidP="00035403">
      <w:pPr>
        <w:suppressAutoHyphens/>
        <w:adjustRightInd w:val="0"/>
        <w:ind w:left="-255" w:right="340"/>
        <w:jc w:val="both"/>
        <w:rPr>
          <w:rFonts w:ascii="Open Sans" w:hAnsi="Open Sans" w:cs="Open Sans"/>
          <w:sz w:val="24"/>
          <w:szCs w:val="24"/>
        </w:rPr>
      </w:pPr>
      <w:r>
        <w:rPr>
          <w:rFonts w:ascii="Open Sans" w:hAnsi="Open Sans" w:cs="Open Sans"/>
          <w:bCs/>
          <w:sz w:val="24"/>
          <w:szCs w:val="24"/>
        </w:rPr>
        <w:t xml:space="preserve">“[...] </w:t>
      </w:r>
      <w:r w:rsidR="00DE32BF" w:rsidRPr="00412D8F">
        <w:rPr>
          <w:rFonts w:ascii="Open Sans" w:hAnsi="Open Sans" w:cs="Open Sans"/>
          <w:bCs/>
          <w:sz w:val="24"/>
          <w:szCs w:val="24"/>
        </w:rPr>
        <w:t>RECURSO DE REVISTA INTERPOSTO PELA RECLAMADA</w:t>
      </w:r>
      <w:r w:rsidR="00DE32BF" w:rsidRPr="00412D8F">
        <w:rPr>
          <w:rFonts w:ascii="Open Sans" w:hAnsi="Open Sans" w:cs="Open Sans"/>
          <w:sz w:val="24"/>
          <w:szCs w:val="24"/>
        </w:rPr>
        <w:t xml:space="preserve">. </w:t>
      </w:r>
      <w:r w:rsidR="00DE32BF" w:rsidRPr="00412D8F">
        <w:rPr>
          <w:rFonts w:ascii="Open Sans" w:hAnsi="Open Sans" w:cs="Open Sans"/>
          <w:bCs/>
          <w:sz w:val="24"/>
          <w:szCs w:val="24"/>
        </w:rPr>
        <w:t>EMPREGADO ADVOGADO. INTEGRAÇÃO DOS HONORÁRIOS ADVOCATÍCIOS. REFLEXOS. TRANSCENDÊNCIA POLÍTICA RECONHECIDA</w:t>
      </w:r>
      <w:r w:rsidR="00DE32BF" w:rsidRPr="00412D8F">
        <w:rPr>
          <w:rFonts w:ascii="Open Sans" w:hAnsi="Open Sans" w:cs="Open Sans"/>
          <w:sz w:val="24"/>
          <w:szCs w:val="24"/>
        </w:rPr>
        <w:t xml:space="preserve">. Discute-se nos autos a natureza jurídica dos repasses realizados em favor dos empregados advogados da CEF, a título de honorários advocatícios no importe de 5% (cinco por cento), a cargo da Associação Nacional dos Advogados da Caixa Econômica Federal – ADVOCEF. Segundo a jurisprudência desta Corte Superior, os honorários sucumbenciais não ostentam natureza salarial, porque estão ligados ao próprio exercício da advocacia, e não ao contrato de trabalho. Neste sentido, a disposição constante do art. 14 do Regulamento Geral do Estatuto da </w:t>
      </w:r>
      <w:r w:rsidR="00DE32BF" w:rsidRPr="00412D8F">
        <w:rPr>
          <w:rFonts w:ascii="Open Sans" w:hAnsi="Open Sans" w:cs="Open Sans"/>
          <w:sz w:val="24"/>
          <w:szCs w:val="24"/>
        </w:rPr>
        <w:lastRenderedPageBreak/>
        <w:t xml:space="preserve">Advocacia e da OAB. </w:t>
      </w:r>
      <w:r w:rsidR="00DE32BF" w:rsidRPr="00412D8F">
        <w:rPr>
          <w:rFonts w:ascii="Open Sans" w:hAnsi="Open Sans" w:cs="Open Sans"/>
          <w:bCs/>
          <w:sz w:val="24"/>
          <w:szCs w:val="24"/>
        </w:rPr>
        <w:t>Recurso de revista conhecido e provido.” (</w:t>
      </w:r>
      <w:hyperlink r:id="rId23" w:history="1">
        <w:r w:rsidR="00DE32BF" w:rsidRPr="00412D8F">
          <w:rPr>
            <w:rStyle w:val="Hyperlink"/>
            <w:rFonts w:ascii="Open Sans" w:hAnsi="Open Sans" w:cs="Open Sans"/>
            <w:bCs/>
            <w:sz w:val="24"/>
            <w:szCs w:val="24"/>
          </w:rPr>
          <w:t>TST-ARR-10021-73.2013.5.05.0015, 8ª Turma, rel. Min. Dora Maria da Costa, julgado em 19/3/2025</w:t>
        </w:r>
      </w:hyperlink>
      <w:proofErr w:type="gramStart"/>
      <w:r w:rsidR="00DE32BF" w:rsidRPr="00412D8F">
        <w:rPr>
          <w:rFonts w:ascii="Open Sans" w:hAnsi="Open Sans" w:cs="Open Sans"/>
          <w:bCs/>
          <w:sz w:val="24"/>
          <w:szCs w:val="24"/>
        </w:rPr>
        <w:t>)</w:t>
      </w:r>
      <w:proofErr w:type="gramEnd"/>
    </w:p>
    <w:p w:rsidR="00E50AA3" w:rsidRPr="00412D8F" w:rsidRDefault="00E50AA3" w:rsidP="00412D8F">
      <w:pPr>
        <w:suppressAutoHyphens/>
        <w:adjustRightInd w:val="0"/>
        <w:ind w:left="-255" w:right="340"/>
        <w:jc w:val="both"/>
        <w:rPr>
          <w:rFonts w:ascii="Open Sans" w:hAnsi="Open Sans" w:cs="Open Sans"/>
          <w:sz w:val="24"/>
          <w:szCs w:val="24"/>
        </w:rPr>
      </w:pPr>
    </w:p>
    <w:p w:rsidR="00317454" w:rsidRPr="00412D8F" w:rsidRDefault="001B0539" w:rsidP="00412D8F">
      <w:pPr>
        <w:suppressAutoHyphens/>
        <w:ind w:left="-255" w:right="340"/>
        <w:jc w:val="both"/>
        <w:rPr>
          <w:rFonts w:ascii="Open Sans" w:hAnsi="Open Sans" w:cs="Open Sans"/>
          <w:sz w:val="24"/>
          <w:szCs w:val="24"/>
        </w:rPr>
      </w:pPr>
      <w:r>
        <w:rPr>
          <w:rFonts w:ascii="Open Sans" w:hAnsi="Open Sans" w:cs="Open Sans"/>
          <w:sz w:val="24"/>
          <w:szCs w:val="24"/>
        </w:rPr>
        <w:t xml:space="preserve">“[...] </w:t>
      </w:r>
      <w:r w:rsidR="00317454" w:rsidRPr="00412D8F">
        <w:rPr>
          <w:rFonts w:ascii="Open Sans" w:hAnsi="Open Sans" w:cs="Open Sans"/>
          <w:sz w:val="24"/>
          <w:szCs w:val="24"/>
        </w:rPr>
        <w:t xml:space="preserve">RECURSO DE REVISTA INTERPOSTO PELO RECLAMANTE. TURNOS ININTERRUPTOS DE REVEZAMENTO. VALIDADE DE NORMA COLETIVA QUE FIXOU A JORNADA DE TRABALHO EM 8 HORAS DIÁRIAS. PRESTAÇÃO HABITUAL DE HORAS EXTRAORDINÁRIAS. ATIVIDADE INSALUBRE. AUSÊNCIA DE AUTORIZAÇÃO DO MINISTÉRIO DO TRABALHO. APLICAÇÃO DO TEMA 1.046 DE REPERCUSSÃO GERAL DO STF. TRANSCENDÊNCIA JURÍDICA RECONHECIDA. O cerne da presente controvérsia gira em torno da validade de negociação coletiva que autoriza o cumprimento da jornada de 8 horas em turnos ininterruptos de revezamento, mesmo havendo prestação de horas extras habituais e ausente </w:t>
      </w:r>
      <w:proofErr w:type="gramStart"/>
      <w:r w:rsidR="00317454" w:rsidRPr="00412D8F">
        <w:rPr>
          <w:rFonts w:ascii="Open Sans" w:hAnsi="Open Sans" w:cs="Open Sans"/>
          <w:sz w:val="24"/>
          <w:szCs w:val="24"/>
        </w:rPr>
        <w:t>a</w:t>
      </w:r>
      <w:proofErr w:type="gramEnd"/>
      <w:r w:rsidR="00317454" w:rsidRPr="00412D8F">
        <w:rPr>
          <w:rFonts w:ascii="Open Sans" w:hAnsi="Open Sans" w:cs="Open Sans"/>
          <w:sz w:val="24"/>
          <w:szCs w:val="24"/>
        </w:rPr>
        <w:t xml:space="preserve"> autorização prévia do Ministério do Trabalho e Emprego para o </w:t>
      </w:r>
      <w:proofErr w:type="spellStart"/>
      <w:r w:rsidR="00317454" w:rsidRPr="00412D8F">
        <w:rPr>
          <w:rFonts w:ascii="Open Sans" w:hAnsi="Open Sans" w:cs="Open Sans"/>
          <w:sz w:val="24"/>
          <w:szCs w:val="24"/>
        </w:rPr>
        <w:t>elastecimento</w:t>
      </w:r>
      <w:proofErr w:type="spellEnd"/>
      <w:r w:rsidR="00317454" w:rsidRPr="00412D8F">
        <w:rPr>
          <w:rFonts w:ascii="Open Sans" w:hAnsi="Open Sans" w:cs="Open Sans"/>
          <w:sz w:val="24"/>
          <w:szCs w:val="24"/>
        </w:rPr>
        <w:t xml:space="preserve"> da jornada em atividade insalubre. A partir do julgamento, pelo Supremo Tribunal Federal, do ARE nº 1.121.633, processo paradigma do Tema 1.046 de Repercussão Geral, a regra geral é a da validade das normas coletivas, ainda que pactuem limitações ou afastamentos de direitos trabalhistas, desde que os direitos pactuados não sejam absolutamente indisponíveis, hipótese dos autos. Portanto, é válida norma coletiva que autoriza a prorrogação da jornada em atividade insalubre sem a autorização da autoridade competente (artigo 60 da CLT), tendo em vista não se tratar de direito de indisponibilidade absoluta, além de inexistir proibição expressa na legislação infraconstitucional para flexibilização do direito. Frise-se, também, que, em acórdão publicado no dia 18/4/2024, no RE 1.476.596, o Supremo Tribunal Federal, por unanimidade, entendeu que a extrapolação da jornada fixada em norma coletiva não acarreta sua invalidade, devendo-se aplicar, mesmo nessa hipótese, o entendimento firmado no Tema 1.046 de Repercussão Geral. Recurso de revista não conhecido.” (</w:t>
      </w:r>
      <w:hyperlink r:id="rId24" w:history="1">
        <w:r w:rsidR="00317454" w:rsidRPr="00412D8F">
          <w:rPr>
            <w:rStyle w:val="Hyperlink"/>
            <w:rFonts w:ascii="Open Sans" w:hAnsi="Open Sans" w:cs="Open Sans"/>
            <w:sz w:val="24"/>
            <w:szCs w:val="24"/>
          </w:rPr>
          <w:t xml:space="preserve">TST-ARR-10953-44.2016.5.03.0037, 8ª Turma, </w:t>
        </w:r>
        <w:proofErr w:type="gramStart"/>
        <w:r w:rsidR="00317454" w:rsidRPr="00412D8F">
          <w:rPr>
            <w:rStyle w:val="Hyperlink"/>
            <w:rFonts w:ascii="Open Sans" w:hAnsi="Open Sans" w:cs="Open Sans"/>
            <w:sz w:val="24"/>
            <w:szCs w:val="24"/>
          </w:rPr>
          <w:t>rel.</w:t>
        </w:r>
        <w:proofErr w:type="gramEnd"/>
        <w:r w:rsidR="00317454" w:rsidRPr="00412D8F">
          <w:rPr>
            <w:rStyle w:val="Hyperlink"/>
            <w:rFonts w:ascii="Open Sans" w:hAnsi="Open Sans" w:cs="Open Sans"/>
            <w:sz w:val="24"/>
            <w:szCs w:val="24"/>
          </w:rPr>
          <w:t xml:space="preserve"> Min. Dora Maria da Costa, julgado em 2/4/2025</w:t>
        </w:r>
      </w:hyperlink>
      <w:r w:rsidR="00317454" w:rsidRPr="00412D8F">
        <w:rPr>
          <w:rFonts w:ascii="Open Sans" w:hAnsi="Open Sans" w:cs="Open Sans"/>
          <w:sz w:val="24"/>
          <w:szCs w:val="24"/>
        </w:rPr>
        <w:t>)</w:t>
      </w:r>
    </w:p>
    <w:p w:rsidR="00DE32BF" w:rsidRPr="00412D8F" w:rsidRDefault="00DE32BF" w:rsidP="00412D8F">
      <w:pPr>
        <w:suppressAutoHyphens/>
        <w:adjustRightInd w:val="0"/>
        <w:ind w:left="-255" w:right="340"/>
        <w:jc w:val="both"/>
        <w:rPr>
          <w:rFonts w:ascii="Open Sans" w:hAnsi="Open Sans" w:cs="Open Sans"/>
          <w:sz w:val="24"/>
          <w:szCs w:val="24"/>
        </w:rPr>
      </w:pPr>
    </w:p>
    <w:p w:rsidR="00ED73E7" w:rsidRDefault="00ED73E7"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25"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26"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27" w:history="1">
        <w:r w:rsidRPr="003509A3">
          <w:rPr>
            <w:rStyle w:val="Hyperlink"/>
            <w:rFonts w:ascii="Open Sans" w:hAnsi="Open Sans" w:cs="Open Sans"/>
            <w:snapToGrid w:val="0"/>
            <w:sz w:val="24"/>
            <w:szCs w:val="24"/>
          </w:rPr>
          <w:t>http://www.tst.jus.br/push</w:t>
        </w:r>
      </w:hyperlink>
    </w:p>
    <w:p w:rsidR="00ED73E7" w:rsidRPr="00ED73E7" w:rsidRDefault="001A7589" w:rsidP="009E652F">
      <w:pPr>
        <w:ind w:left="-284"/>
      </w:pPr>
      <w:r>
        <w:tab/>
      </w:r>
    </w:p>
    <w:sectPr w:rsidR="00ED73E7" w:rsidRPr="00ED73E7" w:rsidSect="009F61FA">
      <w:footerReference w:type="default" r:id="rId28"/>
      <w:headerReference w:type="first" r:id="rId29"/>
      <w:footerReference w:type="first" r:id="rId30"/>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FE" w:rsidRDefault="00247AFE" w:rsidP="001A7589">
      <w:r>
        <w:separator/>
      </w:r>
    </w:p>
  </w:endnote>
  <w:endnote w:type="continuationSeparator" w:id="0">
    <w:p w:rsidR="00247AFE" w:rsidRDefault="00247AFE"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Medium">
    <w:panose1 w:val="00000000000000000000"/>
    <w:charset w:val="00"/>
    <w:family w:val="auto"/>
    <w:notTrueType/>
    <w:pitch w:val="default"/>
    <w:sig w:usb0="00000003" w:usb1="00000000" w:usb2="00000000" w:usb3="00000000" w:csb0="00000001" w:csb1="00000000"/>
  </w:font>
  <w:font w:name="OpenSans-Bold">
    <w:panose1 w:val="00000000000000000000"/>
    <w:charset w:val="00"/>
    <w:family w:val="auto"/>
    <w:notTrueType/>
    <w:pitch w:val="default"/>
    <w:sig w:usb0="00000003" w:usb1="00000000" w:usb2="00000000" w:usb3="00000000" w:csb0="00000001" w:csb1="00000000"/>
  </w:font>
  <w:font w:name="OpenSans-MediumItalic">
    <w:panose1 w:val="00000000000000000000"/>
    <w:charset w:val="00"/>
    <w:family w:val="auto"/>
    <w:notTrueType/>
    <w:pitch w:val="default"/>
    <w:sig w:usb0="00000003" w:usb1="00000000" w:usb2="00000000" w:usb3="00000000" w:csb0="00000001" w:csb1="00000000"/>
  </w:font>
  <w:font w:name="OpenSan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247AFE" w:rsidRDefault="00247AFE" w:rsidP="00ED73E7">
            <w:pPr>
              <w:pStyle w:val="Rodap"/>
              <w:pBdr>
                <w:top w:val="single" w:sz="4" w:space="1" w:color="auto"/>
              </w:pBdr>
              <w:ind w:left="-284" w:right="367"/>
              <w:jc w:val="right"/>
            </w:pPr>
            <w:r>
              <w:fldChar w:fldCharType="begin"/>
            </w:r>
            <w:r>
              <w:instrText>PAGE   \* MERGEFORMAT</w:instrText>
            </w:r>
            <w:r>
              <w:fldChar w:fldCharType="separate"/>
            </w:r>
            <w:r w:rsidR="0073503E">
              <w:rPr>
                <w:noProof/>
              </w:rPr>
              <w:t>16</w:t>
            </w:r>
            <w:r>
              <w:fldChar w:fldCharType="end"/>
            </w:r>
          </w:p>
        </w:sdtContent>
      </w:sdt>
      <w:p w:rsidR="00247AFE" w:rsidRDefault="0073503E" w:rsidP="00ED73E7">
        <w:pPr>
          <w:pStyle w:val="Rodap"/>
          <w:jc w:val="right"/>
        </w:pPr>
      </w:p>
    </w:sdtContent>
  </w:sdt>
  <w:p w:rsidR="00247AFE" w:rsidRDefault="00247AFE"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247AFE" w:rsidRDefault="00247AFE" w:rsidP="00ED73E7">
        <w:pPr>
          <w:pStyle w:val="Rodap"/>
          <w:pBdr>
            <w:top w:val="single" w:sz="4" w:space="1" w:color="auto"/>
          </w:pBdr>
          <w:ind w:left="-284" w:right="367"/>
          <w:jc w:val="right"/>
        </w:pPr>
        <w:r>
          <w:fldChar w:fldCharType="begin"/>
        </w:r>
        <w:r>
          <w:instrText>PAGE   \* MERGEFORMAT</w:instrText>
        </w:r>
        <w:r>
          <w:fldChar w:fldCharType="separate"/>
        </w:r>
        <w:r w:rsidR="0073503E">
          <w:rPr>
            <w:noProof/>
          </w:rPr>
          <w:t>1</w:t>
        </w:r>
        <w:r>
          <w:fldChar w:fldCharType="end"/>
        </w:r>
      </w:p>
    </w:sdtContent>
  </w:sdt>
  <w:p w:rsidR="00247AFE" w:rsidRDefault="00247A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FE" w:rsidRDefault="00247AFE" w:rsidP="001A7589">
      <w:r>
        <w:separator/>
      </w:r>
    </w:p>
  </w:footnote>
  <w:footnote w:type="continuationSeparator" w:id="0">
    <w:p w:rsidR="00247AFE" w:rsidRDefault="00247AFE"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FE" w:rsidRDefault="00247AFE" w:rsidP="001A7589">
    <w:pPr>
      <w:pStyle w:val="Cabealho"/>
    </w:pPr>
    <w:r>
      <w:rPr>
        <w:noProof/>
      </w:rPr>
      <mc:AlternateContent>
        <mc:Choice Requires="wps">
          <w:drawing>
            <wp:anchor distT="0" distB="0" distL="114300" distR="114300" simplePos="0" relativeHeight="251661312" behindDoc="0" locked="0" layoutInCell="0" allowOverlap="1" wp14:anchorId="6F11EF9A" wp14:editId="1E21E264">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247AFE" w:rsidRPr="00B633EE" w:rsidRDefault="00247AFE"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247AFE" w:rsidRPr="00B633EE" w:rsidRDefault="00247AFE"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14F6E6BB" wp14:editId="5EFE4396">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73503E" w:rsidRDefault="0073503E" w:rsidP="001A7589">
    <w:pPr>
      <w:pStyle w:val="Cabealho"/>
    </w:pPr>
  </w:p>
  <w:p w:rsidR="00247AFE" w:rsidRDefault="00247AFE" w:rsidP="001A7589">
    <w:pPr>
      <w:pStyle w:val="Cabealho"/>
    </w:pPr>
    <w:r w:rsidRPr="00B633EE">
      <w:rPr>
        <w:rFonts w:ascii="Open Sans" w:hAnsi="Open Sans" w:cs="Open Sans"/>
        <w:noProof/>
        <w:color w:val="006699"/>
        <w:sz w:val="30"/>
      </w:rPr>
      <w:drawing>
        <wp:inline distT="0" distB="0" distL="0" distR="0" wp14:anchorId="5133F00F" wp14:editId="508D61CA">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247AFE" w:rsidRDefault="00247AFE" w:rsidP="001A7589">
    <w:pPr>
      <w:pStyle w:val="Cabealho"/>
    </w:pPr>
  </w:p>
  <w:p w:rsidR="00247AFE" w:rsidRPr="00CE124A" w:rsidRDefault="00247AFE"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300</w:t>
    </w:r>
  </w:p>
  <w:p w:rsidR="00247AFE" w:rsidRDefault="00247AFE" w:rsidP="001A7589">
    <w:pPr>
      <w:pStyle w:val="Cabealho"/>
      <w:ind w:right="51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 xml:space="preserve">18 de março a </w:t>
    </w:r>
    <w:proofErr w:type="gramStart"/>
    <w:r>
      <w:rPr>
        <w:rFonts w:ascii="Open Sans" w:hAnsi="Open Sans" w:cs="Open Sans"/>
        <w:i/>
        <w:iCs/>
        <w:color w:val="005DA2"/>
        <w:sz w:val="22"/>
        <w:szCs w:val="22"/>
      </w:rPr>
      <w:t>3</w:t>
    </w:r>
    <w:proofErr w:type="gramEnd"/>
    <w:r>
      <w:rPr>
        <w:rFonts w:ascii="Open Sans" w:hAnsi="Open Sans" w:cs="Open Sans"/>
        <w:i/>
        <w:iCs/>
        <w:color w:val="005DA2"/>
        <w:sz w:val="22"/>
        <w:szCs w:val="22"/>
      </w:rPr>
      <w:t xml:space="preserve"> de abril de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05BF6"/>
    <w:rsid w:val="00033079"/>
    <w:rsid w:val="00034A35"/>
    <w:rsid w:val="000352E2"/>
    <w:rsid w:val="00035403"/>
    <w:rsid w:val="00061961"/>
    <w:rsid w:val="00064929"/>
    <w:rsid w:val="00067B05"/>
    <w:rsid w:val="00083E47"/>
    <w:rsid w:val="000F0EF8"/>
    <w:rsid w:val="0010138E"/>
    <w:rsid w:val="001111C7"/>
    <w:rsid w:val="00125D32"/>
    <w:rsid w:val="00137E9F"/>
    <w:rsid w:val="00185145"/>
    <w:rsid w:val="001A7589"/>
    <w:rsid w:val="001B0539"/>
    <w:rsid w:val="00215C92"/>
    <w:rsid w:val="00247AFE"/>
    <w:rsid w:val="002502C8"/>
    <w:rsid w:val="002518B4"/>
    <w:rsid w:val="00276F2F"/>
    <w:rsid w:val="00287259"/>
    <w:rsid w:val="00317454"/>
    <w:rsid w:val="00325E4F"/>
    <w:rsid w:val="00331609"/>
    <w:rsid w:val="003328DE"/>
    <w:rsid w:val="00391516"/>
    <w:rsid w:val="003B65A7"/>
    <w:rsid w:val="003E60A3"/>
    <w:rsid w:val="003E777B"/>
    <w:rsid w:val="00407B2B"/>
    <w:rsid w:val="00412D8F"/>
    <w:rsid w:val="00445815"/>
    <w:rsid w:val="004631C4"/>
    <w:rsid w:val="00483402"/>
    <w:rsid w:val="00487BA4"/>
    <w:rsid w:val="004B476A"/>
    <w:rsid w:val="004B4895"/>
    <w:rsid w:val="004D6558"/>
    <w:rsid w:val="004F5248"/>
    <w:rsid w:val="00512531"/>
    <w:rsid w:val="00513A6A"/>
    <w:rsid w:val="005762D7"/>
    <w:rsid w:val="00577BB7"/>
    <w:rsid w:val="005807AB"/>
    <w:rsid w:val="00585786"/>
    <w:rsid w:val="005D3742"/>
    <w:rsid w:val="005F1521"/>
    <w:rsid w:val="006138BD"/>
    <w:rsid w:val="00615357"/>
    <w:rsid w:val="00615440"/>
    <w:rsid w:val="00633F18"/>
    <w:rsid w:val="006672BD"/>
    <w:rsid w:val="006A6D79"/>
    <w:rsid w:val="0073503E"/>
    <w:rsid w:val="00760594"/>
    <w:rsid w:val="00767C0A"/>
    <w:rsid w:val="00776958"/>
    <w:rsid w:val="007A3ACA"/>
    <w:rsid w:val="007E13EF"/>
    <w:rsid w:val="007E429F"/>
    <w:rsid w:val="0082554B"/>
    <w:rsid w:val="00835DE4"/>
    <w:rsid w:val="008A1A5E"/>
    <w:rsid w:val="008C0DCA"/>
    <w:rsid w:val="008E2D8E"/>
    <w:rsid w:val="009304E7"/>
    <w:rsid w:val="0095342D"/>
    <w:rsid w:val="00973A60"/>
    <w:rsid w:val="00986999"/>
    <w:rsid w:val="009E652F"/>
    <w:rsid w:val="009F61FA"/>
    <w:rsid w:val="00A2029F"/>
    <w:rsid w:val="00A263A8"/>
    <w:rsid w:val="00A3374D"/>
    <w:rsid w:val="00A67396"/>
    <w:rsid w:val="00AA0AA1"/>
    <w:rsid w:val="00AA5743"/>
    <w:rsid w:val="00AD5290"/>
    <w:rsid w:val="00AE44C7"/>
    <w:rsid w:val="00AE5D32"/>
    <w:rsid w:val="00B10507"/>
    <w:rsid w:val="00B10FB2"/>
    <w:rsid w:val="00B12637"/>
    <w:rsid w:val="00B265E3"/>
    <w:rsid w:val="00B633EE"/>
    <w:rsid w:val="00BB439F"/>
    <w:rsid w:val="00BD0C91"/>
    <w:rsid w:val="00BF07E9"/>
    <w:rsid w:val="00C0369F"/>
    <w:rsid w:val="00C13CAC"/>
    <w:rsid w:val="00C160C2"/>
    <w:rsid w:val="00C3502A"/>
    <w:rsid w:val="00C41DCF"/>
    <w:rsid w:val="00C453DC"/>
    <w:rsid w:val="00C801FA"/>
    <w:rsid w:val="00C80869"/>
    <w:rsid w:val="00CC247E"/>
    <w:rsid w:val="00CF221F"/>
    <w:rsid w:val="00D054EF"/>
    <w:rsid w:val="00D1114B"/>
    <w:rsid w:val="00D62A55"/>
    <w:rsid w:val="00D663E7"/>
    <w:rsid w:val="00D73896"/>
    <w:rsid w:val="00DB5BA0"/>
    <w:rsid w:val="00DE07EF"/>
    <w:rsid w:val="00DE32BF"/>
    <w:rsid w:val="00E50607"/>
    <w:rsid w:val="00E50AA3"/>
    <w:rsid w:val="00E576F8"/>
    <w:rsid w:val="00E629B4"/>
    <w:rsid w:val="00E72651"/>
    <w:rsid w:val="00EA1890"/>
    <w:rsid w:val="00ED73E7"/>
    <w:rsid w:val="00EE6028"/>
    <w:rsid w:val="00EF3FCC"/>
    <w:rsid w:val="00F11A38"/>
    <w:rsid w:val="00F465B8"/>
    <w:rsid w:val="00F53E04"/>
    <w:rsid w:val="00F707E9"/>
    <w:rsid w:val="00FA2793"/>
    <w:rsid w:val="00FA65C5"/>
    <w:rsid w:val="00FC2B17"/>
    <w:rsid w:val="00FC7F9A"/>
    <w:rsid w:val="00FD2D30"/>
    <w:rsid w:val="00FF5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uiPriority w:val="99"/>
    <w:rsid w:val="00C453DC"/>
    <w:pPr>
      <w:ind w:left="4536"/>
      <w:jc w:val="both"/>
    </w:pPr>
    <w:rPr>
      <w:rFonts w:ascii="Open Sans" w:eastAsiaTheme="minorEastAsia" w:hAnsi="Open Sans" w:cs="Courier New"/>
      <w:color w:val="000000"/>
      <w:sz w:val="24"/>
      <w:szCs w:val="24"/>
    </w:rPr>
  </w:style>
  <w:style w:type="paragraph" w:customStyle="1" w:styleId="Default">
    <w:name w:val="Default"/>
    <w:rsid w:val="00391516"/>
    <w:pPr>
      <w:autoSpaceDE w:val="0"/>
      <w:autoSpaceDN w:val="0"/>
      <w:adjustRightInd w:val="0"/>
      <w:spacing w:after="0" w:line="240" w:lineRule="auto"/>
    </w:pPr>
    <w:rPr>
      <w:color w:val="000000"/>
      <w:sz w:val="24"/>
      <w:szCs w:val="24"/>
    </w:rPr>
  </w:style>
  <w:style w:type="paragraph" w:customStyle="1" w:styleId="ementa0">
    <w:name w:val="ementa"/>
    <w:basedOn w:val="Normal"/>
    <w:rsid w:val="00391516"/>
    <w:pPr>
      <w:autoSpaceDE/>
      <w:autoSpaceDN/>
      <w:spacing w:before="100" w:beforeAutospacing="1" w:after="100" w:afterAutospacing="1"/>
    </w:pPr>
    <w:rPr>
      <w:sz w:val="24"/>
      <w:szCs w:val="24"/>
    </w:rPr>
  </w:style>
  <w:style w:type="character" w:customStyle="1" w:styleId="fontepargpadro-000014">
    <w:name w:val="fontepargpadro-000014"/>
    <w:basedOn w:val="Fontepargpadro"/>
    <w:rsid w:val="00391516"/>
  </w:style>
  <w:style w:type="character" w:customStyle="1" w:styleId="forte">
    <w:name w:val="forte"/>
    <w:basedOn w:val="Fontepargpadro"/>
    <w:rsid w:val="00513A6A"/>
  </w:style>
  <w:style w:type="character" w:customStyle="1" w:styleId="forte-000005">
    <w:name w:val="forte-000005"/>
    <w:basedOn w:val="Fontepargpadro"/>
    <w:rsid w:val="00513A6A"/>
  </w:style>
  <w:style w:type="paragraph" w:customStyle="1" w:styleId="corpo0">
    <w:name w:val="corpo"/>
    <w:basedOn w:val="Normal"/>
    <w:rsid w:val="00BD0C91"/>
    <w:pPr>
      <w:autoSpaceDE/>
      <w:autoSpaceDN/>
      <w:spacing w:before="100" w:beforeAutospacing="1" w:after="100" w:afterAutospacing="1"/>
    </w:pPr>
    <w:rPr>
      <w:sz w:val="24"/>
      <w:szCs w:val="24"/>
    </w:rPr>
  </w:style>
  <w:style w:type="character" w:customStyle="1" w:styleId="fontepargpadro-000007-000010">
    <w:name w:val="fontepargpadro-000007-000010"/>
    <w:basedOn w:val="Fontepargpadro"/>
    <w:rsid w:val="00BD0C91"/>
  </w:style>
  <w:style w:type="character" w:customStyle="1" w:styleId="fontepargpadro-000007-000011">
    <w:name w:val="fontepargpadro-000007-000011"/>
    <w:basedOn w:val="Fontepargpadro"/>
    <w:rsid w:val="00BD0C91"/>
  </w:style>
  <w:style w:type="character" w:customStyle="1" w:styleId="fontepargpadro-000007-000012">
    <w:name w:val="fontepargpadro-000007-000012"/>
    <w:basedOn w:val="Fontepargpadro"/>
    <w:rsid w:val="00BD0C91"/>
  </w:style>
  <w:style w:type="character" w:customStyle="1" w:styleId="fontepargpadro-000015">
    <w:name w:val="fontepargpadro-000015"/>
    <w:basedOn w:val="Fontepargpadro"/>
    <w:rsid w:val="00BD0C91"/>
  </w:style>
  <w:style w:type="character" w:customStyle="1" w:styleId="fontepargpadro-000010-000010">
    <w:name w:val="fontepargpadro-000010-000010"/>
    <w:basedOn w:val="Fontepargpadro"/>
    <w:rsid w:val="00287259"/>
  </w:style>
  <w:style w:type="character" w:customStyle="1" w:styleId="fontepargpadro-000004-000011">
    <w:name w:val="fontepargpadro-000004-000011"/>
    <w:basedOn w:val="Fontepargpadro"/>
    <w:rsid w:val="00287259"/>
  </w:style>
  <w:style w:type="character" w:customStyle="1" w:styleId="fontepargpadro-000016">
    <w:name w:val="fontepargpadro-000016"/>
    <w:basedOn w:val="Fontepargpadro"/>
    <w:rsid w:val="00287259"/>
  </w:style>
  <w:style w:type="character" w:customStyle="1" w:styleId="fontepargpadro-000017">
    <w:name w:val="fontepargpadro-000017"/>
    <w:basedOn w:val="Fontepargpadro"/>
    <w:rsid w:val="00287259"/>
  </w:style>
  <w:style w:type="character" w:customStyle="1" w:styleId="fontepargpadro-000018">
    <w:name w:val="fontepargpadro-000018"/>
    <w:basedOn w:val="Fontepargpadro"/>
    <w:rsid w:val="00287259"/>
  </w:style>
  <w:style w:type="character" w:customStyle="1" w:styleId="fontepargpadro-000019">
    <w:name w:val="fontepargpadro-000019"/>
    <w:basedOn w:val="Fontepargpadro"/>
    <w:rsid w:val="000352E2"/>
  </w:style>
  <w:style w:type="character" w:customStyle="1" w:styleId="fontepargpadro-000020">
    <w:name w:val="fontepargpadro-000020"/>
    <w:basedOn w:val="Fontepargpadro"/>
    <w:rsid w:val="000352E2"/>
  </w:style>
  <w:style w:type="paragraph" w:styleId="NormalWeb">
    <w:name w:val="Normal (Web)"/>
    <w:basedOn w:val="Normal"/>
    <w:uiPriority w:val="99"/>
    <w:unhideWhenUsed/>
    <w:rsid w:val="00317454"/>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083E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uiPriority w:val="99"/>
    <w:rsid w:val="00C453DC"/>
    <w:pPr>
      <w:ind w:left="4536"/>
      <w:jc w:val="both"/>
    </w:pPr>
    <w:rPr>
      <w:rFonts w:ascii="Open Sans" w:eastAsiaTheme="minorEastAsia" w:hAnsi="Open Sans" w:cs="Courier New"/>
      <w:color w:val="000000"/>
      <w:sz w:val="24"/>
      <w:szCs w:val="24"/>
    </w:rPr>
  </w:style>
  <w:style w:type="paragraph" w:customStyle="1" w:styleId="Default">
    <w:name w:val="Default"/>
    <w:rsid w:val="00391516"/>
    <w:pPr>
      <w:autoSpaceDE w:val="0"/>
      <w:autoSpaceDN w:val="0"/>
      <w:adjustRightInd w:val="0"/>
      <w:spacing w:after="0" w:line="240" w:lineRule="auto"/>
    </w:pPr>
    <w:rPr>
      <w:color w:val="000000"/>
      <w:sz w:val="24"/>
      <w:szCs w:val="24"/>
    </w:rPr>
  </w:style>
  <w:style w:type="paragraph" w:customStyle="1" w:styleId="ementa0">
    <w:name w:val="ementa"/>
    <w:basedOn w:val="Normal"/>
    <w:rsid w:val="00391516"/>
    <w:pPr>
      <w:autoSpaceDE/>
      <w:autoSpaceDN/>
      <w:spacing w:before="100" w:beforeAutospacing="1" w:after="100" w:afterAutospacing="1"/>
    </w:pPr>
    <w:rPr>
      <w:sz w:val="24"/>
      <w:szCs w:val="24"/>
    </w:rPr>
  </w:style>
  <w:style w:type="character" w:customStyle="1" w:styleId="fontepargpadro-000014">
    <w:name w:val="fontepargpadro-000014"/>
    <w:basedOn w:val="Fontepargpadro"/>
    <w:rsid w:val="00391516"/>
  </w:style>
  <w:style w:type="character" w:customStyle="1" w:styleId="forte">
    <w:name w:val="forte"/>
    <w:basedOn w:val="Fontepargpadro"/>
    <w:rsid w:val="00513A6A"/>
  </w:style>
  <w:style w:type="character" w:customStyle="1" w:styleId="forte-000005">
    <w:name w:val="forte-000005"/>
    <w:basedOn w:val="Fontepargpadro"/>
    <w:rsid w:val="00513A6A"/>
  </w:style>
  <w:style w:type="paragraph" w:customStyle="1" w:styleId="corpo0">
    <w:name w:val="corpo"/>
    <w:basedOn w:val="Normal"/>
    <w:rsid w:val="00BD0C91"/>
    <w:pPr>
      <w:autoSpaceDE/>
      <w:autoSpaceDN/>
      <w:spacing w:before="100" w:beforeAutospacing="1" w:after="100" w:afterAutospacing="1"/>
    </w:pPr>
    <w:rPr>
      <w:sz w:val="24"/>
      <w:szCs w:val="24"/>
    </w:rPr>
  </w:style>
  <w:style w:type="character" w:customStyle="1" w:styleId="fontepargpadro-000007-000010">
    <w:name w:val="fontepargpadro-000007-000010"/>
    <w:basedOn w:val="Fontepargpadro"/>
    <w:rsid w:val="00BD0C91"/>
  </w:style>
  <w:style w:type="character" w:customStyle="1" w:styleId="fontepargpadro-000007-000011">
    <w:name w:val="fontepargpadro-000007-000011"/>
    <w:basedOn w:val="Fontepargpadro"/>
    <w:rsid w:val="00BD0C91"/>
  </w:style>
  <w:style w:type="character" w:customStyle="1" w:styleId="fontepargpadro-000007-000012">
    <w:name w:val="fontepargpadro-000007-000012"/>
    <w:basedOn w:val="Fontepargpadro"/>
    <w:rsid w:val="00BD0C91"/>
  </w:style>
  <w:style w:type="character" w:customStyle="1" w:styleId="fontepargpadro-000015">
    <w:name w:val="fontepargpadro-000015"/>
    <w:basedOn w:val="Fontepargpadro"/>
    <w:rsid w:val="00BD0C91"/>
  </w:style>
  <w:style w:type="character" w:customStyle="1" w:styleId="fontepargpadro-000010-000010">
    <w:name w:val="fontepargpadro-000010-000010"/>
    <w:basedOn w:val="Fontepargpadro"/>
    <w:rsid w:val="00287259"/>
  </w:style>
  <w:style w:type="character" w:customStyle="1" w:styleId="fontepargpadro-000004-000011">
    <w:name w:val="fontepargpadro-000004-000011"/>
    <w:basedOn w:val="Fontepargpadro"/>
    <w:rsid w:val="00287259"/>
  </w:style>
  <w:style w:type="character" w:customStyle="1" w:styleId="fontepargpadro-000016">
    <w:name w:val="fontepargpadro-000016"/>
    <w:basedOn w:val="Fontepargpadro"/>
    <w:rsid w:val="00287259"/>
  </w:style>
  <w:style w:type="character" w:customStyle="1" w:styleId="fontepargpadro-000017">
    <w:name w:val="fontepargpadro-000017"/>
    <w:basedOn w:val="Fontepargpadro"/>
    <w:rsid w:val="00287259"/>
  </w:style>
  <w:style w:type="character" w:customStyle="1" w:styleId="fontepargpadro-000018">
    <w:name w:val="fontepargpadro-000018"/>
    <w:basedOn w:val="Fontepargpadro"/>
    <w:rsid w:val="00287259"/>
  </w:style>
  <w:style w:type="character" w:customStyle="1" w:styleId="fontepargpadro-000019">
    <w:name w:val="fontepargpadro-000019"/>
    <w:basedOn w:val="Fontepargpadro"/>
    <w:rsid w:val="000352E2"/>
  </w:style>
  <w:style w:type="character" w:customStyle="1" w:styleId="fontepargpadro-000020">
    <w:name w:val="fontepargpadro-000020"/>
    <w:basedOn w:val="Fontepargpadro"/>
    <w:rsid w:val="000352E2"/>
  </w:style>
  <w:style w:type="paragraph" w:styleId="NormalWeb">
    <w:name w:val="Normal (Web)"/>
    <w:basedOn w:val="Normal"/>
    <w:uiPriority w:val="99"/>
    <w:unhideWhenUsed/>
    <w:rsid w:val="00317454"/>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083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9722">
      <w:bodyDiv w:val="1"/>
      <w:marLeft w:val="0"/>
      <w:marRight w:val="0"/>
      <w:marTop w:val="0"/>
      <w:marBottom w:val="0"/>
      <w:divBdr>
        <w:top w:val="none" w:sz="0" w:space="0" w:color="auto"/>
        <w:left w:val="none" w:sz="0" w:space="0" w:color="auto"/>
        <w:bottom w:val="none" w:sz="0" w:space="0" w:color="auto"/>
        <w:right w:val="none" w:sz="0" w:space="0" w:color="auto"/>
      </w:divBdr>
    </w:div>
    <w:div w:id="1534078381">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20021&amp;digitoTst=57&amp;anoTst=2016&amp;orgaoTst=5&amp;tribunalTst=04&amp;varaTst=0015" TargetMode="External"/><Relationship Id="rId13" Type="http://schemas.openxmlformats.org/officeDocument/2006/relationships/hyperlink" Target="https://consultaprocessual.tst.jus.br/consultaProcessual/consultaTstNumUnica.do?consulta=Consultar&amp;conscsjt=&amp;numeroTst=12645&amp;digitoTst=26&amp;anoTst=2019&amp;orgaoTst=5&amp;tribunalTst=18&amp;varaTst=0241" TargetMode="External"/><Relationship Id="rId18" Type="http://schemas.openxmlformats.org/officeDocument/2006/relationships/hyperlink" Target="https://pje.tst.jus.br/consultaprocessual/detalhe-processo/0000142-40.2021.5.17.0011/3" TargetMode="External"/><Relationship Id="rId26" Type="http://schemas.openxmlformats.org/officeDocument/2006/relationships/hyperlink" Target="http://www.tst.jus.br/web/guest/informativo-tst"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100039&amp;digitoTst=53&amp;anoTst=2019&amp;orgaoTst=5&amp;tribunalTst=01&amp;varaTst=0206" TargetMode="External"/><Relationship Id="rId7" Type="http://schemas.openxmlformats.org/officeDocument/2006/relationships/endnotes" Target="endnotes.xml"/><Relationship Id="rId12" Type="http://schemas.openxmlformats.org/officeDocument/2006/relationships/hyperlink" Target="https://pje.tst.jus.br/consultaprocessual/detalhe-processo/0000416-46.2022.5.05.0029/3" TargetMode="External"/><Relationship Id="rId17" Type="http://schemas.openxmlformats.org/officeDocument/2006/relationships/hyperlink" Target="https://pje.tst.jus.br/consultaprocessual/detalhe-processo/1001320-14.2023.5.02.0606/3" TargetMode="External"/><Relationship Id="rId25" Type="http://schemas.openxmlformats.org/officeDocument/2006/relationships/hyperlink" Target="mailto:cjur@tst.jus.br" TargetMode="Externa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837&amp;digitoTst=80&amp;anoTst=2020&amp;orgaoTst=5&amp;tribunalTst=19&amp;varaTst=0008&amp;submit=Consultar" TargetMode="External"/><Relationship Id="rId20" Type="http://schemas.openxmlformats.org/officeDocument/2006/relationships/hyperlink" Target="https://consultaprocessual.tst.jus.br/consultaProcessual/consultaTstNumUnica.do?consulta=Consultar&amp;conscsjt=&amp;numeroTst=1001251&amp;digitoTst=63&amp;anoTst=2016&amp;orgaoTst=5&amp;tribunalTst=02&amp;varaTst=043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20477&amp;digitoTst=69&amp;anoTst=2017&amp;orgaoTst=5&amp;tribunalTst=04&amp;varaTst=0371&amp;submit=Consultar" TargetMode="External"/><Relationship Id="rId24" Type="http://schemas.openxmlformats.org/officeDocument/2006/relationships/hyperlink" Target="https://consultaprocessual.tst.jus.br/consultaProcessual/consultaTstNumUnica.do?consulta=Consultar&amp;conscsjt=&amp;numeroTst=10953&amp;digitoTst=44&amp;anoTst=2016&amp;orgaoTst=5&amp;tribunalTst=03&amp;varaTst=003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20100&amp;digitoTst=04&amp;anoTst=2005&amp;orgaoTst=5&amp;tribunalTst=17&amp;varaTst=0001" TargetMode="External"/><Relationship Id="rId23" Type="http://schemas.openxmlformats.org/officeDocument/2006/relationships/hyperlink" Target="https://consultaprocessual.tst.jus.br/consultaProcessual/consultaTstNumUnica.do?consulta=Consultar&amp;conscsjt=&amp;numeroTst=10021&amp;digitoTst=73&amp;anoTst=2013&amp;orgaoTst=5&amp;tribunalTst=05&amp;varaTst=0015" TargetMode="External"/><Relationship Id="rId28" Type="http://schemas.openxmlformats.org/officeDocument/2006/relationships/footer" Target="footer1.xml"/><Relationship Id="rId10" Type="http://schemas.openxmlformats.org/officeDocument/2006/relationships/hyperlink" Target="https://pje.tst.jus.br/consultaprocessual/detalhe-processo/0000992-21.2023.5.07.0038/3" TargetMode="External"/><Relationship Id="rId19" Type="http://schemas.openxmlformats.org/officeDocument/2006/relationships/hyperlink" Target="https://consultaprocessual.tst.jus.br/consultaProcessual/consultaTstNumUnica.do?consulta=Consultar&amp;conscsjt=&amp;numeroTst=1371&amp;digitoTst=84&amp;anoTst=2011&amp;orgaoTst=5&amp;tribunalTst=05&amp;varaTst=00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2160&amp;digitoTst=81&amp;anoTst=2016&amp;orgaoTst=5&amp;tribunalTst=03&amp;varaTst=0036&amp;submit=Consultar" TargetMode="External"/><Relationship Id="rId14" Type="http://schemas.openxmlformats.org/officeDocument/2006/relationships/hyperlink" Target="https://pje.tst.jus.br/consultaprocessual/detalhe-processo/0091300-67.1998.5.02.0055/3" TargetMode="External"/><Relationship Id="rId22" Type="http://schemas.openxmlformats.org/officeDocument/2006/relationships/hyperlink" Target="https://consultaprocessual.tst.jus.br/consultaProcessual/consultaTstNumUnica.do?consulta=Consultar&amp;conscsjt=&amp;numeroTst=17&amp;digitoTst=21&amp;anoTst=2015&amp;orgaoTst=5&amp;tribunalTst=05&amp;varaTst=0010&amp;submit=Consultar" TargetMode="External"/><Relationship Id="rId27" Type="http://schemas.openxmlformats.org/officeDocument/2006/relationships/hyperlink" Target="http://www.tst.jus.br/push"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8FD1-4C94-41E4-A0CA-B2C8F1BD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9103</Words>
  <Characters>49157</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Andressa Santos Gomes Leonel</cp:lastModifiedBy>
  <cp:revision>10</cp:revision>
  <dcterms:created xsi:type="dcterms:W3CDTF">2025-05-12T17:32:00Z</dcterms:created>
  <dcterms:modified xsi:type="dcterms:W3CDTF">2025-05-16T12:59:00Z</dcterms:modified>
</cp:coreProperties>
</file>