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CC3A82" w:rsidTr="00CC3A82">
        <w:trPr>
          <w:trHeight w:val="537"/>
        </w:trPr>
        <w:tc>
          <w:tcPr>
            <w:tcW w:w="9782" w:type="dxa"/>
            <w:tcBorders>
              <w:top w:val="single" w:sz="4" w:space="0" w:color="auto"/>
            </w:tcBorders>
          </w:tcPr>
          <w:p w:rsidR="001A7589" w:rsidRPr="00CC3A82" w:rsidRDefault="001A7589" w:rsidP="009E652F">
            <w:pPr>
              <w:pStyle w:val="Cabealho"/>
              <w:tabs>
                <w:tab w:val="clear" w:pos="4419"/>
                <w:tab w:val="clear" w:pos="8838"/>
              </w:tabs>
              <w:ind w:left="-70" w:right="-70"/>
              <w:jc w:val="both"/>
              <w:rPr>
                <w:rFonts w:ascii="Open Sans" w:hAnsi="Open Sans" w:cs="Open Sans"/>
              </w:rPr>
            </w:pPr>
            <w:r w:rsidRPr="00CC3A82">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CC3A82" w:rsidRDefault="009E652F" w:rsidP="009E652F">
            <w:pPr>
              <w:pStyle w:val="Cabealho"/>
              <w:tabs>
                <w:tab w:val="clear" w:pos="4419"/>
                <w:tab w:val="clear" w:pos="8838"/>
              </w:tabs>
              <w:ind w:left="-70" w:right="-70"/>
              <w:jc w:val="both"/>
              <w:rPr>
                <w:rFonts w:ascii="Open Sans" w:hAnsi="Open Sans" w:cs="Open Sans"/>
              </w:rPr>
            </w:pPr>
          </w:p>
        </w:tc>
      </w:tr>
    </w:tbl>
    <w:p w:rsidR="001A7589" w:rsidRPr="00CC3A82" w:rsidRDefault="001A7589" w:rsidP="00067B05">
      <w:pPr>
        <w:pStyle w:val="Ttulo1"/>
        <w:spacing w:before="0"/>
        <w:ind w:left="-227" w:right="369"/>
        <w:rPr>
          <w:rFonts w:cs="Open Sans"/>
        </w:rPr>
      </w:pPr>
      <w:r w:rsidRPr="00CC3A82">
        <w:rPr>
          <w:rFonts w:cs="Open Sans"/>
        </w:rPr>
        <w:t>SUBSEÇÃO II ESPECIALIZADA EM DISSÍDIOS INDIVIDUAIS</w:t>
      </w:r>
    </w:p>
    <w:p w:rsidR="009E652F" w:rsidRDefault="009E652F" w:rsidP="008E7617">
      <w:pPr>
        <w:suppressAutoHyphens/>
        <w:ind w:left="-227" w:right="369"/>
        <w:jc w:val="both"/>
        <w:rPr>
          <w:rFonts w:ascii="Open Sans" w:hAnsi="Open Sans" w:cs="Open Sans"/>
          <w:b/>
          <w:color w:val="000000"/>
          <w:sz w:val="24"/>
          <w:szCs w:val="24"/>
        </w:rPr>
      </w:pPr>
    </w:p>
    <w:p w:rsidR="008E7617" w:rsidRPr="008E7617" w:rsidRDefault="008E7617" w:rsidP="008E7617">
      <w:pPr>
        <w:suppressAutoHyphens/>
        <w:ind w:left="-227" w:right="369"/>
        <w:jc w:val="both"/>
        <w:rPr>
          <w:rFonts w:ascii="Open Sans" w:hAnsi="Open Sans" w:cs="Open Sans"/>
          <w:b/>
          <w:i/>
          <w:color w:val="000000"/>
          <w:sz w:val="24"/>
          <w:szCs w:val="24"/>
        </w:rPr>
      </w:pPr>
      <w:r w:rsidRPr="008E7617">
        <w:rPr>
          <w:rFonts w:ascii="Open Sans" w:hAnsi="Open Sans" w:cs="Open Sans"/>
          <w:b/>
          <w:i/>
          <w:color w:val="000000"/>
          <w:sz w:val="24"/>
          <w:szCs w:val="24"/>
        </w:rPr>
        <w:t>Conflito de competência. Execução. Carta precatória. Alienação de bem imóvel. Competência do juízo deprecante.</w:t>
      </w:r>
    </w:p>
    <w:p w:rsidR="008E7617" w:rsidRPr="008E7617" w:rsidRDefault="008E7617" w:rsidP="008E7617">
      <w:pPr>
        <w:suppressAutoHyphens/>
        <w:ind w:left="-227" w:right="369"/>
        <w:jc w:val="both"/>
        <w:rPr>
          <w:rFonts w:ascii="Open Sans" w:hAnsi="Open Sans" w:cs="Open Sans"/>
          <w:color w:val="000000"/>
          <w:sz w:val="24"/>
          <w:szCs w:val="24"/>
        </w:rPr>
      </w:pPr>
      <w:r w:rsidRPr="008E7617">
        <w:rPr>
          <w:rFonts w:ascii="Open Sans" w:hAnsi="Open Sans" w:cs="Open Sans"/>
          <w:color w:val="000000"/>
          <w:sz w:val="24"/>
          <w:szCs w:val="24"/>
        </w:rPr>
        <w:t xml:space="preserve">É legítima a recusa de cumprimento de carta precatória, pelo juízo deprecado, quanto à prática de atos executivos relacionados ao leilão de imóvel, mormente quando o juízo da execução possui a documentação necessária para a realização dos atos tendentes à expropriação do bem. No caso, o juízo da situação do bem se recusou a cumprir a carta precatória após realizar a penhora, avaliação e reavaliação do imóvel indicado pelo juízo da execução. Diante da ausência de justificativa do Juízo deprecante para não realizar a alienação do imóvel por meio eletrônico, deve prevalecer </w:t>
      </w:r>
      <w:proofErr w:type="gramStart"/>
      <w:r w:rsidRPr="008E7617">
        <w:rPr>
          <w:rFonts w:ascii="Open Sans" w:hAnsi="Open Sans" w:cs="Open Sans"/>
          <w:color w:val="000000"/>
          <w:sz w:val="24"/>
          <w:szCs w:val="24"/>
        </w:rPr>
        <w:t>a</w:t>
      </w:r>
      <w:proofErr w:type="gramEnd"/>
      <w:r w:rsidRPr="008E7617">
        <w:rPr>
          <w:rFonts w:ascii="Open Sans" w:hAnsi="Open Sans" w:cs="Open Sans"/>
          <w:color w:val="000000"/>
          <w:sz w:val="24"/>
          <w:szCs w:val="24"/>
        </w:rPr>
        <w:t xml:space="preserve"> jurisprudência do Superior Tribunal de Justiça, no sentido de reconhecer a competência do juízo da execução para o leilão judicial. Sob esses fundamentos, a SBDI-II, por maioria</w:t>
      </w:r>
      <w:r w:rsidRPr="008E7617">
        <w:rPr>
          <w:rFonts w:ascii="Open Sans" w:hAnsi="Open Sans" w:cs="Courier New"/>
          <w:color w:val="000000"/>
          <w:sz w:val="24"/>
          <w:szCs w:val="24"/>
        </w:rPr>
        <w:t xml:space="preserve">, admitiu o Conflito Negativo de Competência e declarou a competência do Juízo da 33ª Vara do Trabalho de São Paulo, suscitante, para a realização do leilão judicial do bem imóvel de propriedade da sócia executada localizado na cidade de Atibaia. Vencidos os Ministros Sérgio Pinto Martins e Aloysio Corrêa da Veiga e a Ministra Dora Maria da Costa. </w:t>
      </w:r>
      <w:hyperlink r:id="rId8" w:history="1">
        <w:r>
          <w:rPr>
            <w:rFonts w:ascii="Open Sans" w:hAnsi="Open Sans" w:cs="Courier New"/>
            <w:color w:val="0000FF" w:themeColor="hyperlink"/>
            <w:sz w:val="24"/>
            <w:szCs w:val="24"/>
            <w:u w:val="single"/>
          </w:rPr>
          <w:t xml:space="preserve">TST-CCCiv-1000874-40.2023.5.00.0000, SBDI-II, rel. Min. Luiz José Dezena da Silva, </w:t>
        </w:r>
        <w:r w:rsidR="00FC3CE8">
          <w:rPr>
            <w:rFonts w:ascii="Open Sans" w:hAnsi="Open Sans" w:cs="Courier New"/>
            <w:color w:val="0000FF" w:themeColor="hyperlink"/>
            <w:sz w:val="24"/>
            <w:szCs w:val="24"/>
            <w:u w:val="single"/>
          </w:rPr>
          <w:t xml:space="preserve">3/9/2024. </w:t>
        </w:r>
      </w:hyperlink>
    </w:p>
    <w:p w:rsidR="008E7617" w:rsidRPr="00CC3A82" w:rsidRDefault="008E7617" w:rsidP="008E7617">
      <w:pPr>
        <w:suppressAutoHyphens/>
        <w:ind w:left="-227" w:right="369"/>
        <w:jc w:val="both"/>
        <w:rPr>
          <w:rFonts w:ascii="Open Sans" w:hAnsi="Open Sans" w:cs="Open Sans"/>
          <w:b/>
          <w:color w:val="000000"/>
          <w:sz w:val="24"/>
          <w:szCs w:val="24"/>
        </w:rPr>
      </w:pPr>
    </w:p>
    <w:p w:rsidR="000D41CE" w:rsidRPr="000D41CE" w:rsidRDefault="000D41CE" w:rsidP="008E7617">
      <w:pPr>
        <w:suppressAutoHyphens/>
        <w:ind w:left="-227" w:right="369"/>
        <w:jc w:val="both"/>
        <w:rPr>
          <w:rFonts w:ascii="Open Sans" w:hAnsi="Open Sans" w:cs="Open Sans"/>
          <w:b/>
          <w:bCs/>
          <w:i/>
          <w:iCs/>
          <w:color w:val="000000"/>
          <w:sz w:val="24"/>
          <w:szCs w:val="24"/>
        </w:rPr>
      </w:pPr>
      <w:r w:rsidRPr="000D41CE">
        <w:rPr>
          <w:rFonts w:ascii="Open Sans" w:hAnsi="Open Sans" w:cs="Open Sans"/>
          <w:b/>
          <w:bCs/>
          <w:i/>
          <w:iCs/>
          <w:color w:val="000000"/>
          <w:sz w:val="24"/>
          <w:szCs w:val="24"/>
        </w:rPr>
        <w:t>Agravo em recurso ordinário em mandado de segurança. Reserva de créditos em processos judiciais da Justiça Comum Estadual. Possibilidade. Poder geral de cautela.</w:t>
      </w:r>
    </w:p>
    <w:p w:rsidR="009E652F" w:rsidRPr="000D41CE" w:rsidRDefault="000D41CE" w:rsidP="008E7617">
      <w:pPr>
        <w:suppressAutoHyphens/>
        <w:ind w:left="-227" w:right="369"/>
        <w:jc w:val="both"/>
        <w:rPr>
          <w:rFonts w:ascii="Open Sans" w:hAnsi="Open Sans" w:cs="Open Sans"/>
          <w:bCs/>
          <w:iCs/>
          <w:color w:val="000000"/>
          <w:sz w:val="24"/>
          <w:szCs w:val="24"/>
        </w:rPr>
      </w:pPr>
      <w:r w:rsidRPr="000D41CE">
        <w:rPr>
          <w:rFonts w:ascii="Open Sans" w:hAnsi="Open Sans" w:cs="Open Sans"/>
          <w:bCs/>
          <w:iCs/>
          <w:sz w:val="24"/>
          <w:szCs w:val="24"/>
        </w:rPr>
        <w:t>No exercício do poder geral de cautela, o juízo trabalhista pode determinar a reserva de créditos em demandas judiciais da Justiça Comum Estadual. No caso, além de os impetrantes terem sido subsidiariamente responsabilizados por obrigações pecuniárias em sentenças já transitadas em julgado, são credores em processos que tramitam na Justiça Comum e restaram infrutíferas as tentativas</w:t>
      </w:r>
      <w:r w:rsidR="00A7423D">
        <w:rPr>
          <w:rFonts w:ascii="Open Sans" w:hAnsi="Open Sans" w:cs="Open Sans"/>
          <w:bCs/>
          <w:iCs/>
          <w:sz w:val="24"/>
          <w:szCs w:val="24"/>
        </w:rPr>
        <w:t xml:space="preserve"> de</w:t>
      </w:r>
      <w:r w:rsidRPr="000D41CE">
        <w:rPr>
          <w:rFonts w:ascii="Open Sans" w:hAnsi="Open Sans" w:cs="Open Sans"/>
          <w:bCs/>
          <w:iCs/>
          <w:sz w:val="24"/>
          <w:szCs w:val="24"/>
        </w:rPr>
        <w:t xml:space="preserve"> satisfação dos </w:t>
      </w:r>
      <w:r w:rsidRPr="000D41CE">
        <w:rPr>
          <w:rFonts w:ascii="Open Sans" w:hAnsi="Open Sans" w:cs="Open Sans"/>
          <w:bCs/>
          <w:iCs/>
          <w:sz w:val="24"/>
          <w:szCs w:val="24"/>
        </w:rPr>
        <w:lastRenderedPageBreak/>
        <w:t xml:space="preserve">créditos trabalhistas em face dos devedores principais. </w:t>
      </w:r>
      <w:r w:rsidRPr="000D41CE">
        <w:rPr>
          <w:rFonts w:ascii="Open Sans" w:hAnsi="Open Sans" w:cs="Open Sans"/>
          <w:sz w:val="24"/>
          <w:szCs w:val="24"/>
        </w:rPr>
        <w:t xml:space="preserve">Sob esses fundamentos, a SBDI-II, por unanimidade, conheceu do agravo e, no mérito, negou-lhe provimento, mantendo a decisão monocrática que denegou a segurança postulada. </w:t>
      </w:r>
      <w:hyperlink r:id="rId9" w:anchor="e1507b5" w:history="1">
        <w:r w:rsidRPr="000D41CE">
          <w:rPr>
            <w:rFonts w:ascii="Open Sans" w:hAnsi="Open Sans" w:cs="Open Sans"/>
            <w:color w:val="0000FF" w:themeColor="hyperlink"/>
            <w:sz w:val="24"/>
            <w:szCs w:val="24"/>
            <w:u w:val="single"/>
          </w:rPr>
          <w:t xml:space="preserve">TST-Ag-ROT-0016304-44.2019.5.16.0000, SBDI-II, rel. Min. Morgana de Almeida </w:t>
        </w:r>
        <w:proofErr w:type="spellStart"/>
        <w:r w:rsidRPr="000D41CE">
          <w:rPr>
            <w:rFonts w:ascii="Open Sans" w:hAnsi="Open Sans" w:cs="Open Sans"/>
            <w:color w:val="0000FF" w:themeColor="hyperlink"/>
            <w:sz w:val="24"/>
            <w:szCs w:val="24"/>
            <w:u w:val="single"/>
          </w:rPr>
          <w:t>Richa</w:t>
        </w:r>
        <w:proofErr w:type="spellEnd"/>
        <w:r w:rsidRPr="000D41CE">
          <w:rPr>
            <w:rFonts w:ascii="Open Sans" w:hAnsi="Open Sans" w:cs="Open Sans"/>
            <w:color w:val="0000FF" w:themeColor="hyperlink"/>
            <w:sz w:val="24"/>
            <w:szCs w:val="24"/>
            <w:u w:val="single"/>
          </w:rPr>
          <w:t xml:space="preserve">, julgado em 10/9/2024. </w:t>
        </w:r>
      </w:hyperlink>
    </w:p>
    <w:p w:rsidR="000D41CE" w:rsidRDefault="000D41CE" w:rsidP="008E7617">
      <w:pPr>
        <w:suppressAutoHyphens/>
        <w:ind w:left="-227" w:right="369"/>
        <w:jc w:val="both"/>
        <w:rPr>
          <w:rFonts w:ascii="Open Sans" w:hAnsi="Open Sans" w:cs="Open Sans"/>
          <w:color w:val="000000"/>
          <w:sz w:val="24"/>
          <w:szCs w:val="24"/>
        </w:rPr>
      </w:pPr>
    </w:p>
    <w:p w:rsidR="001A7589" w:rsidRPr="00CC3A82" w:rsidRDefault="001A7589" w:rsidP="00067B05">
      <w:pPr>
        <w:pStyle w:val="Ttulo1"/>
        <w:spacing w:before="0"/>
        <w:ind w:left="-227" w:right="369"/>
        <w:rPr>
          <w:rFonts w:cs="Open Sans"/>
        </w:rPr>
      </w:pPr>
      <w:r w:rsidRPr="00CC3A82">
        <w:rPr>
          <w:rFonts w:cs="Open Sans"/>
        </w:rPr>
        <w:t>TURMAS</w:t>
      </w:r>
    </w:p>
    <w:p w:rsidR="00ED73E7" w:rsidRPr="00CC3A82" w:rsidRDefault="001A7589" w:rsidP="00067B05">
      <w:pPr>
        <w:pStyle w:val="Cabealho"/>
        <w:tabs>
          <w:tab w:val="clear" w:pos="4419"/>
          <w:tab w:val="clear" w:pos="8838"/>
        </w:tabs>
        <w:ind w:left="-227" w:right="369" w:firstLine="142"/>
        <w:jc w:val="center"/>
        <w:rPr>
          <w:rFonts w:ascii="Open Sans" w:hAnsi="Open Sans" w:cs="Open Sans"/>
          <w:i/>
        </w:rPr>
      </w:pPr>
      <w:r w:rsidRPr="00CC3A82">
        <w:rPr>
          <w:rFonts w:ascii="Open Sans" w:hAnsi="Open Sans" w:cs="Open Sans"/>
          <w:i/>
        </w:rPr>
        <w:t>Transcrição de ementas selecionadas nas sessões de julgamento das Turmas do TST.</w:t>
      </w:r>
    </w:p>
    <w:p w:rsidR="002518B4" w:rsidRPr="00BE2C73" w:rsidRDefault="002518B4" w:rsidP="00067B05">
      <w:pPr>
        <w:ind w:left="-227" w:right="369"/>
        <w:jc w:val="both"/>
        <w:rPr>
          <w:rFonts w:ascii="Open Sans" w:hAnsi="Open Sans" w:cs="Open Sans"/>
          <w:sz w:val="24"/>
          <w:szCs w:val="24"/>
        </w:rPr>
      </w:pPr>
    </w:p>
    <w:p w:rsidR="002518B4" w:rsidRPr="00BE2C73" w:rsidRDefault="00CC3A82" w:rsidP="00067B05">
      <w:pPr>
        <w:ind w:left="-227" w:right="369"/>
        <w:jc w:val="both"/>
        <w:rPr>
          <w:rFonts w:ascii="Open Sans" w:hAnsi="Open Sans" w:cs="Open Sans"/>
          <w:sz w:val="24"/>
          <w:szCs w:val="24"/>
        </w:rPr>
      </w:pPr>
      <w:r w:rsidRPr="00BE2C73">
        <w:rPr>
          <w:rFonts w:ascii="Open Sans" w:hAnsi="Open Sans" w:cs="Open Sans"/>
          <w:sz w:val="24"/>
          <w:szCs w:val="24"/>
        </w:rPr>
        <w:t xml:space="preserve">“RECURSO DE REVISTA INTERPOSTO SOB A ÉGIDE DA LEI Nº 13.467/2017 - COMPETÊNCIA DA JUSTIÇA DO TRABALHO – DESASTRE AMBIENTAL PELA EXTRAÇÃO DE MINÉRIO – DESOCUPAÇÃO DA ÁREA - REDUÇÃO DO FLUXO DE PESSOAS E DA ECONOMIA DO LOCAL – DIFICULDADES FINANCEIRAS DA EMPREGADORA – ATRASOS NO PAGAMENTO E EXTINÇÃO DO CONTRATO DE TRABALHO DA RECLAMANTE – RESPONSABILIZAÇÃO DA EMPRESA QUE DEU CAUSA – APLICAÇÃO ANALÓGICA DA TEORIA DO FATO DO PRÍNCIPE – APLICAÇÃO DA TEORIA DO POLUIDOR-PAGADOR – RESPONSABILIZAÇÃO EM VÁRIAS ESFERAS SOCIAIS - TEORIA DA ASSERÇÃO - DEFINIÇÃO DA COMPETÊNCIA A PARTIR DA CAUSA DE PEDIR E DO PEDIDO – TEMA AFETO À COMPETÊNCIA MATERIAL E ABSOLUTA DA JUSTIÇA DO TRABALHO. </w:t>
      </w:r>
      <w:proofErr w:type="gramStart"/>
      <w:r w:rsidRPr="00BE2C73">
        <w:rPr>
          <w:rFonts w:ascii="Open Sans" w:hAnsi="Open Sans" w:cs="Open Sans"/>
          <w:sz w:val="24"/>
          <w:szCs w:val="24"/>
        </w:rPr>
        <w:t>1</w:t>
      </w:r>
      <w:proofErr w:type="gramEnd"/>
      <w:r w:rsidRPr="00BE2C73">
        <w:rPr>
          <w:rFonts w:ascii="Open Sans" w:hAnsi="Open Sans" w:cs="Open Sans"/>
          <w:sz w:val="24"/>
          <w:szCs w:val="24"/>
        </w:rPr>
        <w:t xml:space="preserve">. Segundo o quadro fático delimitado pelo acórdão regional, o caso envolve o atraso nos pagamentos e a ausência da quitação das verbas trabalhistas de empregada que teve seu contrato de trabalho rescindido após a empregadora sofrer impactos do dano ambiental causado na região pela segunda reclamada, Braskem S.A. Em que pese não haver relação de trabalho entre a reclamante e a segunda reclamada, o TRT consignou que a inadimplência está diretamente relacionada à degradação ambiental causada pela empresa mineradora, que </w:t>
      </w:r>
      <w:r w:rsidR="00546107">
        <w:rPr>
          <w:rFonts w:ascii="Open Sans" w:hAnsi="Open Sans" w:cs="Open Sans"/>
          <w:sz w:val="24"/>
          <w:szCs w:val="24"/>
        </w:rPr>
        <w:t>‘</w:t>
      </w:r>
      <w:r w:rsidRPr="00BE2C73">
        <w:rPr>
          <w:rFonts w:ascii="Open Sans" w:hAnsi="Open Sans" w:cs="Open Sans"/>
          <w:sz w:val="24"/>
          <w:szCs w:val="24"/>
        </w:rPr>
        <w:t xml:space="preserve">em virtude de sua atuação na prospecção do sal-gema, causou impacto ambiental em nível subterrâneo, e que implicou na remoção da população dos bairros atingidos, </w:t>
      </w:r>
      <w:proofErr w:type="spellStart"/>
      <w:r w:rsidRPr="00BE2C73">
        <w:rPr>
          <w:rFonts w:ascii="Open Sans" w:hAnsi="Open Sans" w:cs="Open Sans"/>
          <w:sz w:val="24"/>
          <w:szCs w:val="24"/>
        </w:rPr>
        <w:t>relocando-os</w:t>
      </w:r>
      <w:proofErr w:type="spellEnd"/>
      <w:r w:rsidRPr="00BE2C73">
        <w:rPr>
          <w:rFonts w:ascii="Open Sans" w:hAnsi="Open Sans" w:cs="Open Sans"/>
          <w:sz w:val="24"/>
          <w:szCs w:val="24"/>
        </w:rPr>
        <w:t xml:space="preserve"> para outros lugares distantes dos pontos mapeados de riscos.</w:t>
      </w:r>
      <w:r w:rsidR="00546107">
        <w:rPr>
          <w:rFonts w:ascii="Open Sans" w:hAnsi="Open Sans" w:cs="Open Sans"/>
          <w:sz w:val="24"/>
          <w:szCs w:val="24"/>
        </w:rPr>
        <w:t>’</w:t>
      </w:r>
      <w:r w:rsidRPr="00BE2C73">
        <w:rPr>
          <w:rFonts w:ascii="Open Sans" w:hAnsi="Open Sans" w:cs="Open Sans"/>
          <w:sz w:val="24"/>
          <w:szCs w:val="24"/>
        </w:rPr>
        <w:t xml:space="preserve">. 2. É de se aplicar, à espécie, por analogia, a teoria do fato do príncipe. Indubitavelmente, a responsabilização da Administração Pública na ocorrência de fato do príncipe é matéria processada e julgada pela Justiça do Trabalho, porquanto o fundamento do pedido está assente em uma relação de emprego e em razão da natureza trabalhista da indenização perseguida. Precedentes. Ainda que a Reclamada Braskem S.A. não se caracterize como ente público, sua atuação e as consequências de sua atividade econômica, no caso dos autos, encontram semelhanças a partir </w:t>
      </w:r>
      <w:proofErr w:type="gramStart"/>
      <w:r w:rsidRPr="00BE2C73">
        <w:rPr>
          <w:rFonts w:ascii="Open Sans" w:hAnsi="Open Sans" w:cs="Open Sans"/>
          <w:sz w:val="24"/>
          <w:szCs w:val="24"/>
        </w:rPr>
        <w:t>da</w:t>
      </w:r>
      <w:proofErr w:type="gramEnd"/>
      <w:r w:rsidRPr="00BE2C73">
        <w:rPr>
          <w:rFonts w:ascii="Open Sans" w:hAnsi="Open Sans" w:cs="Open Sans"/>
          <w:sz w:val="24"/>
          <w:szCs w:val="24"/>
        </w:rPr>
        <w:t xml:space="preserve"> identidade com os elementos exigidos pela Teoria do Fato do Príncipe, atraindo, assim, a competência desta Justiça Especializada. Os mesmos requisitos da teoria do fato do príncipe estão presentes na hipótese em análise: fato inevitável (desocupação da área em razão da degradação ambiental); ausência de culpa do empregador (primeira Reclamada); e impossibilidade de continuação do contrato de trabalho da reclamante. Tudo isso pela atuação de um terceiro que não integra a relação bilateral do contrato de trabalho (no caso, a segunda Reclamada, Braskem S.A.). É evidente, nesse contexto, a competência da Justiça do Trabalho, na forma do art. 114 da Constituição Federal, para apreciar a responsabilidade da segunda Reclamada. 3. Ademais, a competência da Justiça do Trabalho advém dos artigos 2º e 3º da Lei nº 9.605/98 (Lei dos Crimes Ambientais), que consagrou o </w:t>
      </w:r>
      <w:r w:rsidRPr="00BE2C73">
        <w:rPr>
          <w:rFonts w:ascii="Open Sans" w:hAnsi="Open Sans" w:cs="Open Sans"/>
          <w:sz w:val="24"/>
          <w:szCs w:val="24"/>
        </w:rPr>
        <w:lastRenderedPageBreak/>
        <w:t xml:space="preserve">princípio do poluidor-pagador. Os dispositivos determinam que o causador de dano ambiental </w:t>
      </w:r>
      <w:proofErr w:type="gramStart"/>
      <w:r w:rsidRPr="00BE2C73">
        <w:rPr>
          <w:rFonts w:ascii="Open Sans" w:hAnsi="Open Sans" w:cs="Open Sans"/>
          <w:sz w:val="24"/>
          <w:szCs w:val="24"/>
        </w:rPr>
        <w:t>será</w:t>
      </w:r>
      <w:proofErr w:type="gramEnd"/>
      <w:r w:rsidRPr="00BE2C73">
        <w:rPr>
          <w:rFonts w:ascii="Open Sans" w:hAnsi="Open Sans" w:cs="Open Sans"/>
          <w:sz w:val="24"/>
          <w:szCs w:val="24"/>
        </w:rPr>
        <w:t xml:space="preserve"> responsabilizado em várias esferas sociais, tanto quanto suas ações ou omissões alcançarem. Assim, a degradação ambiental causada pela Braskem S.A. merece reparo nas diversas esferas em que foram violadas, sendo uma delas a garantia dos direitos trabalhistas da reclamante. 4. Por fim, ao analisar o caso dos autos a partir da Teoria da Asserção, a conclusão é idêntica. Isso porque, a teoria dispõe que a competência material é definida com base na pretensão posta em juízo. Tal entendimento tem respaldo na jurisprudência do Supremo Tribunal Federal, que consagrou a competência da Justiça do Trabalho para julgar casos em que a causa de pedir e os pedidos aduzidos na inicial estão fundados na legislação trabalhista. Precedentes. No caso em exame, a autora alega a responsabilidade da segunda reclamada, Braskem S.A., para arcar com suas verbas trabalhistas. Reclama por direitos previstos na CLT, como o pagamento de férias vencidas não pagas, acrescidas do terço constitucional. Nessa senda, a competência para o julgamento da demanda só pode ser desta Justiça Especializada, ainda que os pedidos possam ser julgados improcedentes. Essa compreensão está respaldada também pelo Superior Tribunal de Justiça que, ao julgar o conflito de competência n. 132.083/PE, de relatoria do Ministro </w:t>
      </w:r>
      <w:proofErr w:type="spellStart"/>
      <w:r w:rsidRPr="00BE2C73">
        <w:rPr>
          <w:rFonts w:ascii="Open Sans" w:hAnsi="Open Sans" w:cs="Open Sans"/>
          <w:sz w:val="24"/>
          <w:szCs w:val="24"/>
        </w:rPr>
        <w:t>Antonio</w:t>
      </w:r>
      <w:proofErr w:type="spellEnd"/>
      <w:r w:rsidRPr="00BE2C73">
        <w:rPr>
          <w:rFonts w:ascii="Open Sans" w:hAnsi="Open Sans" w:cs="Open Sans"/>
          <w:sz w:val="24"/>
          <w:szCs w:val="24"/>
        </w:rPr>
        <w:t xml:space="preserve"> Carlos Ferreira, sedimentou o entendimento de que a causa de pedir e o pedido definem a competência para julgar o feito. No caso dos autos, a causa de pedir é o inadimplemento das verbas trabalhistas da reclamante, decorrente em última instância do dano material causado pela exploração ambiental realizada pela Reclamada Braskem S.A. O fato jurídico que deu causa </w:t>
      </w:r>
      <w:proofErr w:type="gramStart"/>
      <w:r w:rsidRPr="00BE2C73">
        <w:rPr>
          <w:rFonts w:ascii="Open Sans" w:hAnsi="Open Sans" w:cs="Open Sans"/>
          <w:sz w:val="24"/>
          <w:szCs w:val="24"/>
        </w:rPr>
        <w:t>à</w:t>
      </w:r>
      <w:proofErr w:type="gramEnd"/>
      <w:r w:rsidRPr="00BE2C73">
        <w:rPr>
          <w:rFonts w:ascii="Open Sans" w:hAnsi="Open Sans" w:cs="Open Sans"/>
          <w:sz w:val="24"/>
          <w:szCs w:val="24"/>
        </w:rPr>
        <w:t xml:space="preserve"> presente reclamação trabalhista foi ausência de pagamento das verbas trabalhistas após o encerramento da relação de trabalho entre a reclamante e a primeira reclamada, que aconteceu em razão dos impactos do dano causado pela segunda reclamada. Por fim, os pedidos também são referentes a verbas trabalhistas não pagas. Portanto, diante da natureza trabalhista da indenização perseguida, o Tribunal Regional decidiu de acordo com o art. 114, IX, da CF/88, reafirmando a competência da Justiça do Trabalho no caso em análise como forma de buscar o efetivo pagamento das verbas devidas à reclamante, que sofreu prejuízos em razão da degradação ambiental ocasionada pela segunda reclamada na realização de suas atividades. Recurso de revista não conhecido. </w:t>
      </w:r>
      <w:proofErr w:type="gramStart"/>
      <w:r w:rsidRPr="00BE2C73">
        <w:rPr>
          <w:rFonts w:ascii="Open Sans" w:hAnsi="Open Sans" w:cs="Open Sans"/>
          <w:sz w:val="24"/>
          <w:szCs w:val="24"/>
        </w:rPr>
        <w:t xml:space="preserve">" </w:t>
      </w:r>
      <w:proofErr w:type="gramEnd"/>
      <w:r w:rsidRPr="00BE2C73">
        <w:rPr>
          <w:rFonts w:ascii="Open Sans" w:hAnsi="Open Sans" w:cs="Open Sans"/>
          <w:sz w:val="24"/>
          <w:szCs w:val="24"/>
        </w:rPr>
        <w:t>(</w:t>
      </w:r>
      <w:hyperlink r:id="rId10" w:history="1">
        <w:r w:rsidR="00D03F10">
          <w:rPr>
            <w:rStyle w:val="Hyperlink"/>
            <w:rFonts w:ascii="Open Sans" w:hAnsi="Open Sans" w:cs="Open Sans"/>
            <w:sz w:val="24"/>
            <w:szCs w:val="24"/>
          </w:rPr>
          <w:t>TST-RR</w:t>
        </w:r>
        <w:r w:rsidRPr="00BE2C73">
          <w:rPr>
            <w:rStyle w:val="Hyperlink"/>
            <w:rFonts w:ascii="Open Sans" w:hAnsi="Open Sans" w:cs="Open Sans"/>
            <w:sz w:val="24"/>
            <w:szCs w:val="24"/>
          </w:rPr>
          <w:t xml:space="preserve">-603-48.2022.5.19.0002, 2ª Turma, rel. Min. Liana </w:t>
        </w:r>
        <w:proofErr w:type="spellStart"/>
        <w:r w:rsidRPr="00BE2C73">
          <w:rPr>
            <w:rStyle w:val="Hyperlink"/>
            <w:rFonts w:ascii="Open Sans" w:hAnsi="Open Sans" w:cs="Open Sans"/>
            <w:sz w:val="24"/>
            <w:szCs w:val="24"/>
          </w:rPr>
          <w:t>Chaib</w:t>
        </w:r>
        <w:proofErr w:type="spellEnd"/>
        <w:r w:rsidRPr="00BE2C73">
          <w:rPr>
            <w:rStyle w:val="Hyperlink"/>
            <w:rFonts w:ascii="Open Sans" w:hAnsi="Open Sans" w:cs="Open Sans"/>
            <w:sz w:val="24"/>
            <w:szCs w:val="24"/>
          </w:rPr>
          <w:t>, julgado em 4/9/2024</w:t>
        </w:r>
      </w:hyperlink>
      <w:r w:rsidRPr="00BE2C73">
        <w:rPr>
          <w:rFonts w:ascii="Open Sans" w:hAnsi="Open Sans" w:cs="Open Sans"/>
          <w:sz w:val="24"/>
          <w:szCs w:val="24"/>
        </w:rPr>
        <w:t>)</w:t>
      </w:r>
    </w:p>
    <w:p w:rsidR="00CC3A82" w:rsidRPr="00BE2C73" w:rsidRDefault="00CC3A82" w:rsidP="00BE2C73">
      <w:pPr>
        <w:suppressAutoHyphens/>
        <w:ind w:left="-227" w:right="369"/>
        <w:jc w:val="both"/>
        <w:rPr>
          <w:rFonts w:ascii="Open Sans" w:hAnsi="Open Sans" w:cs="Open Sans"/>
          <w:sz w:val="24"/>
          <w:szCs w:val="24"/>
        </w:rPr>
      </w:pPr>
    </w:p>
    <w:p w:rsidR="00CC3A82" w:rsidRDefault="00546107" w:rsidP="00BE2C73">
      <w:pPr>
        <w:suppressAutoHyphens/>
        <w:autoSpaceDE/>
        <w:autoSpaceDN/>
        <w:ind w:left="-227" w:right="369"/>
        <w:jc w:val="both"/>
        <w:rPr>
          <w:rFonts w:ascii="Open Sans" w:hAnsi="Open Sans" w:cs="Open Sans"/>
          <w:sz w:val="24"/>
          <w:szCs w:val="24"/>
        </w:rPr>
      </w:pPr>
      <w:r>
        <w:rPr>
          <w:rFonts w:ascii="Open Sans" w:hAnsi="Open Sans" w:cs="Open Sans"/>
          <w:sz w:val="24"/>
          <w:szCs w:val="24"/>
        </w:rPr>
        <w:t>“[</w:t>
      </w:r>
      <w:proofErr w:type="gramStart"/>
      <w:r>
        <w:rPr>
          <w:rFonts w:ascii="Open Sans" w:hAnsi="Open Sans" w:cs="Open Sans"/>
          <w:sz w:val="24"/>
          <w:szCs w:val="24"/>
        </w:rPr>
        <w:t xml:space="preserve">...] </w:t>
      </w:r>
      <w:r w:rsidR="00CC3A82" w:rsidRPr="00BE2C73">
        <w:rPr>
          <w:rFonts w:ascii="Open Sans" w:hAnsi="Open Sans" w:cs="Open Sans"/>
          <w:sz w:val="24"/>
          <w:szCs w:val="24"/>
        </w:rPr>
        <w:t>B)</w:t>
      </w:r>
      <w:proofErr w:type="gramEnd"/>
      <w:r w:rsidR="00CC3A82" w:rsidRPr="00BE2C73">
        <w:rPr>
          <w:rFonts w:ascii="Open Sans" w:hAnsi="Open Sans" w:cs="Open Sans"/>
          <w:sz w:val="24"/>
          <w:szCs w:val="24"/>
        </w:rPr>
        <w:t xml:space="preserve"> RECURSO DE REVISTA DA RECLAMADA. I) VÍNCULO DE EMPREGO ENTRE MOTORISTA E PLATAFORMA TECNOLÓGICA OU AP</w:t>
      </w:r>
      <w:r>
        <w:rPr>
          <w:rFonts w:ascii="Open Sans" w:hAnsi="Open Sans" w:cs="Open Sans"/>
          <w:sz w:val="24"/>
          <w:szCs w:val="24"/>
        </w:rPr>
        <w:t>LICATIVO CAPTADOR DE CLIENTES (‘</w:t>
      </w:r>
      <w:r w:rsidR="00CC3A82" w:rsidRPr="00BE2C73">
        <w:rPr>
          <w:rFonts w:ascii="Open Sans" w:hAnsi="Open Sans" w:cs="Open Sans"/>
          <w:sz w:val="24"/>
          <w:szCs w:val="24"/>
        </w:rPr>
        <w:t>UBER DO BRASIL TECNOLOGIA LTDA.</w:t>
      </w:r>
      <w:r>
        <w:rPr>
          <w:rFonts w:ascii="Open Sans" w:hAnsi="Open Sans" w:cs="Open Sans"/>
          <w:sz w:val="24"/>
          <w:szCs w:val="24"/>
        </w:rPr>
        <w:t>’</w:t>
      </w:r>
      <w:r w:rsidR="00CC3A82" w:rsidRPr="00BE2C73">
        <w:rPr>
          <w:rFonts w:ascii="Open Sans" w:hAnsi="Open Sans" w:cs="Open Sans"/>
          <w:sz w:val="24"/>
          <w:szCs w:val="24"/>
        </w:rPr>
        <w:t xml:space="preserve">) – IMPOSSIBILIDADE DE RECONHECIMENTO DIANTE DA AUSÊNCIA DE SUBORDINAÇÃO JURÍDICA – TRANSCENDÊNCIA JURÍDICA RECONHECIDA – PROVIMENTO. 1. Em relação às novas formas de trabalho e à incorporação de tecnologias digitais no trato das relações interpessoais – que estão provocando uma transformação profunda no Direito do Trabalho, mas carentes ainda de regulamentação legislativa específica – deve o Estado-Juiz, atento a essas mudanças, distinguir os novos formatos de trabalho daqueles em que se está diante de uma típica fraude à relação de emprego, de modo a não frear o desenvolvimento socioeconômico do país no afã de aplicar regras protetivas do direito laboral a toda e qualquer forma de trabalho. 2. Nesse contexto, analisando, à luz dos </w:t>
      </w:r>
      <w:proofErr w:type="spellStart"/>
      <w:r w:rsidR="00CC3A82" w:rsidRPr="00BE2C73">
        <w:rPr>
          <w:rFonts w:ascii="Open Sans" w:hAnsi="Open Sans" w:cs="Open Sans"/>
          <w:sz w:val="24"/>
          <w:szCs w:val="24"/>
        </w:rPr>
        <w:t>arts</w:t>
      </w:r>
      <w:proofErr w:type="spellEnd"/>
      <w:r w:rsidR="00CC3A82" w:rsidRPr="00BE2C73">
        <w:rPr>
          <w:rFonts w:ascii="Open Sans" w:hAnsi="Open Sans" w:cs="Open Sans"/>
          <w:sz w:val="24"/>
          <w:szCs w:val="24"/>
        </w:rPr>
        <w:t>. 2º e 3º da CL</w:t>
      </w:r>
      <w:r>
        <w:rPr>
          <w:rFonts w:ascii="Open Sans" w:hAnsi="Open Sans" w:cs="Open Sans"/>
          <w:sz w:val="24"/>
          <w:szCs w:val="24"/>
        </w:rPr>
        <w:t>T, a relação existente entre a ‘</w:t>
      </w:r>
      <w:proofErr w:type="spellStart"/>
      <w:r w:rsidR="00CC3A82" w:rsidRPr="00BE2C73">
        <w:rPr>
          <w:rFonts w:ascii="Open Sans" w:hAnsi="Open Sans" w:cs="Open Sans"/>
          <w:sz w:val="24"/>
          <w:szCs w:val="24"/>
        </w:rPr>
        <w:t>Uber</w:t>
      </w:r>
      <w:proofErr w:type="spellEnd"/>
      <w:r w:rsidR="00CC3A82" w:rsidRPr="00BE2C73">
        <w:rPr>
          <w:rFonts w:ascii="Open Sans" w:hAnsi="Open Sans" w:cs="Open Sans"/>
          <w:sz w:val="24"/>
          <w:szCs w:val="24"/>
        </w:rPr>
        <w:t xml:space="preserve"> do Brasil Tecnologia Ltda.</w:t>
      </w:r>
      <w:r>
        <w:rPr>
          <w:rFonts w:ascii="Open Sans" w:hAnsi="Open Sans" w:cs="Open Sans"/>
          <w:sz w:val="24"/>
          <w:szCs w:val="24"/>
        </w:rPr>
        <w:t>’</w:t>
      </w:r>
      <w:r w:rsidR="00CC3A82" w:rsidRPr="00BE2C73">
        <w:rPr>
          <w:rFonts w:ascii="Open Sans" w:hAnsi="Open Sans" w:cs="Open Sans"/>
          <w:sz w:val="24"/>
          <w:szCs w:val="24"/>
        </w:rPr>
        <w:t xml:space="preserve"> e os motoristas que se </w:t>
      </w:r>
      <w:r w:rsidR="00CC3A82" w:rsidRPr="00BE2C73">
        <w:rPr>
          <w:rFonts w:ascii="Open Sans" w:hAnsi="Open Sans" w:cs="Open Sans"/>
          <w:sz w:val="24"/>
          <w:szCs w:val="24"/>
        </w:rPr>
        <w:lastRenderedPageBreak/>
        <w:t xml:space="preserve">utilizam desse aplicativo para obterem clientes dos seus serviços de transporte, tem-se que: a) quanto à habitualidade, inexiste a obrigação de uma frequência predeterminada ou mínima de labor pelo motorista para o uso do aplicativo, estando a cargo do profissional definir os dias e a constância em que irá trabalhar; b) quanto à subordinação jurídica, a par da ampla autonomia do motorista em escolher os dias, horários e forma de labor, podendo desligar o aplicativo a qualquer momento e pelo tempo que entender necessário, sem nenhuma vinculação a metas determinadas pela Reclamada ou sanções decorrentes de suas escolhas, a necessidade de observância de cláusulas contratuais (valores a serem cobrados, código de conduta, instruções de comportamento, avaliação do motorista pelos clientes), com as correspondentes sanções no caso de descumprimento (para que se preserve a confiabilidade e a manutenção do aplicativo no mercado concorrencial), não significa que haja </w:t>
      </w:r>
      <w:proofErr w:type="gramStart"/>
      <w:r w:rsidR="00CC3A82" w:rsidRPr="00BE2C73">
        <w:rPr>
          <w:rFonts w:ascii="Open Sans" w:hAnsi="Open Sans" w:cs="Open Sans"/>
          <w:sz w:val="24"/>
          <w:szCs w:val="24"/>
        </w:rPr>
        <w:t>ingerência</w:t>
      </w:r>
      <w:proofErr w:type="gramEnd"/>
      <w:r w:rsidR="00CC3A82" w:rsidRPr="00BE2C73">
        <w:rPr>
          <w:rFonts w:ascii="Open Sans" w:hAnsi="Open Sans" w:cs="Open Sans"/>
          <w:sz w:val="24"/>
          <w:szCs w:val="24"/>
        </w:rPr>
        <w:t xml:space="preserve"> no modo de trabalho prestado pelo motorista, reforçando a convicção quanto ao trabalho autônomo a inclusão da categoria de motorista de aplicativo ind</w:t>
      </w:r>
      <w:r w:rsidR="00197ED5">
        <w:rPr>
          <w:rFonts w:ascii="Open Sans" w:hAnsi="Open Sans" w:cs="Open Sans"/>
          <w:sz w:val="24"/>
          <w:szCs w:val="24"/>
        </w:rPr>
        <w:t>ependente, como o motorista da ‘</w:t>
      </w:r>
      <w:proofErr w:type="spellStart"/>
      <w:r w:rsidR="00CC3A82" w:rsidRPr="00BE2C73">
        <w:rPr>
          <w:rFonts w:ascii="Open Sans" w:hAnsi="Open Sans" w:cs="Open Sans"/>
          <w:sz w:val="24"/>
          <w:szCs w:val="24"/>
        </w:rPr>
        <w:t>Uber</w:t>
      </w:r>
      <w:proofErr w:type="spellEnd"/>
      <w:r w:rsidR="00CC3A82" w:rsidRPr="00BE2C73">
        <w:rPr>
          <w:rFonts w:ascii="Open Sans" w:hAnsi="Open Sans" w:cs="Open Sans"/>
          <w:sz w:val="24"/>
          <w:szCs w:val="24"/>
        </w:rPr>
        <w:t xml:space="preserve"> do Brasil Tecnologia Ltda.</w:t>
      </w:r>
      <w:r w:rsidR="00197ED5">
        <w:rPr>
          <w:rFonts w:ascii="Open Sans" w:hAnsi="Open Sans" w:cs="Open Sans"/>
          <w:sz w:val="24"/>
          <w:szCs w:val="24"/>
        </w:rPr>
        <w:t>’</w:t>
      </w:r>
      <w:r w:rsidR="00CC3A82" w:rsidRPr="00BE2C73">
        <w:rPr>
          <w:rFonts w:ascii="Open Sans" w:hAnsi="Open Sans" w:cs="Open Sans"/>
          <w:sz w:val="24"/>
          <w:szCs w:val="24"/>
        </w:rPr>
        <w:t xml:space="preserve">, no rol de atividades permitidas para inscrição como Microempreendedor Individual - MEI, nos termos da Resolução 148/2019 do Comitê Gestor do Simples Nacional; c) quanto à remuneração, o caráter autônomo da prestação de serviços se caracteriza por arcar, o motorista, com os custos da prestação do serviço (manutenção do carro, combustível, IPVA), caber a ele a responsabilidade por eventuais sinistros, multas, atos ilícitos ocorridos, dentre outros (ainda que a empresa provedora da plataforma possa a vir a ser responsabilizada solidariamente em alguns casos), além </w:t>
      </w:r>
      <w:r w:rsidR="00197ED5">
        <w:rPr>
          <w:rFonts w:ascii="Open Sans" w:hAnsi="Open Sans" w:cs="Open Sans"/>
          <w:sz w:val="24"/>
          <w:szCs w:val="24"/>
        </w:rPr>
        <w:t>de os percentuais fixados pela ‘</w:t>
      </w:r>
      <w:proofErr w:type="spellStart"/>
      <w:r w:rsidR="00CC3A82" w:rsidRPr="00BE2C73">
        <w:rPr>
          <w:rFonts w:ascii="Open Sans" w:hAnsi="Open Sans" w:cs="Open Sans"/>
          <w:sz w:val="24"/>
          <w:szCs w:val="24"/>
        </w:rPr>
        <w:t>Uber</w:t>
      </w:r>
      <w:proofErr w:type="spellEnd"/>
      <w:r w:rsidR="00CC3A82" w:rsidRPr="00BE2C73">
        <w:rPr>
          <w:rFonts w:ascii="Open Sans" w:hAnsi="Open Sans" w:cs="Open Sans"/>
          <w:sz w:val="24"/>
          <w:szCs w:val="24"/>
        </w:rPr>
        <w:t xml:space="preserve"> do Brasil Tecnologia Ltda.</w:t>
      </w:r>
      <w:r w:rsidR="00197ED5">
        <w:rPr>
          <w:rFonts w:ascii="Open Sans" w:hAnsi="Open Sans" w:cs="Open Sans"/>
          <w:sz w:val="24"/>
          <w:szCs w:val="24"/>
        </w:rPr>
        <w:t>’</w:t>
      </w:r>
      <w:r w:rsidR="00CC3A82" w:rsidRPr="00BE2C73">
        <w:rPr>
          <w:rFonts w:ascii="Open Sans" w:hAnsi="Open Sans" w:cs="Open Sans"/>
          <w:sz w:val="24"/>
          <w:szCs w:val="24"/>
        </w:rPr>
        <w:t>, de cota parte do motorista, serem superiores ao que este Tribunal vem admitindo como suficientes a caracterizar a relação de parceria entre os envolvidos, como no caso de plataformas semelhantes. 3. Já quanto à alegada subordinação estrutural, não cabe ao Poder Judiciário ampliar conceitos jurídicos a fim de reconhecer o vínculo empregatício de profissionais que atuam em novas formas de trabalho, emergentes da dinâmica do mercado concorrencial atual e, principalmente, de desenvolvimentos tecnológicos, nas situações em que não se constata nenhuma fraude, como é o caso das empresas provedoras de aplicativos de tecnologia, que têm como finalidade conectar quem necessita da condução com o motorista credenciado, sendo o serviço prestado de motorista, em si, competência do profissional e apenas uma consequência inerente ao que propõe o dispositivo.  4. Assim sendo, merece reforma o acórdão regional, para afastar o reconhecimento da relação empregatícia entre o Motorista e a Empresa Provedora do aplicativo. Recurso de revist</w:t>
      </w:r>
      <w:r w:rsidR="00B63819">
        <w:rPr>
          <w:rFonts w:ascii="Open Sans" w:hAnsi="Open Sans" w:cs="Open Sans"/>
          <w:sz w:val="24"/>
          <w:szCs w:val="24"/>
        </w:rPr>
        <w:t>a provido, no particular. [</w:t>
      </w:r>
      <w:proofErr w:type="gramStart"/>
      <w:r w:rsidR="00B63819">
        <w:rPr>
          <w:rFonts w:ascii="Open Sans" w:hAnsi="Open Sans" w:cs="Open Sans"/>
          <w:sz w:val="24"/>
          <w:szCs w:val="24"/>
        </w:rPr>
        <w:t>...]</w:t>
      </w:r>
      <w:r w:rsidR="00CC3A82" w:rsidRPr="00BE2C73">
        <w:rPr>
          <w:rFonts w:ascii="Open Sans" w:hAnsi="Open Sans" w:cs="Open Sans"/>
          <w:sz w:val="24"/>
          <w:szCs w:val="24"/>
        </w:rPr>
        <w:t>"</w:t>
      </w:r>
      <w:proofErr w:type="gramEnd"/>
      <w:r w:rsidR="00CC3A82" w:rsidRPr="00BE2C73">
        <w:rPr>
          <w:rFonts w:ascii="Open Sans" w:hAnsi="Open Sans" w:cs="Open Sans"/>
          <w:sz w:val="24"/>
          <w:szCs w:val="24"/>
        </w:rPr>
        <w:t xml:space="preserve"> (</w:t>
      </w:r>
      <w:hyperlink r:id="rId11" w:anchor="ca292ba" w:history="1">
        <w:r w:rsidR="00CC3A82" w:rsidRPr="00BE2C73">
          <w:rPr>
            <w:rFonts w:ascii="Open Sans" w:hAnsi="Open Sans" w:cs="Open Sans"/>
            <w:color w:val="0000FF" w:themeColor="hyperlink"/>
            <w:sz w:val="24"/>
            <w:szCs w:val="24"/>
            <w:u w:val="single"/>
          </w:rPr>
          <w:t>TST-RRAg-1146-76.2023.5.13.0004, 4ª Turma, rel. Min. Ives Gandra da Silva Martins Filho, julgado em 3/9/2024</w:t>
        </w:r>
      </w:hyperlink>
      <w:r w:rsidR="00CC3A82" w:rsidRPr="00BE2C73">
        <w:rPr>
          <w:rFonts w:ascii="Open Sans" w:hAnsi="Open Sans" w:cs="Open Sans"/>
          <w:sz w:val="24"/>
          <w:szCs w:val="24"/>
        </w:rPr>
        <w:t>)</w:t>
      </w:r>
    </w:p>
    <w:p w:rsidR="00BE2C73" w:rsidRPr="00BE2C73" w:rsidRDefault="00BE2C73" w:rsidP="00BE2C73">
      <w:pPr>
        <w:suppressAutoHyphens/>
        <w:autoSpaceDE/>
        <w:autoSpaceDN/>
        <w:ind w:left="-227" w:right="369"/>
        <w:jc w:val="both"/>
        <w:rPr>
          <w:rFonts w:ascii="Open Sans" w:hAnsi="Open Sans" w:cs="Open Sans"/>
          <w:sz w:val="24"/>
          <w:szCs w:val="24"/>
        </w:rPr>
      </w:pPr>
    </w:p>
    <w:p w:rsidR="00CC3A82" w:rsidRPr="00BE2C73" w:rsidRDefault="00CC3A82" w:rsidP="00BE2C73">
      <w:pPr>
        <w:suppressAutoHyphens/>
        <w:ind w:left="-227" w:right="369"/>
        <w:jc w:val="both"/>
        <w:rPr>
          <w:rFonts w:ascii="Open Sans" w:hAnsi="Open Sans" w:cs="Open Sans"/>
          <w:sz w:val="24"/>
          <w:szCs w:val="24"/>
        </w:rPr>
      </w:pPr>
      <w:r w:rsidRPr="00BE2C73">
        <w:rPr>
          <w:rFonts w:ascii="Open Sans" w:hAnsi="Open Sans" w:cs="Open Sans"/>
          <w:sz w:val="24"/>
          <w:szCs w:val="24"/>
        </w:rPr>
        <w:t xml:space="preserve">“RECURSO DE REVISTA DO RECLAMANTE, INTERPOSTO SOB A ÉGIDE DA LEI Nº 13.467/2017 - INTERVALO DO DIGITADOR - CAIXA BANCÁRIO - PREVISÃO EM NORMA COLETIVA DE TRABALHO - INEXISTÊNCIA DA EXIGÊNCIA DE PREPONDERÂNCIA OU EXCLUSIVIDADE DA ATIVIDADE DE DIGITAÇÃO. </w:t>
      </w:r>
      <w:proofErr w:type="gramStart"/>
      <w:r w:rsidRPr="00BE2C73">
        <w:rPr>
          <w:rFonts w:ascii="Open Sans" w:hAnsi="Open Sans" w:cs="Open Sans"/>
          <w:sz w:val="24"/>
          <w:szCs w:val="24"/>
        </w:rPr>
        <w:t>1</w:t>
      </w:r>
      <w:proofErr w:type="gramEnd"/>
      <w:r w:rsidRPr="00BE2C73">
        <w:rPr>
          <w:rFonts w:ascii="Open Sans" w:hAnsi="Open Sans" w:cs="Open Sans"/>
          <w:sz w:val="24"/>
          <w:szCs w:val="24"/>
        </w:rPr>
        <w:t xml:space="preserve">. A C. SBDI-1 firmou a tese de que os empregados que atuam na função de caixa bancário têm direito a uma pausa de 10 (dez) minutos a cada 50 (cinquenta) trabalhados, se a pretensão tem amparo em norma coletiva que não contém disposição específica exigindo a exclusividade ou preponderância do exercício da atividade de digitação. 2. Trata-se de fator distintivo ao </w:t>
      </w:r>
      <w:r w:rsidRPr="00BE2C73">
        <w:rPr>
          <w:rFonts w:ascii="Open Sans" w:hAnsi="Open Sans" w:cs="Open Sans"/>
          <w:sz w:val="24"/>
          <w:szCs w:val="24"/>
        </w:rPr>
        <w:lastRenderedPageBreak/>
        <w:t xml:space="preserve">entendimento desta </w:t>
      </w:r>
      <w:proofErr w:type="spellStart"/>
      <w:r w:rsidRPr="00BE2C73">
        <w:rPr>
          <w:rFonts w:ascii="Open Sans" w:hAnsi="Open Sans" w:cs="Open Sans"/>
          <w:sz w:val="24"/>
          <w:szCs w:val="24"/>
        </w:rPr>
        <w:t>Eg</w:t>
      </w:r>
      <w:proofErr w:type="spellEnd"/>
      <w:r w:rsidRPr="00BE2C73">
        <w:rPr>
          <w:rFonts w:ascii="Open Sans" w:hAnsi="Open Sans" w:cs="Open Sans"/>
          <w:sz w:val="24"/>
          <w:szCs w:val="24"/>
        </w:rPr>
        <w:t>. Corte Superior, de não alcançar o caixa bancário a equiparação de que cuida a Súmula nº 346, entre digitadores e trabalhadores em serviços permanentes de mecanografia (datilografia, escrituração ou cálculo), para fins de concessão do intervalo previsto no artigo 72 da CLT, de 10 (dez) minutos após 90 (noventa) de trabalho consecutivo. 3. Se a função exercida pelo Reclamante (caixa bancário) atende aos requisitos previstos na norma coletiva, reconhece-se o direito a usufruir do intervalo nela disciplinado, devendo ser reformado o acórdão regional, para se deferir o pagamento de horas extras. Recurso de Revista conhecido e provido." (</w:t>
      </w:r>
      <w:hyperlink r:id="rId12" w:anchor="bbacab5" w:history="1">
        <w:r w:rsidRPr="00BE2C73">
          <w:rPr>
            <w:rStyle w:val="Hyperlink"/>
            <w:rFonts w:ascii="Open Sans" w:hAnsi="Open Sans" w:cs="Open Sans"/>
            <w:sz w:val="24"/>
            <w:szCs w:val="24"/>
          </w:rPr>
          <w:t xml:space="preserve">TST-RR-10380-17.2023.5.03.0051, 4ª Turma, rel. Min. Maria Cristina </w:t>
        </w:r>
        <w:proofErr w:type="spellStart"/>
        <w:r w:rsidRPr="00BE2C73">
          <w:rPr>
            <w:rStyle w:val="Hyperlink"/>
            <w:rFonts w:ascii="Open Sans" w:hAnsi="Open Sans" w:cs="Open Sans"/>
            <w:sz w:val="24"/>
            <w:szCs w:val="24"/>
          </w:rPr>
          <w:t>Irigoyen</w:t>
        </w:r>
        <w:proofErr w:type="spellEnd"/>
        <w:r w:rsidRPr="00BE2C73">
          <w:rPr>
            <w:rStyle w:val="Hyperlink"/>
            <w:rFonts w:ascii="Open Sans" w:hAnsi="Open Sans" w:cs="Open Sans"/>
            <w:sz w:val="24"/>
            <w:szCs w:val="24"/>
          </w:rPr>
          <w:t xml:space="preserve"> </w:t>
        </w:r>
        <w:proofErr w:type="spellStart"/>
        <w:r w:rsidRPr="00BE2C73">
          <w:rPr>
            <w:rStyle w:val="Hyperlink"/>
            <w:rFonts w:ascii="Open Sans" w:hAnsi="Open Sans" w:cs="Open Sans"/>
            <w:sz w:val="24"/>
            <w:szCs w:val="24"/>
          </w:rPr>
          <w:t>Peduzzi</w:t>
        </w:r>
        <w:proofErr w:type="spellEnd"/>
        <w:r w:rsidRPr="00BE2C73">
          <w:rPr>
            <w:rStyle w:val="Hyperlink"/>
            <w:rFonts w:ascii="Open Sans" w:hAnsi="Open Sans" w:cs="Open Sans"/>
            <w:sz w:val="24"/>
            <w:szCs w:val="24"/>
          </w:rPr>
          <w:t>, julgado em 3/9/2024</w:t>
        </w:r>
      </w:hyperlink>
      <w:r w:rsidRPr="00BE2C73">
        <w:rPr>
          <w:rFonts w:ascii="Open Sans" w:hAnsi="Open Sans" w:cs="Open Sans"/>
          <w:sz w:val="24"/>
          <w:szCs w:val="24"/>
        </w:rPr>
        <w:t>)</w:t>
      </w:r>
    </w:p>
    <w:p w:rsidR="00CC3A82" w:rsidRPr="00BE2C73" w:rsidRDefault="00CC3A82" w:rsidP="00BE2C73">
      <w:pPr>
        <w:suppressAutoHyphens/>
        <w:ind w:left="-227" w:right="369"/>
        <w:jc w:val="both"/>
        <w:rPr>
          <w:rFonts w:ascii="Open Sans" w:hAnsi="Open Sans" w:cs="Open Sans"/>
          <w:sz w:val="24"/>
          <w:szCs w:val="24"/>
        </w:rPr>
      </w:pPr>
    </w:p>
    <w:p w:rsidR="00CC3A82" w:rsidRPr="00BE2C73" w:rsidRDefault="00BE2C73" w:rsidP="00BE2C73">
      <w:pPr>
        <w:suppressAutoHyphens/>
        <w:ind w:left="-227" w:right="369"/>
        <w:jc w:val="both"/>
        <w:rPr>
          <w:rFonts w:ascii="Open Sans" w:hAnsi="Open Sans" w:cs="Open Sans"/>
          <w:sz w:val="24"/>
          <w:szCs w:val="24"/>
        </w:rPr>
      </w:pPr>
      <w:r>
        <w:rPr>
          <w:rFonts w:ascii="Open Sans" w:hAnsi="Open Sans" w:cs="Open Sans"/>
          <w:sz w:val="24"/>
          <w:szCs w:val="24"/>
        </w:rPr>
        <w:t>“[</w:t>
      </w:r>
      <w:proofErr w:type="gramStart"/>
      <w:r>
        <w:rPr>
          <w:rFonts w:ascii="Open Sans" w:hAnsi="Open Sans" w:cs="Open Sans"/>
          <w:sz w:val="24"/>
          <w:szCs w:val="24"/>
        </w:rPr>
        <w:t xml:space="preserve">...] </w:t>
      </w:r>
      <w:r w:rsidR="00CC3A82" w:rsidRPr="00BE2C73">
        <w:rPr>
          <w:rFonts w:ascii="Open Sans" w:hAnsi="Open Sans" w:cs="Open Sans"/>
          <w:sz w:val="24"/>
          <w:szCs w:val="24"/>
        </w:rPr>
        <w:t>II)</w:t>
      </w:r>
      <w:proofErr w:type="gramEnd"/>
      <w:r w:rsidR="00CC3A82" w:rsidRPr="00BE2C73">
        <w:rPr>
          <w:rFonts w:ascii="Open Sans" w:hAnsi="Open Sans" w:cs="Open Sans"/>
          <w:sz w:val="24"/>
          <w:szCs w:val="24"/>
        </w:rPr>
        <w:t xml:space="preserve"> RECURSO DE REVISTA DAS PARTES – ACORDO EXTRAJUDICIAL – HOMOLOGAÇÃO EM JUÍZO – PROCEDIMENTO DE JURISDIÇÃO VOLUNTÁRIA – TRANSAÇÃO SOBRE VERBAS RESCISÓRIAS –  TRANSCENDÊNCIA JURÍDICA – VIOLAÇÃO DO ART. 104 DO CÓDIGO CIVIL – PROVIMENTO. 1. Problema que sempre atormentou o empregador foi o relativo à rescisão do contrato de trabalho e da quitação dos haveres trabalhistas, de modo a não permanecer com a espada de </w:t>
      </w:r>
      <w:proofErr w:type="spellStart"/>
      <w:r w:rsidR="00CC3A82" w:rsidRPr="00BE2C73">
        <w:rPr>
          <w:rFonts w:ascii="Open Sans" w:hAnsi="Open Sans" w:cs="Open Sans"/>
          <w:sz w:val="24"/>
          <w:szCs w:val="24"/>
        </w:rPr>
        <w:t>Dâmocles</w:t>
      </w:r>
      <w:proofErr w:type="spellEnd"/>
      <w:r w:rsidR="00CC3A82" w:rsidRPr="00BE2C73">
        <w:rPr>
          <w:rFonts w:ascii="Open Sans" w:hAnsi="Open Sans" w:cs="Open Sans"/>
          <w:sz w:val="24"/>
          <w:szCs w:val="24"/>
        </w:rPr>
        <w:t xml:space="preserve"> sobre sua cabeça. 2. A ineficácia prática da homologação da rescisão contratual do sindicato, em face do teor da Súmula 330 do TST, dada a não quitação integral do contrato de trabalho, levou a SDI-2 desta Corte a não reputar simulada a lide visando à homologação de acordo pela Justiça do Trabalho, pois só assim se conseguiria colocar fim ao conflito laboral e dar segurança jurídica às partes do distrato (cfr. TST-ROAR-103900-90.2005.5.04.0000, Rel. Min. Ives Gandra Martins Filho, DEJT de 12/09/08). 3. Para resolver tal problema, a Lei 13.467/17, em vigor desde 11/11/17, instituiu o procedimento de jurisdição voluntária na Justiça do Trabalho atinente à homologação, em juízo, de acordo extrajudicial, nos termos dos </w:t>
      </w:r>
      <w:proofErr w:type="spellStart"/>
      <w:r w:rsidR="00CC3A82" w:rsidRPr="00BE2C73">
        <w:rPr>
          <w:rFonts w:ascii="Open Sans" w:hAnsi="Open Sans" w:cs="Open Sans"/>
          <w:sz w:val="24"/>
          <w:szCs w:val="24"/>
        </w:rPr>
        <w:t>arts</w:t>
      </w:r>
      <w:proofErr w:type="spellEnd"/>
      <w:r w:rsidR="00CC3A82" w:rsidRPr="00BE2C73">
        <w:rPr>
          <w:rFonts w:ascii="Open Sans" w:hAnsi="Open Sans" w:cs="Open Sans"/>
          <w:sz w:val="24"/>
          <w:szCs w:val="24"/>
        </w:rPr>
        <w:t xml:space="preserve">. 855-B a 855-E da CLT, juntamente com o fito de colocar termo ao contrato de trabalho. 4. Da simples leitura dos novos comandos da Lei, notadamente do art. 855-C da CLT, extrai-se a vocação prioritária dos acordos extrajudiciais para regular a rescisão contratual e, portanto, o fim da relação contratual de trabalho. Não fosse a possibilidade da quitação geral do contrato de trabalho com a chancela do Judiciário e o Capítulo III-A não teria sido acrescido ao Título X da CLT, que trata do Processo Judiciário do Trabalho. 5. Nesse sentido, o art. 855-B, §§ 1º e 2º, da CLT, que trata da apresentação do acordo extrajudicial à Justiça, a par dos requisitos gerais de validade dos negócios jurídicos que se aplicam ao Direito do Trabalho, nos termos do art. 8º, § 1º, da Lei Consolidada e que perfazem o ato jurídico perfeito (CC, art. </w:t>
      </w:r>
      <w:proofErr w:type="gramStart"/>
      <w:r w:rsidR="00CC3A82" w:rsidRPr="00BE2C73">
        <w:rPr>
          <w:rFonts w:ascii="Open Sans" w:hAnsi="Open Sans" w:cs="Open Sans"/>
          <w:sz w:val="24"/>
          <w:szCs w:val="24"/>
        </w:rPr>
        <w:t>104 – agente capaz, objeto lícito e forma prescrita ou não vedada por lei)</w:t>
      </w:r>
      <w:proofErr w:type="gramEnd"/>
      <w:r w:rsidR="00CC3A82" w:rsidRPr="00BE2C73">
        <w:rPr>
          <w:rFonts w:ascii="Open Sans" w:hAnsi="Open Sans" w:cs="Open Sans"/>
          <w:sz w:val="24"/>
          <w:szCs w:val="24"/>
        </w:rPr>
        <w:t xml:space="preserve">, traçou as balizas para a apresentação do acordo extrajudicial apto à homologação judicial: petição conjunta dos interessados e advogados distintos, podendo haver assistência sindical para o trabalhador. 6. A petição conjuntamente assinada para a apresentação do requerimento de homologação ao juiz de piso serve à demonstração da anuência mútua dos interessados em por fim ao contratado, e, os advogados distintos, à garantia de que as pretensões estarão sendo individualmente respeitadas. Assim, a atuação do Judiciário Laboral na tarefa de jurisdição voluntária é verificar a inexistência de vício de vontade ou descumprimento dos requisitos legais. 7. No caso concreto, o Regional manteve a sentença de primeiro grau que não homologou o acordo trazido à Justiça do Trabalho, </w:t>
      </w:r>
      <w:r w:rsidR="00CC3A82" w:rsidRPr="00BE2C73">
        <w:rPr>
          <w:rFonts w:ascii="Open Sans" w:hAnsi="Open Sans" w:cs="Open Sans"/>
          <w:sz w:val="24"/>
          <w:szCs w:val="24"/>
        </w:rPr>
        <w:lastRenderedPageBreak/>
        <w:t xml:space="preserve">ao fundamento de que a existência de dúvida a respeito da efetiva existência do direito transacionado é requisito essencial de validade da transação, e não se faz presente na situação examinada. Assim, por não constatar a efetiva transação, não há como homologar o acordo extrajudicial das partes. 8. Nesse sentido, a conclusão acerca da invalidade do pacto extrajudicial, por impossibilidade de </w:t>
      </w:r>
      <w:r w:rsidR="00CA7470">
        <w:rPr>
          <w:rFonts w:ascii="Open Sans" w:hAnsi="Open Sans" w:cs="Open Sans"/>
          <w:sz w:val="24"/>
          <w:szCs w:val="24"/>
        </w:rPr>
        <w:t>‘</w:t>
      </w:r>
      <w:r w:rsidR="00CC3A82" w:rsidRPr="00BE2C73">
        <w:rPr>
          <w:rFonts w:ascii="Open Sans" w:hAnsi="Open Sans" w:cs="Open Sans"/>
          <w:sz w:val="24"/>
          <w:szCs w:val="24"/>
        </w:rPr>
        <w:t>renúncia</w:t>
      </w:r>
      <w:r w:rsidR="00CA7470">
        <w:rPr>
          <w:rFonts w:ascii="Open Sans" w:hAnsi="Open Sans" w:cs="Open Sans"/>
          <w:sz w:val="24"/>
          <w:szCs w:val="24"/>
        </w:rPr>
        <w:t>’</w:t>
      </w:r>
      <w:r w:rsidR="00CC3A82" w:rsidRPr="00BE2C73">
        <w:rPr>
          <w:rFonts w:ascii="Open Sans" w:hAnsi="Open Sans" w:cs="Open Sans"/>
          <w:sz w:val="24"/>
          <w:szCs w:val="24"/>
        </w:rPr>
        <w:t xml:space="preserve"> de direitos diz menos com a validação extrínseca do negócio jurídico do que com a razoabilidade intrínseca do acordo, cujo questionamento não cabe ao Judiciário nesse procedimento, pois lhe esvazia o sentido e estabelece limites e discussões não queridos pelos Requerentes ao ajuizar o procedimento. 9. Ora, estando presentes os requisitos gerais do negócio jurídico e os específicos preconizados pela lei trabalhista (CLT, art. 855-B), não há de se questionar a vontade das Partes envolvidas e do mérito do acordado, notadamente quando a lei requer a presença de advogado para o empregado, rechaçando, nesta situação, o uso do </w:t>
      </w:r>
      <w:r w:rsidR="00CC3A82" w:rsidRPr="00BE2C73">
        <w:rPr>
          <w:rFonts w:ascii="Open Sans" w:hAnsi="Open Sans" w:cs="Open Sans"/>
          <w:i/>
          <w:sz w:val="24"/>
          <w:szCs w:val="24"/>
        </w:rPr>
        <w:t xml:space="preserve">jus </w:t>
      </w:r>
      <w:proofErr w:type="spellStart"/>
      <w:r w:rsidR="00CC3A82" w:rsidRPr="00BE2C73">
        <w:rPr>
          <w:rFonts w:ascii="Open Sans" w:hAnsi="Open Sans" w:cs="Open Sans"/>
          <w:i/>
          <w:sz w:val="24"/>
          <w:szCs w:val="24"/>
        </w:rPr>
        <w:t>postulandi</w:t>
      </w:r>
      <w:proofErr w:type="spellEnd"/>
      <w:r w:rsidR="00CC3A82" w:rsidRPr="00BE2C73">
        <w:rPr>
          <w:rFonts w:ascii="Open Sans" w:hAnsi="Open Sans" w:cs="Open Sans"/>
          <w:sz w:val="24"/>
          <w:szCs w:val="24"/>
        </w:rPr>
        <w:t xml:space="preserve"> do art. 791 da CLT, como se depreende do art. 855-B, § 1º, da CLT. 10. Assim sendo, é válido o termo de transação extrajudicial apresentado pelos Interessados para o pagamento de verbas rescisórias, que deve ser homologado. Recurso de revista provido." (</w:t>
      </w:r>
      <w:hyperlink r:id="rId13" w:anchor="0795ce0" w:history="1">
        <w:r w:rsidR="00CC3A82" w:rsidRPr="00BE2C73">
          <w:rPr>
            <w:rStyle w:val="Hyperlink"/>
            <w:rFonts w:ascii="Open Sans" w:hAnsi="Open Sans" w:cs="Open Sans"/>
            <w:sz w:val="24"/>
            <w:szCs w:val="24"/>
          </w:rPr>
          <w:t>TST-RR-53-63.2024.5.12.0039, 4ª Turma, rel. Min. Ives Gandra da Silva Martins Filho, julgado em 10/9/2024</w:t>
        </w:r>
      </w:hyperlink>
      <w:r w:rsidR="00CC3A82" w:rsidRPr="00BE2C73">
        <w:rPr>
          <w:rFonts w:ascii="Open Sans" w:hAnsi="Open Sans" w:cs="Open Sans"/>
          <w:sz w:val="24"/>
          <w:szCs w:val="24"/>
        </w:rPr>
        <w:t>)</w:t>
      </w:r>
    </w:p>
    <w:p w:rsidR="00803897" w:rsidRPr="00BE2C73" w:rsidRDefault="00803897" w:rsidP="00BE2C73">
      <w:pPr>
        <w:suppressAutoHyphens/>
        <w:ind w:left="-227" w:right="369"/>
        <w:jc w:val="both"/>
        <w:rPr>
          <w:rFonts w:ascii="Open Sans" w:hAnsi="Open Sans" w:cs="Open Sans"/>
          <w:sz w:val="24"/>
          <w:szCs w:val="24"/>
        </w:rPr>
      </w:pPr>
    </w:p>
    <w:p w:rsidR="00CC3A82" w:rsidRPr="00BE2C73" w:rsidRDefault="00C94C3F" w:rsidP="00BE2C73">
      <w:pPr>
        <w:suppressAutoHyphens/>
        <w:ind w:left="-227" w:right="369"/>
        <w:jc w:val="both"/>
        <w:rPr>
          <w:rFonts w:ascii="Open Sans" w:hAnsi="Open Sans" w:cs="Open Sans"/>
          <w:sz w:val="24"/>
          <w:szCs w:val="24"/>
        </w:rPr>
      </w:pPr>
      <w:r>
        <w:rPr>
          <w:rFonts w:ascii="Open Sans" w:hAnsi="Open Sans" w:cs="Open Sans"/>
          <w:sz w:val="24"/>
          <w:szCs w:val="24"/>
        </w:rPr>
        <w:t>“[</w:t>
      </w:r>
      <w:proofErr w:type="gramStart"/>
      <w:r>
        <w:rPr>
          <w:rFonts w:ascii="Open Sans" w:hAnsi="Open Sans" w:cs="Open Sans"/>
          <w:sz w:val="24"/>
          <w:szCs w:val="24"/>
        </w:rPr>
        <w:t>...]</w:t>
      </w:r>
      <w:r w:rsidR="00CC3A82" w:rsidRPr="00BE2C73">
        <w:rPr>
          <w:rFonts w:ascii="Open Sans" w:hAnsi="Open Sans" w:cs="Open Sans"/>
          <w:sz w:val="24"/>
          <w:szCs w:val="24"/>
        </w:rPr>
        <w:t xml:space="preserve"> C)</w:t>
      </w:r>
      <w:proofErr w:type="gramEnd"/>
      <w:r w:rsidR="00CC3A82" w:rsidRPr="00BE2C73">
        <w:rPr>
          <w:rFonts w:ascii="Open Sans" w:hAnsi="Open Sans" w:cs="Open Sans"/>
          <w:sz w:val="24"/>
          <w:szCs w:val="24"/>
        </w:rPr>
        <w:t xml:space="preserve"> RECURSO DE REVISTA INTERPOSTO PELA RECLAMADA. ACÓRDÃO REGIONAL PUBLICADO NA VIGÊNCIA DA LEI Nº 13.467/2017. TURNO ININTERRUPTO DE REVEZAMENTO E REGIME DE COMPENSAÇÃO DE JORNADA. PREVISÃO EM NORMA COLETIVA. VALIDADE. TEMA 1.046 DA TABELA DE REPERCUSSÃO GERAL DO SUPREMO TRIBUNAL FEDERAL. TRANSCENDÊNCIA POLÍTICA RECONHECIDA. I. Em 02/06/2022, o STF pacificou a questão da autonomia negocial coletiva, fixando tese jurídica no Tema 1046 de sua Tabela de Repercussão Geral, no sentido de qu</w:t>
      </w:r>
      <w:r>
        <w:rPr>
          <w:rFonts w:ascii="Open Sans" w:hAnsi="Open Sans" w:cs="Open Sans"/>
          <w:sz w:val="24"/>
          <w:szCs w:val="24"/>
        </w:rPr>
        <w:t>e ‘</w:t>
      </w:r>
      <w:r w:rsidR="00CC3A82" w:rsidRPr="00BE2C73">
        <w:rPr>
          <w:rFonts w:ascii="Open Sans" w:hAnsi="Open Sans" w:cs="Open Sans"/>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Pr>
          <w:rFonts w:ascii="Open Sans" w:hAnsi="Open Sans" w:cs="Open Sans"/>
          <w:sz w:val="24"/>
          <w:szCs w:val="24"/>
        </w:rPr>
        <w:t>’</w:t>
      </w:r>
      <w:r w:rsidR="00CC3A82" w:rsidRPr="00BE2C73">
        <w:rPr>
          <w:rFonts w:ascii="Open Sans" w:hAnsi="Open Sans" w:cs="Open Sans"/>
          <w:sz w:val="24"/>
          <w:szCs w:val="24"/>
        </w:rPr>
        <w:t>. Logo, a regra geral é da validade das normas coletivas, ainda que pactuem limitações ou afastamentos de direitos trabalhistas, com exceção dos direitos absolutamente indisponíveis, assim entendidos aqueles infensos à negociação sindical, que encontram explicitação taxativa no rol do art. 611-B da CLT. No caso dos autos, o objeto da norma convencional refere-se à adoção do regime de compensação semanal de jornada em turnos ininterruptos de revezamento, matéria que não se enquadra na vedação à negociação coletiva, nos termos da tese descrita no Tema 1046 da Tabela de Repercussão Geral da Suprema Corte. II. A extrapolação habitual da jornada definida na norma coletiva não é suficiente para afastar sua aplicação, devendo ser pago como extra apenas o período laborado além da jornada negociada, à luz da tese fixada pelo STF no Tema 1.046. III. Recurso de revista conhecido e provido." (</w:t>
      </w:r>
      <w:hyperlink r:id="rId14" w:history="1">
        <w:r w:rsidR="00CC3A82" w:rsidRPr="00BE2C73">
          <w:rPr>
            <w:rStyle w:val="Hyperlink"/>
            <w:rFonts w:ascii="Open Sans" w:hAnsi="Open Sans" w:cs="Open Sans"/>
            <w:sz w:val="24"/>
            <w:szCs w:val="24"/>
          </w:rPr>
          <w:t>TST-RRAg-20371-82.2016.5.04.0811, 4ª Turma, rel. Min. Alexandre Luiz Ramos, julgado em 10/9/2024</w:t>
        </w:r>
      </w:hyperlink>
      <w:r w:rsidR="00CC3A82" w:rsidRPr="00BE2C73">
        <w:rPr>
          <w:rFonts w:ascii="Open Sans" w:hAnsi="Open Sans" w:cs="Open Sans"/>
          <w:sz w:val="24"/>
          <w:szCs w:val="24"/>
        </w:rPr>
        <w:t>)</w:t>
      </w:r>
    </w:p>
    <w:p w:rsidR="00CC3A82" w:rsidRPr="00BE2C73" w:rsidRDefault="00CC3A82" w:rsidP="00BE2C73">
      <w:pPr>
        <w:suppressAutoHyphens/>
        <w:ind w:left="-227" w:right="369"/>
        <w:jc w:val="both"/>
        <w:rPr>
          <w:rFonts w:ascii="Open Sans" w:hAnsi="Open Sans" w:cs="Open Sans"/>
          <w:sz w:val="24"/>
          <w:szCs w:val="24"/>
        </w:rPr>
      </w:pPr>
    </w:p>
    <w:p w:rsidR="00CC3A82" w:rsidRPr="00BE2C73" w:rsidRDefault="00CC3A82" w:rsidP="00BE2C73">
      <w:pPr>
        <w:suppressAutoHyphens/>
        <w:ind w:left="-227" w:right="369"/>
        <w:jc w:val="both"/>
        <w:rPr>
          <w:rFonts w:ascii="Open Sans" w:hAnsi="Open Sans" w:cs="Open Sans"/>
          <w:sz w:val="24"/>
          <w:szCs w:val="24"/>
        </w:rPr>
      </w:pPr>
      <w:r w:rsidRPr="00BE2C73">
        <w:rPr>
          <w:rFonts w:ascii="Open Sans" w:hAnsi="Open Sans" w:cs="Open Sans"/>
          <w:sz w:val="24"/>
          <w:szCs w:val="24"/>
        </w:rPr>
        <w:t xml:space="preserve">“AGRAVO OBREIRO EM RECURSO DE REVISTA COM AGRAVO PATRONAL – DESPROVIMENTO. </w:t>
      </w:r>
      <w:proofErr w:type="gramStart"/>
      <w:r w:rsidRPr="00BE2C73">
        <w:rPr>
          <w:rFonts w:ascii="Open Sans" w:hAnsi="Open Sans" w:cs="Open Sans"/>
          <w:sz w:val="24"/>
          <w:szCs w:val="24"/>
        </w:rPr>
        <w:t>1</w:t>
      </w:r>
      <w:proofErr w:type="gramEnd"/>
      <w:r w:rsidRPr="00BE2C73">
        <w:rPr>
          <w:rFonts w:ascii="Open Sans" w:hAnsi="Open Sans" w:cs="Open Sans"/>
          <w:sz w:val="24"/>
          <w:szCs w:val="24"/>
        </w:rPr>
        <w:t xml:space="preserve">. Na decisão ora agravada foi reconhecida a transcendência política da matéria atinente à validade da norma coletiva da categoria, que disciplinou </w:t>
      </w:r>
      <w:r w:rsidRPr="00BE2C73">
        <w:rPr>
          <w:rFonts w:ascii="Open Sans" w:hAnsi="Open Sans" w:cs="Open Sans"/>
          <w:sz w:val="24"/>
          <w:szCs w:val="24"/>
        </w:rPr>
        <w:lastRenderedPageBreak/>
        <w:t>a questão do sistema de marcação de ponto por exceção, e foi provido o recurso de revista da Reclamada para declarar válido o disposto no instrumento coletivo, que atende aos parâmetros do precedente vinculante do STF, fixados no ARE 1121633, de relatoria do Min. Gilmar Mendes, além dos constitucionais e legais, pois se está flexibilizando norma legal atinente ao controle da jornada de trabalho. 2. No agravo, o Reclamante não trouxe nenhum argumento que infirmasse os fundamentos do despacho hostilizado, motivo pelo qual este merece ser mantido. Agravo desprovido." (</w:t>
      </w:r>
      <w:hyperlink r:id="rId15" w:history="1">
        <w:r w:rsidRPr="00BE2C73">
          <w:rPr>
            <w:rStyle w:val="Hyperlink"/>
            <w:rFonts w:ascii="Open Sans" w:hAnsi="Open Sans" w:cs="Open Sans"/>
            <w:sz w:val="24"/>
            <w:szCs w:val="24"/>
          </w:rPr>
          <w:t>TST-Ag-RRAg-10434-87.2019.5.15.0083, 4ª Turma, rel. Min. Ives Gandra da Silva Martins Filho, julgado em 17/9/2024</w:t>
        </w:r>
      </w:hyperlink>
      <w:r w:rsidRPr="00BE2C73">
        <w:rPr>
          <w:rFonts w:ascii="Open Sans" w:hAnsi="Open Sans" w:cs="Open Sans"/>
          <w:sz w:val="24"/>
          <w:szCs w:val="24"/>
        </w:rPr>
        <w:t>)</w:t>
      </w:r>
    </w:p>
    <w:p w:rsidR="00CC3A82" w:rsidRPr="00BE2C73" w:rsidRDefault="00CC3A82" w:rsidP="00BE2C73">
      <w:pPr>
        <w:suppressAutoHyphens/>
        <w:ind w:left="-227" w:right="369"/>
        <w:jc w:val="both"/>
        <w:rPr>
          <w:rFonts w:ascii="Open Sans" w:hAnsi="Open Sans" w:cs="Open Sans"/>
          <w:sz w:val="24"/>
          <w:szCs w:val="24"/>
        </w:rPr>
      </w:pPr>
    </w:p>
    <w:p w:rsidR="00CC3A82" w:rsidRDefault="00CC3A82" w:rsidP="00BE2C73">
      <w:pPr>
        <w:pStyle w:val="Ementa"/>
        <w:suppressAutoHyphens/>
        <w:ind w:left="-227" w:right="369"/>
        <w:rPr>
          <w:rFonts w:eastAsia="Times New Roman" w:cs="Open Sans"/>
          <w:b/>
          <w:color w:val="FF0000"/>
        </w:rPr>
      </w:pPr>
      <w:r w:rsidRPr="00BE2C73">
        <w:rPr>
          <w:rStyle w:val="fontepargpadro-000004"/>
          <w:rFonts w:cs="Open Sans"/>
          <w:bCs/>
        </w:rPr>
        <w:t xml:space="preserve">“[...] III. RECURSO DE REVISTA. REGIDO PELA LEI 13.467/2017. ANUÊNIO. PREVISÃO EM NORMA INTERNA. CONTRATO PREVIAMENTE CELEBRADO. SUPERVENIÊNCIA DE NORMA COLETIVA EM QUE SUPRIMIDA A PARCELA. VALIDADE. AUTONOMIA NEGOCIAL COLETIVA. OFENSA AO ARTIGO 7º, XXVI, DA CF. TRANSCENDÊNCIA POLÍTICA CONFIGURADA. </w:t>
      </w:r>
      <w:proofErr w:type="gramStart"/>
      <w:r w:rsidRPr="00BE2C73">
        <w:rPr>
          <w:rStyle w:val="fontepargpadro-000004"/>
          <w:rFonts w:cs="Open Sans"/>
          <w:bCs/>
        </w:rPr>
        <w:t>1</w:t>
      </w:r>
      <w:proofErr w:type="gramEnd"/>
      <w:r w:rsidRPr="00BE2C73">
        <w:rPr>
          <w:rStyle w:val="fontepargpadro-000004"/>
          <w:rFonts w:cs="Open Sans"/>
          <w:bCs/>
        </w:rPr>
        <w:t xml:space="preserve">. Cinge-se a controvérsia em definir se as alterações contratuais produzidas no ambiente coletivo devem abranger ou não os contratos previamente celebrados, nos quais consolidadas situações jurídicas específicas. 2. O Supremo Tribunal Federal decidiu que essa questão não possui aderência com a tese de repercussão geral firmada no julgamento do ARE 1.121.633 (Tema 1046). Para o STF, a discussão não diz respeito à validade de norma coletiva, mas sim à eventual alteração contratual lesiva pela supressão de direito incorporado ao contrato de trabalho. 3. No presente caso, o Reclamante recebeu </w:t>
      </w:r>
      <w:proofErr w:type="spellStart"/>
      <w:r w:rsidRPr="00BE2C73">
        <w:rPr>
          <w:rStyle w:val="fontepargpadro-000004"/>
          <w:rFonts w:cs="Open Sans"/>
          <w:bCs/>
        </w:rPr>
        <w:t>anuênios</w:t>
      </w:r>
      <w:proofErr w:type="spellEnd"/>
      <w:r w:rsidRPr="00BE2C73">
        <w:rPr>
          <w:rStyle w:val="fontepargpadro-000004"/>
          <w:rFonts w:cs="Open Sans"/>
          <w:bCs/>
        </w:rPr>
        <w:t xml:space="preserve"> desde sua contratação (1988) até 1999. A parcela foi instituída por regulamento empresarial e, após sucessivas repetições em acordos coletivos, deixou de ser prevista nos instrumentos coletivos da categoria. O Tribunal Regional concluiu que a parcela </w:t>
      </w:r>
      <w:proofErr w:type="spellStart"/>
      <w:r w:rsidRPr="00BE2C73">
        <w:rPr>
          <w:rStyle w:val="fontepargpadro-000004"/>
          <w:rFonts w:cs="Open Sans"/>
          <w:bCs/>
        </w:rPr>
        <w:t>anuênios</w:t>
      </w:r>
      <w:proofErr w:type="spellEnd"/>
      <w:r w:rsidRPr="00BE2C73">
        <w:rPr>
          <w:rStyle w:val="fontepargpadro-000004"/>
          <w:rFonts w:cs="Open Sans"/>
          <w:bCs/>
        </w:rPr>
        <w:t xml:space="preserve"> esteve expressamente prevista na CTPS do Reclamante e vinculada ao próprio pacto laboral, se incorporando ao seu patrimônio, sem possibilidade de supressão, sob pena de alteração contratual lesiva e afronta ao princípio da irredutibilidade salarial. 4. Consoante previsão legal e jurisprudencial, são nulas todas as alterações contratuais que causem prejuízos diretos ou indiretos ao trabalhador (art. 468 da CLT). Ainda, a modificação das regras contratuais dispostas em regulamento pelo empregador apenas pode alcançar os trabalhadores admitidos após essa inovação, na exata dicção da Súmula 51, I, do TST. Distintos, porém, são os efeitos que decorrem de alterações produzidas no exercício da autonomia negocial coletiva, reconhecida aos atores sociais em nível constitucional (CF, </w:t>
      </w:r>
      <w:proofErr w:type="spellStart"/>
      <w:r w:rsidRPr="00BE2C73">
        <w:rPr>
          <w:rStyle w:val="fontepargpadro-000004"/>
          <w:rFonts w:cs="Open Sans"/>
          <w:bCs/>
        </w:rPr>
        <w:t>arts</w:t>
      </w:r>
      <w:proofErr w:type="spellEnd"/>
      <w:r w:rsidRPr="00BE2C73">
        <w:rPr>
          <w:rStyle w:val="fontepargpadro-000004"/>
          <w:rFonts w:cs="Open Sans"/>
          <w:bCs/>
        </w:rPr>
        <w:t xml:space="preserve">. 7º, XXVI e 8º, VI), cujas disposições </w:t>
      </w:r>
      <w:proofErr w:type="gramStart"/>
      <w:r w:rsidRPr="00BE2C73">
        <w:rPr>
          <w:rStyle w:val="fontepargpadro-000004"/>
          <w:rFonts w:cs="Open Sans"/>
          <w:bCs/>
        </w:rPr>
        <w:t>prevalecem</w:t>
      </w:r>
      <w:proofErr w:type="gramEnd"/>
      <w:r w:rsidRPr="00BE2C73">
        <w:rPr>
          <w:rStyle w:val="fontepargpadro-000004"/>
          <w:rFonts w:cs="Open Sans"/>
          <w:bCs/>
        </w:rPr>
        <w:t xml:space="preserve"> sobre as condições individualmente ajustadas, como expressamente prevê o art. 444 da CLT. Colhe-se, ainda, da jurisprudência desta Corte o reconhecimento expresso de que até mesmo as sentenças normativas podem impor novos padrões regulatórios, superando os anteriormente praticados, diante de circunstâncias específicas, em que esteja em pauta a própria preservação da atividade empresarial (art. 1º, IV, e 170, ambos da CF c/c o art. 47 da Lei 11.101/2005). Nesse sentido a pacífica e uníssona jurisprudência desta Corte (Ag-Emb-Ag-RR-10930-84.2021.5.03.0082, Subseção I Especializada em Dissídios Individuais, Relator Ministro Evandro Pereira Valadão Lopes, DEJT 07/06/2024). Nessa esteira, as sentenças normativas, acordos e convenções de trabalho ingressam na dinâmica trabalhista, com força normativo-imperativa, para promover alterações contratuais e substituir, automaticamente, cláusulas contratuais </w:t>
      </w:r>
      <w:r w:rsidRPr="00BE2C73">
        <w:rPr>
          <w:rStyle w:val="fontepargpadro-000004"/>
          <w:rFonts w:cs="Open Sans"/>
          <w:bCs/>
        </w:rPr>
        <w:lastRenderedPageBreak/>
        <w:t>contrárias às suas disposições. 5. A Constituição Federal admite a flexibilização negociada do Direito do Trabalho, ao delegar aos atores coletivos - sindicatos de categorias profissionais e econômicas – a promoção de negociação coletiva em que se modifica, reduz ou suprime direitos trabalhistas (artigo 7º</w:t>
      </w:r>
      <w:proofErr w:type="gramStart"/>
      <w:r w:rsidRPr="00BE2C73">
        <w:rPr>
          <w:rStyle w:val="fontepargpadro-000004"/>
          <w:rFonts w:cs="Open Sans"/>
          <w:bCs/>
        </w:rPr>
        <w:t>, VI</w:t>
      </w:r>
      <w:proofErr w:type="gramEnd"/>
      <w:r w:rsidRPr="00BE2C73">
        <w:rPr>
          <w:rStyle w:val="fontepargpadro-000004"/>
          <w:rFonts w:cs="Open Sans"/>
          <w:bCs/>
        </w:rPr>
        <w:t xml:space="preserve">, XIII e XIV, da CF).  Nesse sentido, as previsões constantes de instrumentos coletivos geram alterações contratuais imperativas, e serão imediatamente aplicadas, desde que não afrontem direitos gravados com a nota da indisponibilidade absoluta (CLT, art. 611-B). O ambiente normativo-institucional implica deveres e responsabilidades a todos: lideranças sindicais, trabalhadores e empresas. Eventuais interesses dos trabalhadores supostamente mal negociados pelo Sindicato, no contexto de trocas inerentes à negociação, escapam do alcance da cognição permitida ao Poder Judiciário, frente ao que dispõe o artigo 8ª, § 3º, da CLT. 6. Deve, pois, prevalecer o que foi convencionado coletivamente, autorizando-se a supressão dos </w:t>
      </w:r>
      <w:proofErr w:type="spellStart"/>
      <w:r w:rsidRPr="00BE2C73">
        <w:rPr>
          <w:rStyle w:val="fontepargpadro-000004"/>
          <w:rFonts w:cs="Open Sans"/>
          <w:bCs/>
        </w:rPr>
        <w:t>anuênios</w:t>
      </w:r>
      <w:proofErr w:type="spellEnd"/>
      <w:r w:rsidRPr="00BE2C73">
        <w:rPr>
          <w:rStyle w:val="fontepargpadro-000004"/>
          <w:rFonts w:cs="Open Sans"/>
          <w:bCs/>
        </w:rPr>
        <w:t xml:space="preserve">. Nesse cenário, diante da origem da alteração contratual combatida, pouco importa que o empregado tenha recebido a parcela desde a sua contratação, não se cogitando de ofensa ao artigo 468 da CLT ou contrariedade à Súmula 51, I, do TST. Violação do artigo 7º, XXVI, da Constituição Federal configurada. </w:t>
      </w:r>
      <w:proofErr w:type="gramStart"/>
      <w:r w:rsidRPr="00BE2C73">
        <w:rPr>
          <w:rStyle w:val="fontepargpadro-000004"/>
          <w:rFonts w:cs="Open Sans"/>
          <w:bCs/>
        </w:rPr>
        <w:t>Recurso de revista conhecido e provido.”</w:t>
      </w:r>
      <w:proofErr w:type="gramEnd"/>
      <w:r w:rsidRPr="00BE2C73">
        <w:rPr>
          <w:rStyle w:val="fontepargpadro-000004"/>
          <w:rFonts w:cs="Open Sans"/>
          <w:bCs/>
        </w:rPr>
        <w:t xml:space="preserve"> </w:t>
      </w:r>
      <w:r w:rsidRPr="00BE2C73">
        <w:rPr>
          <w:rStyle w:val="fontepargpadro-000004"/>
          <w:rFonts w:cs="Open Sans"/>
        </w:rPr>
        <w:t>(</w:t>
      </w:r>
      <w:hyperlink r:id="rId16" w:history="1">
        <w:r w:rsidRPr="00BE2C73">
          <w:rPr>
            <w:rStyle w:val="Hyperlink"/>
            <w:rFonts w:cs="Open Sans"/>
          </w:rPr>
          <w:t xml:space="preserve">TST-RR-673-23.2013.5.03.0068, 5ª Turma, rel. </w:t>
        </w:r>
        <w:r w:rsidR="00FE4D29">
          <w:rPr>
            <w:rStyle w:val="Hyperlink"/>
            <w:rFonts w:cs="Open Sans"/>
          </w:rPr>
          <w:t xml:space="preserve">Min. </w:t>
        </w:r>
        <w:r w:rsidRPr="00BE2C73">
          <w:rPr>
            <w:rStyle w:val="Hyperlink"/>
            <w:rFonts w:cs="Open Sans"/>
          </w:rPr>
          <w:t>Douglas Alencar Rodrigues, julgado em 4/9/2024</w:t>
        </w:r>
      </w:hyperlink>
      <w:r w:rsidR="00045210">
        <w:rPr>
          <w:rFonts w:cs="Open Sans"/>
        </w:rPr>
        <w:t>)</w:t>
      </w:r>
    </w:p>
    <w:p w:rsidR="00BE2C73" w:rsidRPr="00BE2C73" w:rsidRDefault="00BE2C73" w:rsidP="00BE2C73">
      <w:pPr>
        <w:pStyle w:val="Ementa"/>
        <w:suppressAutoHyphens/>
        <w:ind w:left="-227" w:right="369"/>
        <w:rPr>
          <w:rFonts w:cs="Open Sans"/>
        </w:rPr>
      </w:pPr>
    </w:p>
    <w:p w:rsidR="00CC3A82" w:rsidRPr="00BE2C73" w:rsidRDefault="00CC3A82" w:rsidP="00BE2C73">
      <w:pPr>
        <w:pStyle w:val="Ementa"/>
        <w:suppressAutoHyphens/>
        <w:ind w:left="-227" w:right="369"/>
        <w:rPr>
          <w:rFonts w:cs="Open Sans"/>
          <w:color w:val="FF0000"/>
        </w:rPr>
      </w:pPr>
      <w:proofErr w:type="gramStart"/>
      <w:r w:rsidRPr="00BE2C73">
        <w:rPr>
          <w:rStyle w:val="fontepargpadro-000004"/>
          <w:rFonts w:cs="Open Sans"/>
          <w:bCs/>
        </w:rPr>
        <w:t>“[...] RECURSO DE REVISTA.</w:t>
      </w:r>
      <w:proofErr w:type="gramEnd"/>
      <w:r w:rsidRPr="00BE2C73">
        <w:rPr>
          <w:rStyle w:val="fontepargpadro-000004"/>
          <w:rFonts w:cs="Open Sans"/>
          <w:bCs/>
        </w:rPr>
        <w:t xml:space="preserve"> ACÓRDÃO PUBLICADO NA VIGÊNCIA DA LEI N° 13.467/2017. PRESCRIÇÃO INTERCORRENTE. APLICABILIDADE NO PROCESSO DO TRABALHO. ART. 11-A, </w:t>
      </w:r>
      <w:r w:rsidRPr="00FF2F91">
        <w:rPr>
          <w:rStyle w:val="fontepargpadro-000004"/>
          <w:rFonts w:cs="Open Sans"/>
          <w:bCs/>
          <w:i/>
        </w:rPr>
        <w:t>CAPUT</w:t>
      </w:r>
      <w:r w:rsidRPr="00BE2C73">
        <w:rPr>
          <w:rStyle w:val="fontepargpadro-000004"/>
          <w:rFonts w:cs="Open Sans"/>
          <w:bCs/>
        </w:rPr>
        <w:t xml:space="preserve">, §§ 1º E 2º, DA LEI Nº 13.467/2017. TRANSCENDÊNCIA JURÍDICA RECONHECIDA. O artigo 11-A, </w:t>
      </w:r>
      <w:r w:rsidRPr="00FF2F91">
        <w:rPr>
          <w:rStyle w:val="fontepargpadro-000004"/>
          <w:rFonts w:cs="Open Sans"/>
          <w:bCs/>
          <w:i/>
        </w:rPr>
        <w:t>caput</w:t>
      </w:r>
      <w:r w:rsidRPr="00BE2C73">
        <w:rPr>
          <w:rStyle w:val="fontepargpadro-000004"/>
          <w:rFonts w:cs="Open Sans"/>
          <w:bCs/>
        </w:rPr>
        <w:t xml:space="preserve"> e §§ 1º e 2º, da CLT, introduzido pela Lei 13.467/2017, prevê a aplicação da prescrição intercorrente no processo do trabalho, a requerimento ou de ofício, a ser declarada no prazo de dois anos contados da data em que o exequente deixar de cumprir determinação judicial no curso da execução. Ademais, a Instrução Normativa 41/2018 desta Corte, que dispõe sobre a aplicação das normas processuais introduzidas pela Lei 13.467/2017 à Consolidação das Leis do Trabalho, esta</w:t>
      </w:r>
      <w:r w:rsidR="000B4777">
        <w:rPr>
          <w:rStyle w:val="fontepargpadro-000004"/>
          <w:rFonts w:cs="Open Sans"/>
          <w:bCs/>
        </w:rPr>
        <w:t>beleceu, em seu artigo 2º, que ‘</w:t>
      </w:r>
      <w:r w:rsidRPr="00BE2C73">
        <w:rPr>
          <w:rStyle w:val="fontepargpadro-000004"/>
          <w:rFonts w:cs="Open Sans"/>
          <w:bCs/>
        </w:rPr>
        <w:t>O fluxo da prescrição intercorrente conta-se a partir do descumprimento da determinação judicial a que alude o § 1º do art. 11-A da CLT, desde que feita após 11 de novembro de 2017</w:t>
      </w:r>
      <w:r w:rsidR="00CC69B0">
        <w:rPr>
          <w:rStyle w:val="fontepargpadro-000004"/>
          <w:rFonts w:cs="Open Sans"/>
          <w:bCs/>
        </w:rPr>
        <w:t>’</w:t>
      </w:r>
      <w:r w:rsidRPr="00BE2C73">
        <w:rPr>
          <w:rStyle w:val="fontepargpadro-000004"/>
          <w:rFonts w:cs="Open Sans"/>
          <w:bCs/>
        </w:rPr>
        <w:t>, caso dos autos. Assim sendo, com base no registro constan</w:t>
      </w:r>
      <w:r w:rsidR="00CC69B0">
        <w:rPr>
          <w:rStyle w:val="fontepargpadro-000004"/>
          <w:rFonts w:cs="Open Sans"/>
          <w:bCs/>
        </w:rPr>
        <w:t>te do acórdão regional, de que ‘</w:t>
      </w:r>
      <w:r w:rsidRPr="00BE2C73">
        <w:rPr>
          <w:rStyle w:val="fontepargpadro-000004"/>
          <w:rFonts w:cs="Open Sans"/>
          <w:bCs/>
        </w:rPr>
        <w:t>após a primeira determinação de arquivamento provisório, por 02 anos, em 30/07/2020, o exequente, neste ínterim apenas utilizou de ferramentas eletrônicas que resultaram infrutíferas</w:t>
      </w:r>
      <w:r w:rsidR="00CC69B0">
        <w:rPr>
          <w:rStyle w:val="fontepargpadro-000004"/>
          <w:rFonts w:cs="Open Sans"/>
          <w:bCs/>
        </w:rPr>
        <w:t>’</w:t>
      </w:r>
      <w:r w:rsidRPr="00BE2C73">
        <w:rPr>
          <w:rStyle w:val="fontepargpadro-000004"/>
          <w:rFonts w:cs="Open Sans"/>
          <w:bCs/>
        </w:rPr>
        <w:t xml:space="preserve">, deve ser mantida a decisão regional que declarou a prescrição intercorrente em janeiro de 2023. Isso porque o simples requerimento de diligências, por si só, não configura impulso processual suficiente a suspender o lapso prescricional. Conclusão outra acarretaria a perpetuação das execuções trabalhistas, o que contraria os preceitos constitucionais da segurança jurídica e da duração razoável duração do processo (art. 5º, LXXVIII da CF/88). A corroborar tal entendimento o Superior Tribunal de Justiça, firmou entendimento no sentido de que os requerimentos para realização de diligências que se mostraram infrutíferas em localizar o devedor ou seus bens não têm o condão de suspender ou interromper a prescrição intercorrente. Precedente do STJ. Recurso de revista não </w:t>
      </w:r>
      <w:proofErr w:type="gramStart"/>
      <w:r w:rsidRPr="00BE2C73">
        <w:rPr>
          <w:rStyle w:val="fontepargpadro-000004"/>
          <w:rFonts w:cs="Open Sans"/>
          <w:bCs/>
        </w:rPr>
        <w:t>conhecido</w:t>
      </w:r>
      <w:proofErr w:type="gramEnd"/>
      <w:r w:rsidRPr="00BE2C73">
        <w:rPr>
          <w:rStyle w:val="fontepargpadro-000004"/>
          <w:rFonts w:cs="Open Sans"/>
          <w:bCs/>
        </w:rPr>
        <w:t xml:space="preserve">.” </w:t>
      </w:r>
      <w:r w:rsidRPr="00BE2C73">
        <w:rPr>
          <w:rStyle w:val="fontepargpadro-000004"/>
          <w:rFonts w:cs="Open Sans"/>
        </w:rPr>
        <w:t>(</w:t>
      </w:r>
      <w:hyperlink r:id="rId17" w:history="1">
        <w:r w:rsidRPr="00BE2C73">
          <w:rPr>
            <w:rStyle w:val="Hyperlink"/>
            <w:rFonts w:cs="Open Sans"/>
          </w:rPr>
          <w:t xml:space="preserve">TST-RR-11682-91.2016.5.03.0030, 5ª Turma, rel. </w:t>
        </w:r>
        <w:r w:rsidR="00895CBE">
          <w:rPr>
            <w:rStyle w:val="Hyperlink"/>
            <w:rFonts w:cs="Open Sans"/>
          </w:rPr>
          <w:t xml:space="preserve">Min. </w:t>
        </w:r>
        <w:r w:rsidRPr="00BE2C73">
          <w:rPr>
            <w:rStyle w:val="Hyperlink"/>
            <w:rFonts w:cs="Open Sans"/>
          </w:rPr>
          <w:t>Breno Medeiros, julgado em 18/9/2024</w:t>
        </w:r>
      </w:hyperlink>
      <w:r w:rsidR="006E088D">
        <w:rPr>
          <w:rFonts w:cs="Open Sans"/>
        </w:rPr>
        <w:t>)</w:t>
      </w:r>
      <w:r w:rsidRPr="00BE2C73">
        <w:rPr>
          <w:rFonts w:cs="Open Sans"/>
        </w:rPr>
        <w:t xml:space="preserve"> </w:t>
      </w:r>
    </w:p>
    <w:p w:rsidR="00CC3A82" w:rsidRPr="00BE2C73" w:rsidRDefault="00CC3A82" w:rsidP="00BE2C73">
      <w:pPr>
        <w:suppressAutoHyphens/>
        <w:ind w:left="-227" w:right="369"/>
        <w:jc w:val="both"/>
        <w:rPr>
          <w:rFonts w:ascii="Open Sans" w:hAnsi="Open Sans" w:cs="Open Sans"/>
          <w:sz w:val="24"/>
          <w:szCs w:val="24"/>
        </w:rPr>
      </w:pPr>
    </w:p>
    <w:p w:rsidR="00CC3A82" w:rsidRDefault="00CC3A82" w:rsidP="00BE2C73">
      <w:pPr>
        <w:pStyle w:val="Ementa"/>
        <w:suppressAutoHyphens/>
        <w:ind w:left="-227" w:right="369"/>
        <w:rPr>
          <w:rFonts w:eastAsia="Times New Roman" w:cs="Open Sans"/>
          <w:b/>
          <w:color w:val="FF0000"/>
        </w:rPr>
      </w:pPr>
      <w:r w:rsidRPr="00BE2C73">
        <w:rPr>
          <w:rStyle w:val="fontepargpadro-000004"/>
          <w:rFonts w:cs="Open Sans"/>
          <w:bCs/>
        </w:rPr>
        <w:t xml:space="preserve">“I – AGRAVO EM RECURSO DE REVISTA. ACÓRDÃO REGIONAL PUBLICADO NA VIGÊNCIA DA LEI Nº 13.467/2017. ACIDENTE DE TRABALHO. MOTORISTA DE AMBULÂNCIA. MORTE. RESPONSABILIDADE CIVIL OBJETIVA. Afasta-se o óbice indicado na decisão monocrática e remete-se o recurso de revista para análise do Colegiado. Agravo conhecido e provido. II – RECURSO DE REVISTA. ACÓRDÃO REGIONAL PUBLICADO NA VIGÊNCIA DA LEI Nº 13.467/2017. ACIDENTE DE TRABALHO. MOTORISTA DE AMBULÂNCIA. MORTE. RESPONSABILIDADE CIVIL OBJETIVA. TRANSCENDÊNCIA POLÍTICA RECONHECIDA. A jurisprudência consolidada desta Corte é no sentido de que a teoria da responsabilidade subjetiva, consagrada no art. 7º, XXVIII, da Constituição Federal, não constitui óbice à aplicação da teoria da responsabilidade objetiva (art. 927, parágrafo único, do Código Civil), quando demonstrado o exercício em atividade de risco à integridade física ou psíquica do empregado. No caso, é incontroverso que a vítima trabalhava como motorista de ambulância e que faleceu em decorrência de acidente de trânsito ocorrido numa rodovia, no exercício da função, enquanto transportava pacientes. Em que pese consignado no acórdão regional o excesso de velocidade como causa aparente do acidente, é certo que tal premissa é insuficiente para a se chegar à conclusão inequívoca de que o infortúnio teria resultado de culpa exclusiva da vítima, mormente ante o fato de que o emprego de velocidade é, justamente, uma das qualificadoras do risco acentuado da atividade de motorista de ambulância. Assim, ao afastar a aplicação da teoria da responsabilidade civil objetiva e negar o pedido de indenização por danos materiais e moral, a decisão ora atacada contrariou a jurisprudência desta Corte. Recurso de revista conhecido e provido.” </w:t>
      </w:r>
      <w:r w:rsidRPr="00BE2C73">
        <w:rPr>
          <w:rStyle w:val="fontepargpadro-000004"/>
          <w:rFonts w:cs="Open Sans"/>
        </w:rPr>
        <w:t>(</w:t>
      </w:r>
      <w:hyperlink r:id="rId18" w:history="1">
        <w:r w:rsidRPr="00BE2C73">
          <w:rPr>
            <w:rStyle w:val="Hyperlink"/>
            <w:rFonts w:cs="Open Sans"/>
          </w:rPr>
          <w:t xml:space="preserve">TST-Ag-RR-2223-90.2012.5.15.0056, 5ª Turma, rel. </w:t>
        </w:r>
        <w:r w:rsidR="00C33414">
          <w:rPr>
            <w:rStyle w:val="Hyperlink"/>
            <w:rFonts w:cs="Open Sans"/>
          </w:rPr>
          <w:t xml:space="preserve">Min. </w:t>
        </w:r>
        <w:r w:rsidRPr="00BE2C73">
          <w:rPr>
            <w:rStyle w:val="Hyperlink"/>
            <w:rFonts w:cs="Open Sans"/>
          </w:rPr>
          <w:t xml:space="preserve">Morgana de Almeida </w:t>
        </w:r>
        <w:proofErr w:type="spellStart"/>
        <w:r w:rsidRPr="00BE2C73">
          <w:rPr>
            <w:rStyle w:val="Hyperlink"/>
            <w:rFonts w:cs="Open Sans"/>
          </w:rPr>
          <w:t>Richa</w:t>
        </w:r>
        <w:proofErr w:type="spellEnd"/>
        <w:r w:rsidRPr="00BE2C73">
          <w:rPr>
            <w:rStyle w:val="Hyperlink"/>
            <w:rFonts w:cs="Open Sans"/>
          </w:rPr>
          <w:t>, julgado em 18/9/2024</w:t>
        </w:r>
      </w:hyperlink>
      <w:proofErr w:type="gramStart"/>
      <w:r w:rsidR="00BE2C73">
        <w:rPr>
          <w:rFonts w:cs="Open Sans"/>
        </w:rPr>
        <w:t>)</w:t>
      </w:r>
      <w:proofErr w:type="gramEnd"/>
      <w:r w:rsidRPr="00BE2C73">
        <w:rPr>
          <w:rFonts w:cs="Open Sans"/>
        </w:rPr>
        <w:t xml:space="preserve"> </w:t>
      </w:r>
    </w:p>
    <w:p w:rsidR="00BE2C73" w:rsidRPr="00BE2C73" w:rsidRDefault="00BE2C73" w:rsidP="00BE2C73">
      <w:pPr>
        <w:pStyle w:val="Ementa"/>
        <w:suppressAutoHyphens/>
        <w:ind w:left="-227" w:right="369"/>
        <w:rPr>
          <w:rFonts w:cs="Open Sans"/>
        </w:rPr>
      </w:pPr>
    </w:p>
    <w:p w:rsidR="00CC3A82" w:rsidRPr="00BE2C73" w:rsidRDefault="00CC3A82" w:rsidP="00BE2C73">
      <w:pPr>
        <w:pStyle w:val="Ementa"/>
        <w:suppressAutoHyphens/>
        <w:ind w:left="-227" w:right="369"/>
        <w:rPr>
          <w:rFonts w:cs="Open Sans"/>
          <w:b/>
          <w:color w:val="auto"/>
          <w:highlight w:val="yellow"/>
        </w:rPr>
      </w:pPr>
      <w:proofErr w:type="gramStart"/>
      <w:r w:rsidRPr="00BE2C73">
        <w:rPr>
          <w:rFonts w:cs="Open Sans"/>
          <w:bCs/>
        </w:rPr>
        <w:t>“</w:t>
      </w:r>
      <w:r w:rsidRPr="00CD4134">
        <w:rPr>
          <w:rFonts w:cs="Open Sans"/>
          <w:bCs/>
        </w:rPr>
        <w:t>AGRAVO INTERNO EM AGRAVO DE INSTRUMENTO EM RECURSO DE REVISTA DA RÉ.</w:t>
      </w:r>
      <w:proofErr w:type="gramEnd"/>
      <w:r w:rsidRPr="00CD4134">
        <w:rPr>
          <w:rFonts w:cs="Open Sans"/>
          <w:bCs/>
        </w:rPr>
        <w:t xml:space="preserve"> INSTRUÇÃO NORMATIVA Nº 40 DO TST. DOMINGOS TRABALHADOS E NÃO COMPENSADOS. DIREITO INDISPONÍVEL DE MATRIZ CONSTITUCIONAL. AUSÊNCIA DE ESTRITA ADERÊNCIA AO TEMA Nº 1.046 DE REPERCUSSÃO GERAL. SÚMULA Nº 146 DO TST. OJ Nº 410 DA SDI1. DECISÃO REGIONAL DE ACORDO COM AS TESES FIXADAS.</w:t>
      </w:r>
      <w:r w:rsidRPr="00BE2C73">
        <w:rPr>
          <w:rFonts w:cs="Open Sans"/>
          <w:b/>
          <w:bCs/>
        </w:rPr>
        <w:t xml:space="preserve"> </w:t>
      </w:r>
      <w:r w:rsidRPr="00BE2C73">
        <w:rPr>
          <w:rFonts w:cs="Open Sans"/>
          <w:bCs/>
        </w:rPr>
        <w:t>O debate acerca da validade das normas coletivas que flexibilizam determinados direitos trabalhistas já não comporta maiores digressões, considerando a jurisprudência pacífica do Supremo Tribunal Federal, proferida no Recurso Extraordinário nº 1.121.633, com Repercussão Geral, que culminou com a tese do Tema nº 1.046, de observância obrigatória</w:t>
      </w:r>
      <w:r w:rsidRPr="00FF2F91">
        <w:rPr>
          <w:rFonts w:cs="Open Sans"/>
          <w:bCs/>
        </w:rPr>
        <w:t xml:space="preserve">: </w:t>
      </w:r>
      <w:r w:rsidR="006271CF" w:rsidRPr="00FF2F91">
        <w:rPr>
          <w:rFonts w:cs="Open Sans"/>
          <w:bCs/>
        </w:rPr>
        <w:t>‘</w:t>
      </w:r>
      <w:r w:rsidRPr="00FF2F91">
        <w:rPr>
          <w:rFonts w:cs="Open Sans"/>
          <w:bCs/>
          <w:iCs/>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6271CF" w:rsidRPr="00FF2F91">
        <w:rPr>
          <w:rFonts w:cs="Open Sans"/>
          <w:bCs/>
          <w:iCs/>
        </w:rPr>
        <w:t>’</w:t>
      </w:r>
      <w:r w:rsidRPr="00BE2C73">
        <w:rPr>
          <w:rFonts w:cs="Open Sans"/>
          <w:bCs/>
          <w:i/>
          <w:iCs/>
        </w:rPr>
        <w:t>.</w:t>
      </w:r>
      <w:r w:rsidRPr="00BE2C73">
        <w:rPr>
          <w:rFonts w:cs="Open Sans"/>
          <w:bCs/>
        </w:rPr>
        <w:t xml:space="preserve"> Por outro lado, o próprio STF, no acórdão do Recurso Extraordinário nº 590.415, afeto ao Tema nº 152 de Repercussão Geral, sinalizou o que considera direito indisponível, ao se referir à noção de </w:t>
      </w:r>
      <w:r w:rsidR="006271CF">
        <w:rPr>
          <w:rFonts w:cs="Open Sans"/>
          <w:bCs/>
        </w:rPr>
        <w:t>‘</w:t>
      </w:r>
      <w:r w:rsidRPr="006271CF">
        <w:rPr>
          <w:rFonts w:cs="Open Sans"/>
          <w:bCs/>
          <w:iCs/>
        </w:rPr>
        <w:t>patamar civilizatório mínimo</w:t>
      </w:r>
      <w:r w:rsidR="006271CF">
        <w:rPr>
          <w:rFonts w:cs="Open Sans"/>
          <w:bCs/>
          <w:iCs/>
        </w:rPr>
        <w:t>’</w:t>
      </w:r>
      <w:r w:rsidRPr="00BE2C73">
        <w:rPr>
          <w:rFonts w:cs="Open Sans"/>
          <w:bCs/>
          <w:i/>
          <w:iCs/>
        </w:rPr>
        <w:t>,</w:t>
      </w:r>
      <w:r w:rsidRPr="00BE2C73">
        <w:rPr>
          <w:rFonts w:cs="Open Sans"/>
          <w:bCs/>
        </w:rPr>
        <w:t xml:space="preserve"> exemplificado pela preservação das normas de saúde e segurança do trabalho, dispositivos </w:t>
      </w:r>
      <w:proofErr w:type="spellStart"/>
      <w:r w:rsidRPr="00BE2C73">
        <w:rPr>
          <w:rFonts w:cs="Open Sans"/>
          <w:bCs/>
        </w:rPr>
        <w:t>antidiscriminatórios</w:t>
      </w:r>
      <w:proofErr w:type="spellEnd"/>
      <w:r w:rsidRPr="00BE2C73">
        <w:rPr>
          <w:rFonts w:cs="Open Sans"/>
          <w:bCs/>
        </w:rPr>
        <w:t xml:space="preserve">, salário mínimo, liberdade de trabalho, entre outros. Essa diretriz foi reafirmada no julgamento da ADI 5322, sob a relatoria do Ministro Alexandre de Moraes (acórdão publicado no DJE em 30/08/2023). Ressalte-se que o </w:t>
      </w:r>
      <w:r w:rsidRPr="00BE2C73">
        <w:rPr>
          <w:rFonts w:cs="Open Sans"/>
          <w:bCs/>
        </w:rPr>
        <w:lastRenderedPageBreak/>
        <w:t>Supremo Tribunal Federal já decidiu que, se o direito que se pretende transacionar por meio de norma coletiva estiver diretamente relacionado a direito indisponível, constitucionalmente assegurado</w:t>
      </w:r>
      <w:r w:rsidRPr="006271CF">
        <w:rPr>
          <w:rFonts w:cs="Open Sans"/>
          <w:bCs/>
        </w:rPr>
        <w:t>, ainda que formalmente previsto em norma infraconstitucional, a situação não configura estrita aderência ao decidido no Tema nº 1.046 de Repercussão Geral.</w:t>
      </w:r>
      <w:r w:rsidRPr="00BE2C73">
        <w:rPr>
          <w:rFonts w:cs="Open Sans"/>
          <w:bCs/>
        </w:rPr>
        <w:t xml:space="preserve"> Pois bem. No caso, ante a premissa fática da inexistência de folga compensatória </w:t>
      </w:r>
      <w:proofErr w:type="gramStart"/>
      <w:r w:rsidRPr="00BE2C73">
        <w:rPr>
          <w:rFonts w:cs="Open Sans"/>
          <w:bCs/>
        </w:rPr>
        <w:t>em</w:t>
      </w:r>
      <w:proofErr w:type="gramEnd"/>
      <w:r w:rsidRPr="00BE2C73">
        <w:rPr>
          <w:rFonts w:cs="Open Sans"/>
          <w:bCs/>
        </w:rPr>
        <w:t xml:space="preserve"> face do trabalho prestado aos domingos e da concessão do repouso semanal após o sétimo dia consecutivo de trabalho, impõe-se o pagamento em dobro, nos termos da Súmula nº 146 desta Corte e da OJ nº 410 da SDI1, com as quais converge o acórdão recorrido. </w:t>
      </w:r>
      <w:proofErr w:type="gramStart"/>
      <w:r w:rsidRPr="00BE2C73">
        <w:rPr>
          <w:rFonts w:cs="Open Sans"/>
          <w:bCs/>
        </w:rPr>
        <w:t>Agravo interno conhecido e não provido.”</w:t>
      </w:r>
      <w:proofErr w:type="gramEnd"/>
      <w:r w:rsidR="00B46C49">
        <w:rPr>
          <w:rFonts w:cs="Open Sans"/>
          <w:bCs/>
        </w:rPr>
        <w:t xml:space="preserve"> (</w:t>
      </w:r>
      <w:hyperlink r:id="rId19" w:history="1">
        <w:r w:rsidRPr="00BE2C73">
          <w:rPr>
            <w:rStyle w:val="Hyperlink"/>
            <w:rFonts w:cs="Open Sans"/>
          </w:rPr>
          <w:t xml:space="preserve">TST-Ag-AIRR-11498-83.2015.5.03.0091, 7ª Turma, rel. </w:t>
        </w:r>
        <w:r w:rsidR="006A2A5B">
          <w:rPr>
            <w:rStyle w:val="Hyperlink"/>
            <w:rFonts w:cs="Open Sans"/>
          </w:rPr>
          <w:t xml:space="preserve">Min. </w:t>
        </w:r>
        <w:r w:rsidRPr="00BE2C73">
          <w:rPr>
            <w:rStyle w:val="Hyperlink"/>
            <w:rFonts w:cs="Open Sans"/>
          </w:rPr>
          <w:t>Cláudio Mascarenhas Brandão, julgado em 4/9/2024</w:t>
        </w:r>
      </w:hyperlink>
      <w:r w:rsidR="00802978">
        <w:rPr>
          <w:rFonts w:cs="Open Sans"/>
        </w:rPr>
        <w:t>)</w:t>
      </w:r>
    </w:p>
    <w:p w:rsidR="00CC3A82" w:rsidRDefault="00CC3A82" w:rsidP="00EC1FE0">
      <w:pPr>
        <w:suppressAutoHyphens/>
        <w:ind w:left="-227" w:right="369"/>
        <w:jc w:val="both"/>
        <w:rPr>
          <w:rFonts w:ascii="Open Sans" w:hAnsi="Open Sans" w:cs="Open Sans"/>
          <w:sz w:val="24"/>
          <w:szCs w:val="24"/>
        </w:rPr>
      </w:pPr>
    </w:p>
    <w:p w:rsidR="006035D1" w:rsidRDefault="00EC1FE0" w:rsidP="006035D1">
      <w:pPr>
        <w:suppressAutoHyphens/>
        <w:ind w:left="-227" w:right="369"/>
        <w:jc w:val="both"/>
        <w:rPr>
          <w:rFonts w:ascii="Open Sans" w:hAnsi="Open Sans" w:cs="Open Sans"/>
          <w:b/>
          <w:color w:val="FF0000"/>
          <w:sz w:val="24"/>
          <w:szCs w:val="24"/>
        </w:rPr>
      </w:pPr>
      <w:r w:rsidRPr="00EC1FE0">
        <w:rPr>
          <w:rFonts w:ascii="Open Sans" w:eastAsiaTheme="minorEastAsia" w:hAnsi="Open Sans" w:cs="Open Sans"/>
          <w:bCs/>
          <w:color w:val="000000"/>
          <w:sz w:val="24"/>
          <w:szCs w:val="24"/>
        </w:rPr>
        <w:t xml:space="preserve">“RECURSO ORDINÁRIO EM AÇÃO CAUTELAR. EXECUÇÃO. ACÓRDÃO PROFERIDO EM PROCESSO DA COMPETÊNCIA ORIGINÁRIA DO TRT. ARTIGO 895, II, DA CLT. </w:t>
      </w:r>
      <w:proofErr w:type="gramStart"/>
      <w:r w:rsidRPr="00EC1FE0">
        <w:rPr>
          <w:rFonts w:ascii="Open Sans" w:eastAsiaTheme="minorEastAsia" w:hAnsi="Open Sans" w:cs="Open Sans"/>
          <w:bCs/>
          <w:color w:val="000000"/>
          <w:sz w:val="24"/>
          <w:szCs w:val="24"/>
        </w:rPr>
        <w:t>1</w:t>
      </w:r>
      <w:proofErr w:type="gramEnd"/>
      <w:r w:rsidRPr="00EC1FE0">
        <w:rPr>
          <w:rFonts w:ascii="Open Sans" w:eastAsiaTheme="minorEastAsia" w:hAnsi="Open Sans" w:cs="Open Sans"/>
          <w:bCs/>
          <w:color w:val="000000"/>
          <w:sz w:val="24"/>
          <w:szCs w:val="24"/>
        </w:rPr>
        <w:t xml:space="preserve">. COMPETÊNCIA MATERIAL. JUSTIÇA DO TRABALHO. AÇÃO CAUTELAR. SUSPENSÃO DA EXECUÇÃO EM AÇÃO CIVIL PÚBLICA. MUNICÍPIO. OBRIGAÇÃO DE FAZER. CONCURSO PÚBLICO. REALIZAÇÃO. ACORDO HOMOLOGADO POR SENTENÇA. TRÂNSITO EM JULGADO. ACÓRDÃO RECORRIDO. DECLARAÇÃO DE INCOMPETÊNCIA MATERIAL TANTO NO PROCESSO CAUTELAR QUANTO NO PRINCIPAL QUE TRAMITA NA VARA DO TRABALHO. IMPOSSIBILIDADE. MATÉRIA PROTEGIDA PELO MANTO DA COISA JULGADA. VIA PROCESSUAL INADEQUADA. PRAZO DECADENCIAL PARA AÇÃO RESCISÓRIA. EXAURIDO. DEMANDA DE NATUREZA ESTRUTURAL. DIREITO FUNDAMENTAL DE IGUALDADE DE ACESSO A CARGOS, EMPREGOS E FUNÇÕES PÚBLICAS. ARTIGO 23.1.C DA CONVENÇÃO AMERICANA SOBRE DIREITOS HUMANOS. ARTIGO 37, II, DA CONSTITUIÇÃO DA REPÚBLICA. MUNICÍPIO DE PINDARÉ MIRIM. CONCURSO PÚBLICO REALIZADO EM 2001. ANULADO ADMINISTRATIVAMENTE. CONCURSO PÚBLICO REALIZADO EM 2011. PENDENTE DE HOMOLOGAÇÃO. SITUAÇÃO FLAGRANTEMENTE DANOSA À MORALIDADE ADMINISTRATIVA. LITÍGIO ESTRUTURAL. CARÁTER MULTIPOLAR E COMPLEXO. APRECIAÇÃO DA QUESTÃO DA COMPETÊNCIA SOB UM NOVO ENFOQUE. NECESSIDADE. PARTICIPAÇÃO COLABORATIVA DE TODOS OS NÚCLEOS SOCIAIS ENVOLVIDOS. I. Conforme preceitua o inciso II do art. 895 da CLT, cabe recurso ordinário para a instância </w:t>
      </w:r>
      <w:r w:rsidR="005D6937">
        <w:rPr>
          <w:rFonts w:ascii="Open Sans" w:eastAsiaTheme="minorEastAsia" w:hAnsi="Open Sans" w:cs="Open Sans"/>
          <w:bCs/>
          <w:color w:val="000000"/>
          <w:sz w:val="24"/>
          <w:szCs w:val="24"/>
        </w:rPr>
        <w:t>superior ‘</w:t>
      </w:r>
      <w:r w:rsidRPr="00EC1FE0">
        <w:rPr>
          <w:rFonts w:ascii="Open Sans" w:eastAsiaTheme="minorEastAsia" w:hAnsi="Open Sans" w:cs="Open Sans"/>
          <w:bCs/>
          <w:iCs/>
          <w:color w:val="000000"/>
          <w:sz w:val="24"/>
          <w:szCs w:val="24"/>
        </w:rPr>
        <w:t>das decisões definitivas ou terminativas dos Tribunais Regionais, em processos de sua competência originária</w:t>
      </w:r>
      <w:r w:rsidR="005D6937">
        <w:rPr>
          <w:rFonts w:ascii="Open Sans" w:eastAsiaTheme="minorEastAsia" w:hAnsi="Open Sans" w:cs="Open Sans"/>
          <w:bCs/>
          <w:iCs/>
          <w:color w:val="000000"/>
          <w:sz w:val="24"/>
          <w:szCs w:val="24"/>
        </w:rPr>
        <w:t>’</w:t>
      </w:r>
      <w:r w:rsidRPr="00EC1FE0">
        <w:rPr>
          <w:rFonts w:ascii="Open Sans" w:eastAsiaTheme="minorEastAsia" w:hAnsi="Open Sans" w:cs="Open Sans"/>
          <w:bCs/>
          <w:color w:val="000000"/>
          <w:sz w:val="24"/>
          <w:szCs w:val="24"/>
        </w:rPr>
        <w:t>,</w:t>
      </w:r>
      <w:r w:rsidR="00C201B5">
        <w:rPr>
          <w:rFonts w:ascii="Open Sans" w:eastAsiaTheme="minorEastAsia" w:hAnsi="Open Sans" w:cs="Open Sans"/>
          <w:bCs/>
          <w:color w:val="000000"/>
          <w:sz w:val="24"/>
          <w:szCs w:val="24"/>
        </w:rPr>
        <w:t xml:space="preserve"> destacando-se que a expressão ‘</w:t>
      </w:r>
      <w:r w:rsidRPr="00EC1FE0">
        <w:rPr>
          <w:rFonts w:ascii="Open Sans" w:eastAsiaTheme="minorEastAsia" w:hAnsi="Open Sans" w:cs="Open Sans"/>
          <w:bCs/>
          <w:iCs/>
          <w:color w:val="000000"/>
          <w:sz w:val="24"/>
          <w:szCs w:val="24"/>
        </w:rPr>
        <w:t>ou terminativas</w:t>
      </w:r>
      <w:r w:rsidR="00C201B5">
        <w:rPr>
          <w:rFonts w:ascii="Open Sans" w:eastAsiaTheme="minorEastAsia" w:hAnsi="Open Sans" w:cs="Open Sans"/>
          <w:bCs/>
          <w:iCs/>
          <w:color w:val="000000"/>
          <w:sz w:val="24"/>
          <w:szCs w:val="24"/>
        </w:rPr>
        <w:t>’</w:t>
      </w:r>
      <w:r w:rsidRPr="00EC1FE0">
        <w:rPr>
          <w:rFonts w:ascii="Open Sans" w:eastAsiaTheme="minorEastAsia" w:hAnsi="Open Sans" w:cs="Open Sans"/>
          <w:bCs/>
          <w:color w:val="000000"/>
          <w:sz w:val="24"/>
          <w:szCs w:val="24"/>
        </w:rPr>
        <w:t xml:space="preserve"> foi acrescida pela Lei nº 11.925/2009. No caso vertente, o Município ora recorrido ajuizou ação cautelar perante o Tribunal Regional, requerendo a suspensão da execução, pela Vara do Trabalho de Santa Inês, de acordo homologado por sentença, em que o referido ente público comprometeu-se a realizar concurso público e a substituir todos os contratos celebrados ao arrepio do art. 37, II, da Constituição da República pelos candidatos aprovados no certame. Cuida-se, portanto, de </w:t>
      </w:r>
      <w:proofErr w:type="gramStart"/>
      <w:r w:rsidRPr="00EC1FE0">
        <w:rPr>
          <w:rFonts w:ascii="Open Sans" w:eastAsiaTheme="minorEastAsia" w:hAnsi="Open Sans" w:cs="Open Sans"/>
          <w:bCs/>
          <w:color w:val="000000"/>
          <w:sz w:val="24"/>
          <w:szCs w:val="24"/>
        </w:rPr>
        <w:t>excepcional</w:t>
      </w:r>
      <w:proofErr w:type="gramEnd"/>
      <w:r w:rsidRPr="00EC1FE0">
        <w:rPr>
          <w:rFonts w:ascii="Open Sans" w:eastAsiaTheme="minorEastAsia" w:hAnsi="Open Sans" w:cs="Open Sans"/>
          <w:bCs/>
          <w:color w:val="000000"/>
          <w:sz w:val="24"/>
          <w:szCs w:val="24"/>
        </w:rPr>
        <w:t xml:space="preserve"> hipótese em que uma Turma do TST atua como instância revisora. Nesse sentido, indicam-se, a título exemplo, alguns julgados de Turmas desta Corte Superior. II. O presente recurso ordinário em ação cautelar é desdobramento da Ação Civil Pública n° 100-50.2009.5.16.0007, ajuizada pela Procuradoria Regional do Trabalho da 16ª Região em face do Município de Pindaré Mirim/MA. Em audiência de conciliação realizada pela Vara do Trabalho de Santa Inês/MA, as partes apresentaram termo de ajuste de conduta no formato de proposta de acordo, que foi, na ocasião, </w:t>
      </w:r>
      <w:r w:rsidRPr="00EC1FE0">
        <w:rPr>
          <w:rFonts w:ascii="Open Sans" w:eastAsiaTheme="minorEastAsia" w:hAnsi="Open Sans" w:cs="Open Sans"/>
          <w:bCs/>
          <w:color w:val="000000"/>
          <w:sz w:val="24"/>
          <w:szCs w:val="24"/>
        </w:rPr>
        <w:lastRenderedPageBreak/>
        <w:t xml:space="preserve">devidamente homologado por sentença. Na avença, o Município Reclamado livremente pactuou cronograma para realização de concurso público. Posteriormente, em nova audiência, as partes repactuaram para conceder mais prazo ao Município e isentá-lo das cominações decorrentes do atraso. O Município Reclamado, entretanto, deixou de cumprir o avençado e ajuizou a presente ação cautelar, objetivando abster-se de homologar o concurso público que realizou em 2011, sob o argumento de que impugnações pontuais ao concurso anulado administrativamente por fraude em 2002 revelaria o efeito de obstar a homologação de concurso realizado </w:t>
      </w:r>
      <w:proofErr w:type="gramStart"/>
      <w:r w:rsidRPr="00EC1FE0">
        <w:rPr>
          <w:rFonts w:ascii="Open Sans" w:eastAsiaTheme="minorEastAsia" w:hAnsi="Open Sans" w:cs="Open Sans"/>
          <w:bCs/>
          <w:color w:val="000000"/>
          <w:sz w:val="24"/>
          <w:szCs w:val="24"/>
        </w:rPr>
        <w:t>9</w:t>
      </w:r>
      <w:proofErr w:type="gramEnd"/>
      <w:r w:rsidRPr="00EC1FE0">
        <w:rPr>
          <w:rFonts w:ascii="Open Sans" w:eastAsiaTheme="minorEastAsia" w:hAnsi="Open Sans" w:cs="Open Sans"/>
          <w:bCs/>
          <w:color w:val="000000"/>
          <w:sz w:val="24"/>
          <w:szCs w:val="24"/>
        </w:rPr>
        <w:t xml:space="preserve"> (nove) anos depois (o que resultaria, indiretamente, na perpetuação das contratações se concurso). III. No acórdão recorrido, o Décimo Sexto Regional suscitou preliminar de incompetência absoluta, acolhendo-a tanto para o processo cautelar quanto para o processo principal que tramita, em fase de execução, na Vara do Trabalho. Para tanto, invocou da decisão vinculante proferida na ADI 3.395 a afirmou ser </w:t>
      </w:r>
      <w:r w:rsidR="00170861">
        <w:rPr>
          <w:rFonts w:ascii="Open Sans" w:eastAsiaTheme="minorEastAsia" w:hAnsi="Open Sans" w:cs="Open Sans"/>
          <w:bCs/>
          <w:color w:val="000000"/>
          <w:sz w:val="24"/>
          <w:szCs w:val="24"/>
        </w:rPr>
        <w:t>‘</w:t>
      </w:r>
      <w:r w:rsidRPr="00EC1FE0">
        <w:rPr>
          <w:rFonts w:ascii="Open Sans" w:eastAsiaTheme="minorEastAsia" w:hAnsi="Open Sans" w:cs="Open Sans"/>
          <w:bCs/>
          <w:iCs/>
          <w:color w:val="000000"/>
          <w:sz w:val="24"/>
          <w:szCs w:val="24"/>
        </w:rPr>
        <w:t>evidente que o pedido da ação principal (Ação Civil Pública n° 0001-2009-007-16-00-8) encontra óbice na incompetência da Justiça do Trabalho, motivo pelo qual suscito a preliminar de incompetência material, acolho-a e determino a remessa destes e daqueles autos à Justiça Comum Estadual, nos termos do art. 113 do CPC</w:t>
      </w:r>
      <w:r w:rsidR="00170861">
        <w:rPr>
          <w:rFonts w:ascii="Open Sans" w:eastAsiaTheme="minorEastAsia" w:hAnsi="Open Sans" w:cs="Open Sans"/>
          <w:bCs/>
          <w:iCs/>
          <w:color w:val="000000"/>
          <w:sz w:val="24"/>
          <w:szCs w:val="24"/>
        </w:rPr>
        <w:t>’</w:t>
      </w:r>
      <w:r w:rsidRPr="00EC1FE0">
        <w:rPr>
          <w:rFonts w:ascii="Open Sans" w:eastAsiaTheme="minorEastAsia" w:hAnsi="Open Sans" w:cs="Open Sans"/>
          <w:bCs/>
          <w:color w:val="000000"/>
          <w:sz w:val="24"/>
          <w:szCs w:val="24"/>
        </w:rPr>
        <w:t xml:space="preserve">. IV. A pretensão recursal do Ministério Público do Trabalho merece guarida. Em primeiro lugar, porque </w:t>
      </w:r>
      <w:r w:rsidR="00EF2130">
        <w:rPr>
          <w:rFonts w:ascii="Open Sans" w:eastAsiaTheme="minorEastAsia" w:hAnsi="Open Sans" w:cs="Open Sans"/>
          <w:bCs/>
          <w:color w:val="000000"/>
          <w:sz w:val="24"/>
          <w:szCs w:val="24"/>
        </w:rPr>
        <w:t>‘</w:t>
      </w:r>
      <w:r w:rsidRPr="00EC1FE0">
        <w:rPr>
          <w:rFonts w:ascii="Open Sans" w:eastAsiaTheme="minorEastAsia" w:hAnsi="Open Sans" w:cs="Open Sans"/>
          <w:bCs/>
          <w:iCs/>
          <w:color w:val="000000"/>
          <w:sz w:val="24"/>
          <w:szCs w:val="24"/>
        </w:rPr>
        <w:t xml:space="preserve">a homologação do acordo pela Vara do Trabalho de Santa Inês equivale </w:t>
      </w:r>
      <w:proofErr w:type="gramStart"/>
      <w:r w:rsidRPr="00EC1FE0">
        <w:rPr>
          <w:rFonts w:ascii="Open Sans" w:eastAsiaTheme="minorEastAsia" w:hAnsi="Open Sans" w:cs="Open Sans"/>
          <w:bCs/>
          <w:iCs/>
          <w:color w:val="000000"/>
          <w:sz w:val="24"/>
          <w:szCs w:val="24"/>
        </w:rPr>
        <w:t>a</w:t>
      </w:r>
      <w:proofErr w:type="gramEnd"/>
      <w:r w:rsidRPr="00EC1FE0">
        <w:rPr>
          <w:rFonts w:ascii="Open Sans" w:eastAsiaTheme="minorEastAsia" w:hAnsi="Open Sans" w:cs="Open Sans"/>
          <w:bCs/>
          <w:iCs/>
          <w:color w:val="000000"/>
          <w:sz w:val="24"/>
          <w:szCs w:val="24"/>
        </w:rPr>
        <w:t xml:space="preserve"> decisão judicial transitada em julgado</w:t>
      </w:r>
      <w:r w:rsidR="00EF2130">
        <w:rPr>
          <w:rFonts w:ascii="Open Sans" w:eastAsiaTheme="minorEastAsia" w:hAnsi="Open Sans" w:cs="Open Sans"/>
          <w:bCs/>
          <w:iCs/>
          <w:color w:val="000000"/>
          <w:sz w:val="24"/>
          <w:szCs w:val="24"/>
        </w:rPr>
        <w:t>’</w:t>
      </w:r>
      <w:r w:rsidRPr="00EC1FE0">
        <w:rPr>
          <w:rFonts w:ascii="Open Sans" w:eastAsiaTheme="minorEastAsia" w:hAnsi="Open Sans" w:cs="Open Sans"/>
          <w:bCs/>
          <w:color w:val="000000"/>
          <w:sz w:val="24"/>
          <w:szCs w:val="24"/>
        </w:rPr>
        <w:t>, nos termos da decisão proferida pelo Ministro Joaquim Barbosa, na Reclamação nº Rcl-11.992/MA, ajuizada no bojo do processo principal (DJE 14/5/2012). De sorte que eventual conflito com a decisão proferida na ADI 3.395 somente poderia ter sido ser alegado em ação rescisória, haja vista que a ação cautelar não pode ser usada como sucedâneo de recurso, tampouco de ação rescisória. Em segundo lugar, porque a ação cautelar ajuizada no TRT não é a via adequada para se proferir decisão no processo principal, que tramita, em fase de execução, na Vara do Trabalho. Por fim, cuida-se aqui de demanda de natureza nitidamente estrutural, em que se busca conferir efetividade ao direito fundamental de igualdade de acesso a cargos, empregos e funções públicas, consagrado no artigo 23.1.c da Convenção Americana sobre Direitos Humanos e no artigo 37, II, da Constituição da República. Pelo que se depreende dos autos, o Município de Pindaré Mirim/MA realizou tão somente dois concursos públicos até 2011, o primeiro (2001), anulado administrativamente em resposta a robusto inquérito realizado pelo Ministério Público Estadual; o segundo (2011), não homologado pelas razões discutidas no presente recurso. Trata-se, pois, de situação flagrantemente danosa à moralidade administrativa e a toda sociedade. Tal contexto se amolda ao caráter multipolar e complexo do litígio estrutural, demandando, assim, uma apreciação da questão da competência sob um novo enfoque, até mesmo porque o estabelecimento de uma política pública que garanta a efetividade da regra do concurso público há que contar com a participação de todos os núcleos de interesse envolvidos (</w:t>
      </w:r>
      <w:proofErr w:type="spellStart"/>
      <w:r w:rsidRPr="00EC1FE0">
        <w:rPr>
          <w:rFonts w:ascii="Open Sans" w:eastAsiaTheme="minorEastAsia" w:hAnsi="Open Sans" w:cs="Open Sans"/>
          <w:bCs/>
          <w:color w:val="000000"/>
          <w:sz w:val="24"/>
          <w:szCs w:val="24"/>
        </w:rPr>
        <w:t>Arenhart</w:t>
      </w:r>
      <w:proofErr w:type="spellEnd"/>
      <w:r w:rsidRPr="00EC1FE0">
        <w:rPr>
          <w:rFonts w:ascii="Open Sans" w:eastAsiaTheme="minorEastAsia" w:hAnsi="Open Sans" w:cs="Open Sans"/>
          <w:bCs/>
          <w:color w:val="000000"/>
          <w:sz w:val="24"/>
          <w:szCs w:val="24"/>
        </w:rPr>
        <w:t xml:space="preserve">, 2019, p. 894/895). V. Recurso ordinário do Ministério Público do Trabalho de que se conhece e a que se dá provimento, para reformar a decisão recorrida quanto à declaração de incompetência desta Justiça Especial. 2. REALIZAÇÃO DE CONCURSO PÚBLICO. PROCESSO ESTRUTURAL. PRÁTICA DE ATOS E POLÍTICAS PÚBLICAS DESTINADAS A ALTERAR ESTRUTURA SOCIAL DANOSA À MORALIDADE ADMINISTRATIVA. DIREITO FUNDAMENTAL DE IGUALDADE DE ACESSO A CARGOS, </w:t>
      </w:r>
      <w:r w:rsidRPr="00EC1FE0">
        <w:rPr>
          <w:rFonts w:ascii="Open Sans" w:eastAsiaTheme="minorEastAsia" w:hAnsi="Open Sans" w:cs="Open Sans"/>
          <w:bCs/>
          <w:color w:val="000000"/>
          <w:sz w:val="24"/>
          <w:szCs w:val="24"/>
        </w:rPr>
        <w:lastRenderedPageBreak/>
        <w:t xml:space="preserve">EMPREGOS E FUNÇÕES PÚBLICAS. ARTIGO 23.1. C DA CONVENÇÃO AMERICANA SOBRE DIREITOS HUMANOS. ARTIGO 37, II, DA CONSTITUIÇÃO DA REPÚBLICA. REQUISITOS PARA CONCESSÃO DE TUTELA DE FEIÇÃO MERAMENTE PROTELATÓRIA. AUSÊNCIA. I. O presente recurso ordinário em ação cautelar é desdobramento da Ação Civil Pública n° 100-50.2009.5.16.0007, ajuizada pela Procuradoria Regional do Trabalho da 16ª Região em face do Município de Pindaré Mirim/MA. Em audiência de conciliação realizada pela Vara do Trabalho de Santa Inês/MA, as partes apresentaram termo de ajuste de conduta no formato de proposta de acordo, devidamente homologado por sentença. Na avença, o Município ora recorrido livremente pactuou cronograma para realização de concurso público. Posteriormente, em nova audiência, as partes repactuaram para conceder mais prazo ao Município e isentá-lo das cominações decorrentes do atraso. II. O Município de Pindaré-Mirim/MA, entretanto, além de não observar as oportunidades que lhe foram concedidas para fazer cessar a grave lesão à moralidade pública, ajuizou a presente ação cautelar, objetivando abster-se de homologar o concurso público que realizou em 2011, sob o argumento de que impugnações pontuais ao concurso anulado administrativamente por fraude em 2002 revelaria o efeito de obstar a homologação de concurso realizado </w:t>
      </w:r>
      <w:proofErr w:type="gramStart"/>
      <w:r w:rsidRPr="00EC1FE0">
        <w:rPr>
          <w:rFonts w:ascii="Open Sans" w:eastAsiaTheme="minorEastAsia" w:hAnsi="Open Sans" w:cs="Open Sans"/>
          <w:bCs/>
          <w:color w:val="000000"/>
          <w:sz w:val="24"/>
          <w:szCs w:val="24"/>
        </w:rPr>
        <w:t>9</w:t>
      </w:r>
      <w:proofErr w:type="gramEnd"/>
      <w:r w:rsidRPr="00EC1FE0">
        <w:rPr>
          <w:rFonts w:ascii="Open Sans" w:eastAsiaTheme="minorEastAsia" w:hAnsi="Open Sans" w:cs="Open Sans"/>
          <w:bCs/>
          <w:color w:val="000000"/>
          <w:sz w:val="24"/>
          <w:szCs w:val="24"/>
        </w:rPr>
        <w:t xml:space="preserve"> (nove) anos depois, o que resulta, indiretamente, na perpetuação das contratações se concurso. Trata-se, pois, de longa, duradoura e indesejável situação de lesão à moralidade pública, aos beneficiários e destinatários dos serviços públicos e aos cidadãos que almejam concorrer, em condições gerais de igualdade, aos cargos, empregos e funções públicas municipais. III. Recurso ordinário interposto pelo Ministério Público do Trabalho a que se dá provimento para julgar improcedente a ação cautelar e revogar, a partir da data da publicação do presente acordão, a decisão provisória de suspensão da execução proferida pelo Regional.” </w:t>
      </w:r>
      <w:r w:rsidRPr="00EC1FE0">
        <w:rPr>
          <w:rFonts w:ascii="Open Sans" w:eastAsiaTheme="minorEastAsia" w:hAnsi="Open Sans" w:cs="Courier New"/>
          <w:color w:val="000000"/>
          <w:sz w:val="24"/>
          <w:szCs w:val="24"/>
        </w:rPr>
        <w:t>(</w:t>
      </w:r>
      <w:hyperlink r:id="rId20" w:history="1">
        <w:r w:rsidRPr="00EC1FE0">
          <w:rPr>
            <w:rFonts w:ascii="Open Sans" w:eastAsiaTheme="minorEastAsia" w:hAnsi="Open Sans" w:cs="Courier New"/>
            <w:color w:val="0000FF" w:themeColor="hyperlink"/>
            <w:sz w:val="24"/>
            <w:szCs w:val="24"/>
            <w:u w:val="single"/>
          </w:rPr>
          <w:t>TST-</w:t>
        </w:r>
        <w:r w:rsidRPr="00EC1FE0">
          <w:rPr>
            <w:rFonts w:ascii="Open Sans" w:eastAsiaTheme="minorEastAsia" w:hAnsi="Open Sans" w:cs="Open Sans"/>
            <w:bCs/>
            <w:color w:val="0000FF" w:themeColor="hyperlink"/>
            <w:sz w:val="24"/>
            <w:szCs w:val="24"/>
            <w:u w:val="single"/>
            <w:shd w:val="clear" w:color="auto" w:fill="FFFFFF"/>
          </w:rPr>
          <w:t>RO-63900-05.2011.5.16.0000</w:t>
        </w:r>
        <w:r w:rsidRPr="00EC1FE0">
          <w:rPr>
            <w:rFonts w:ascii="Open Sans" w:eastAsiaTheme="minorEastAsia" w:hAnsi="Open Sans" w:cs="Courier New"/>
            <w:color w:val="0000FF" w:themeColor="hyperlink"/>
            <w:sz w:val="24"/>
            <w:szCs w:val="24"/>
            <w:u w:val="single"/>
          </w:rPr>
          <w:t xml:space="preserve">, 7ª Turma, rel. </w:t>
        </w:r>
        <w:r w:rsidR="00062157">
          <w:rPr>
            <w:rFonts w:ascii="Open Sans" w:eastAsiaTheme="minorEastAsia" w:hAnsi="Open Sans" w:cs="Courier New"/>
            <w:color w:val="0000FF" w:themeColor="hyperlink"/>
            <w:sz w:val="24"/>
            <w:szCs w:val="24"/>
            <w:u w:val="single"/>
          </w:rPr>
          <w:t xml:space="preserve">Min. </w:t>
        </w:r>
        <w:r w:rsidRPr="00EC1FE0">
          <w:rPr>
            <w:rFonts w:ascii="Open Sans" w:eastAsiaTheme="minorEastAsia" w:hAnsi="Open Sans" w:cs="Courier New"/>
            <w:color w:val="0000FF" w:themeColor="hyperlink"/>
            <w:sz w:val="24"/>
            <w:szCs w:val="24"/>
            <w:u w:val="single"/>
          </w:rPr>
          <w:t xml:space="preserve">Evandro </w:t>
        </w:r>
        <w:r w:rsidR="002F309A">
          <w:rPr>
            <w:rFonts w:ascii="Open Sans" w:eastAsiaTheme="minorEastAsia" w:hAnsi="Open Sans" w:cs="Courier New"/>
            <w:color w:val="0000FF" w:themeColor="hyperlink"/>
            <w:sz w:val="24"/>
            <w:szCs w:val="24"/>
            <w:u w:val="single"/>
          </w:rPr>
          <w:t xml:space="preserve">Pereira </w:t>
        </w:r>
        <w:r w:rsidRPr="00EC1FE0">
          <w:rPr>
            <w:rFonts w:ascii="Open Sans" w:eastAsiaTheme="minorEastAsia" w:hAnsi="Open Sans" w:cs="Courier New"/>
            <w:color w:val="0000FF" w:themeColor="hyperlink"/>
            <w:sz w:val="24"/>
            <w:szCs w:val="24"/>
            <w:u w:val="single"/>
          </w:rPr>
          <w:t>Valadão</w:t>
        </w:r>
        <w:r w:rsidR="002F309A">
          <w:rPr>
            <w:rFonts w:ascii="Open Sans" w:eastAsiaTheme="minorEastAsia" w:hAnsi="Open Sans" w:cs="Courier New"/>
            <w:color w:val="0000FF" w:themeColor="hyperlink"/>
            <w:sz w:val="24"/>
            <w:szCs w:val="24"/>
            <w:u w:val="single"/>
          </w:rPr>
          <w:t xml:space="preserve"> Lopes</w:t>
        </w:r>
        <w:r w:rsidRPr="00EC1FE0">
          <w:rPr>
            <w:rFonts w:ascii="Open Sans" w:eastAsiaTheme="minorEastAsia" w:hAnsi="Open Sans" w:cs="Courier New"/>
            <w:color w:val="0000FF" w:themeColor="hyperlink"/>
            <w:sz w:val="24"/>
            <w:szCs w:val="24"/>
            <w:u w:val="single"/>
          </w:rPr>
          <w:t>, julgado em 18/9/2024</w:t>
        </w:r>
      </w:hyperlink>
      <w:proofErr w:type="gramStart"/>
      <w:r>
        <w:rPr>
          <w:rFonts w:ascii="Open Sans" w:eastAsiaTheme="minorEastAsia" w:hAnsi="Open Sans" w:cs="Courier New"/>
          <w:color w:val="000000"/>
          <w:sz w:val="24"/>
          <w:szCs w:val="24"/>
        </w:rPr>
        <w:t>)</w:t>
      </w:r>
      <w:proofErr w:type="gramEnd"/>
      <w:r w:rsidRPr="00EC1FE0">
        <w:rPr>
          <w:rFonts w:ascii="Open Sans" w:eastAsiaTheme="minorEastAsia" w:hAnsi="Open Sans" w:cs="Courier New"/>
          <w:color w:val="000000"/>
          <w:sz w:val="24"/>
          <w:szCs w:val="24"/>
        </w:rPr>
        <w:t xml:space="preserve"> </w:t>
      </w:r>
    </w:p>
    <w:p w:rsidR="003A578F" w:rsidRPr="003A578F" w:rsidRDefault="003A578F" w:rsidP="006035D1">
      <w:pPr>
        <w:suppressAutoHyphens/>
        <w:ind w:left="-227" w:right="369"/>
        <w:jc w:val="both"/>
        <w:rPr>
          <w:rFonts w:ascii="Open Sans" w:hAnsi="Open Sans" w:cs="Open Sans"/>
          <w:b/>
          <w:color w:val="FF0000"/>
          <w:sz w:val="24"/>
          <w:szCs w:val="24"/>
        </w:rPr>
      </w:pPr>
    </w:p>
    <w:p w:rsidR="00994FB5" w:rsidRDefault="00EC1FE0" w:rsidP="00EC1FE0">
      <w:pPr>
        <w:pStyle w:val="Ementa"/>
        <w:suppressAutoHyphens/>
        <w:ind w:left="-227" w:right="369"/>
        <w:rPr>
          <w:rStyle w:val="fontepargpadro-000004"/>
        </w:rPr>
      </w:pPr>
      <w:r w:rsidRPr="006D0DD8">
        <w:rPr>
          <w:rFonts w:cs="Open Sans"/>
          <w:bCs/>
        </w:rPr>
        <w:t>“</w:t>
      </w:r>
      <w:r>
        <w:rPr>
          <w:rFonts w:cs="Open Sans"/>
          <w:bCs/>
        </w:rPr>
        <w:t xml:space="preserve">[...] </w:t>
      </w:r>
      <w:r w:rsidRPr="006D0DD8">
        <w:rPr>
          <w:rFonts w:cs="Open Sans"/>
          <w:bCs/>
        </w:rPr>
        <w:t xml:space="preserve">RECURSO DE REVISTA DA PARTE RECLAMADA. TAXISTA ATIVIDADE EXTERNA. AUSÊNCIA DE SUBORDINAÇÃO A HORÁRIO. HORAS EXTRAORDINÁRIAS INDEVIDAS. NORMA COLETIVA. TEMA 1046 DA TABELA DE REPERCUSSÃO GERAL DO SUPREMO TRIBUNAL FEDERAL. I – Segundo </w:t>
      </w:r>
      <w:proofErr w:type="spellStart"/>
      <w:r w:rsidRPr="006D0DD8">
        <w:rPr>
          <w:rFonts w:cs="Open Sans"/>
          <w:bCs/>
        </w:rPr>
        <w:t>Délio</w:t>
      </w:r>
      <w:proofErr w:type="spellEnd"/>
      <w:r w:rsidRPr="006D0DD8">
        <w:rPr>
          <w:rFonts w:cs="Open Sans"/>
          <w:bCs/>
        </w:rPr>
        <w:t xml:space="preserve"> Maranhão, </w:t>
      </w:r>
      <w:r w:rsidR="00972137">
        <w:rPr>
          <w:rFonts w:cs="Open Sans"/>
          <w:bCs/>
        </w:rPr>
        <w:t>‘</w:t>
      </w:r>
      <w:r w:rsidRPr="00972137">
        <w:rPr>
          <w:rFonts w:cs="Open Sans"/>
          <w:bCs/>
          <w:iCs/>
        </w:rPr>
        <w:t xml:space="preserve">se o empregado exerce função externa, mas está subordinado a horário, </w:t>
      </w:r>
      <w:proofErr w:type="spellStart"/>
      <w:r w:rsidRPr="00972137">
        <w:rPr>
          <w:rFonts w:cs="Open Sans"/>
          <w:bCs/>
          <w:iCs/>
        </w:rPr>
        <w:t>deve-se-lhe</w:t>
      </w:r>
      <w:proofErr w:type="spellEnd"/>
      <w:r w:rsidRPr="00972137">
        <w:rPr>
          <w:rFonts w:cs="Open Sans"/>
          <w:bCs/>
          <w:iCs/>
        </w:rPr>
        <w:t>, sem restrição, aplicar o regime legal de duração do trabalho</w:t>
      </w:r>
      <w:r w:rsidR="00972137">
        <w:rPr>
          <w:rFonts w:cs="Open Sans"/>
          <w:bCs/>
        </w:rPr>
        <w:t>’</w:t>
      </w:r>
      <w:r w:rsidRPr="006D0DD8">
        <w:rPr>
          <w:rFonts w:cs="Open Sans"/>
          <w:bCs/>
        </w:rPr>
        <w:t xml:space="preserve"> (MARANHÃO, </w:t>
      </w:r>
      <w:proofErr w:type="spellStart"/>
      <w:r w:rsidRPr="006D0DD8">
        <w:rPr>
          <w:rFonts w:cs="Open Sans"/>
          <w:bCs/>
        </w:rPr>
        <w:t>Délio</w:t>
      </w:r>
      <w:proofErr w:type="spellEnd"/>
      <w:r w:rsidRPr="006D0DD8">
        <w:rPr>
          <w:rFonts w:cs="Open Sans"/>
          <w:bCs/>
        </w:rPr>
        <w:t xml:space="preserve">. Direito do Trabalho. 12ª edição revista e atualizada, 1984, p. 92). </w:t>
      </w:r>
      <w:r w:rsidRPr="00972137">
        <w:rPr>
          <w:rFonts w:cs="Open Sans"/>
          <w:bCs/>
        </w:rPr>
        <w:t xml:space="preserve">II – Na presente hipótese, todavia, verificou-se que a parte reclamante, taxista, não estava </w:t>
      </w:r>
      <w:proofErr w:type="gramStart"/>
      <w:r w:rsidRPr="00972137">
        <w:rPr>
          <w:rFonts w:cs="Open Sans"/>
          <w:bCs/>
        </w:rPr>
        <w:t>subordinado</w:t>
      </w:r>
      <w:proofErr w:type="gramEnd"/>
      <w:r w:rsidRPr="00972137">
        <w:rPr>
          <w:rFonts w:cs="Open Sans"/>
          <w:bCs/>
        </w:rPr>
        <w:t xml:space="preserve"> a horário. Logo, a sistemática do art. 62, I, da CLT aplica-se a ele. III – Ademais, a Cláusula Vigésima da Convenção Coletiva de Trabalho estabelecia que </w:t>
      </w:r>
      <w:r w:rsidR="00832EFD">
        <w:rPr>
          <w:rFonts w:cs="Open Sans"/>
          <w:bCs/>
        </w:rPr>
        <w:t>‘</w:t>
      </w:r>
      <w:r w:rsidRPr="00832EFD">
        <w:rPr>
          <w:rFonts w:cs="Open Sans"/>
          <w:bCs/>
          <w:iCs/>
        </w:rPr>
        <w:t>o trabalho executado pelos motoristas é externo, não sujeito a controle e fiscalização de horário, não gerando, portanto, direito às horas extras a teor do que dispõe o artigo 62, § ‘A’ da CLT</w:t>
      </w:r>
      <w:r w:rsidR="00832EFD">
        <w:rPr>
          <w:rFonts w:cs="Open Sans"/>
          <w:bCs/>
          <w:iCs/>
        </w:rPr>
        <w:t>’</w:t>
      </w:r>
      <w:r w:rsidRPr="00972137">
        <w:rPr>
          <w:rFonts w:cs="Open Sans"/>
          <w:bCs/>
        </w:rPr>
        <w:t xml:space="preserve">. IV – Evidencia-se, portanto, que, na vertente hipótese, não houve demonstração, pelo empregado, de que havia controle de jornada efetivo, ausente estabelecimento prévio pelo empregador de qualquer tipo de rotina ou </w:t>
      </w:r>
      <w:proofErr w:type="spellStart"/>
      <w:r w:rsidRPr="00972137">
        <w:rPr>
          <w:rFonts w:cs="Open Sans"/>
          <w:bCs/>
        </w:rPr>
        <w:t>pré-estabelecimento</w:t>
      </w:r>
      <w:proofErr w:type="spellEnd"/>
      <w:r w:rsidRPr="00972137">
        <w:rPr>
          <w:rFonts w:cs="Open Sans"/>
          <w:bCs/>
        </w:rPr>
        <w:t xml:space="preserve"> de rotas. Por isso, reputa-se válida a norma coletiva que, à luz do Tema 1046, admite a previsão de disposição em sentido contrário à lei, de modo que, havendo exclusão do empregado taxista do capítulo da duração do trabalho, a este incumbia demonstrar que havia efetivo controle e prestação de horas extraordinárias. V – Diante do exposto, assiste razão à parte </w:t>
      </w:r>
      <w:r w:rsidRPr="00972137">
        <w:rPr>
          <w:rFonts w:cs="Open Sans"/>
          <w:bCs/>
        </w:rPr>
        <w:lastRenderedPageBreak/>
        <w:t>reclamada no que toca à pretensão de exclusão do pagamento de horas extraordinárias e reflexos, inclusive as referentes ao intervalo intrajornada não usufruído e ao labor em jornada noturna. VI –</w:t>
      </w:r>
      <w:r w:rsidRPr="006D0DD8">
        <w:rPr>
          <w:rFonts w:cs="Open Sans"/>
          <w:bCs/>
        </w:rPr>
        <w:t xml:space="preserve"> Recurso de revista conhecido e provido para excluir a condenação ao pagamento de horas extraordinárias e reflexos, inclusive as referentes ao intervalo intrajornada não usufruído e ao labor em jornada noturna.</w:t>
      </w:r>
      <w:r>
        <w:rPr>
          <w:rFonts w:cs="Open Sans"/>
          <w:bCs/>
        </w:rPr>
        <w:t xml:space="preserve"> </w:t>
      </w:r>
      <w:r w:rsidRPr="006D0DD8">
        <w:rPr>
          <w:rFonts w:cs="Open Sans"/>
          <w:bCs/>
        </w:rPr>
        <w:t>Agravo interno conhecido e não provido.”</w:t>
      </w:r>
      <w:r w:rsidRPr="007118D6">
        <w:rPr>
          <w:rFonts w:cs="Open Sans"/>
          <w:bCs/>
        </w:rPr>
        <w:t xml:space="preserve"> </w:t>
      </w:r>
      <w:r w:rsidRPr="006D0DD8">
        <w:rPr>
          <w:rStyle w:val="fontepargpadro-000004"/>
        </w:rPr>
        <w:t>(</w:t>
      </w:r>
      <w:hyperlink r:id="rId21" w:history="1">
        <w:r w:rsidRPr="006D0DD8">
          <w:rPr>
            <w:rStyle w:val="Hyperlink"/>
          </w:rPr>
          <w:t>TST-</w:t>
        </w:r>
        <w:r w:rsidRPr="006D0DD8">
          <w:rPr>
            <w:rStyle w:val="Hyperlink"/>
            <w:rFonts w:cs="Open Sans"/>
            <w:bCs/>
            <w:shd w:val="clear" w:color="auto" w:fill="FFFFFF"/>
          </w:rPr>
          <w:t>RR-2241-69.2014.5.09.0651</w:t>
        </w:r>
        <w:r w:rsidRPr="006D0DD8">
          <w:rPr>
            <w:rStyle w:val="Hyperlink"/>
          </w:rPr>
          <w:t>, 7ª Turma, rel.</w:t>
        </w:r>
        <w:r w:rsidR="00051B62">
          <w:rPr>
            <w:rStyle w:val="Hyperlink"/>
          </w:rPr>
          <w:t xml:space="preserve"> Min.</w:t>
        </w:r>
        <w:r w:rsidRPr="006D0DD8">
          <w:rPr>
            <w:rStyle w:val="Hyperlink"/>
          </w:rPr>
          <w:t xml:space="preserve"> Evandro </w:t>
        </w:r>
        <w:r w:rsidR="00994FB5">
          <w:rPr>
            <w:rStyle w:val="Hyperlink"/>
          </w:rPr>
          <w:t xml:space="preserve">Pereira </w:t>
        </w:r>
        <w:r w:rsidRPr="006D0DD8">
          <w:rPr>
            <w:rStyle w:val="Hyperlink"/>
          </w:rPr>
          <w:t>Valadão</w:t>
        </w:r>
        <w:r w:rsidR="00994FB5">
          <w:rPr>
            <w:rStyle w:val="Hyperlink"/>
          </w:rPr>
          <w:t xml:space="preserve"> Lopes</w:t>
        </w:r>
        <w:r w:rsidRPr="006D0DD8">
          <w:rPr>
            <w:rStyle w:val="Hyperlink"/>
          </w:rPr>
          <w:t>, julgado em 18/9/2024</w:t>
        </w:r>
      </w:hyperlink>
      <w:proofErr w:type="gramStart"/>
      <w:r w:rsidR="00972137">
        <w:rPr>
          <w:rStyle w:val="fontepargpadro-000004"/>
        </w:rPr>
        <w:t>)</w:t>
      </w:r>
      <w:proofErr w:type="gramEnd"/>
      <w:r w:rsidR="00B579C6">
        <w:rPr>
          <w:rStyle w:val="fontepargpadro-000004"/>
        </w:rPr>
        <w:t xml:space="preserve"> </w:t>
      </w:r>
    </w:p>
    <w:p w:rsidR="00EC1FE0" w:rsidRPr="00BE2C73" w:rsidRDefault="00EC1FE0" w:rsidP="00BE2C73">
      <w:pPr>
        <w:suppressAutoHyphens/>
        <w:ind w:left="-227" w:right="369"/>
        <w:jc w:val="both"/>
        <w:rPr>
          <w:rFonts w:ascii="Open Sans" w:hAnsi="Open Sans" w:cs="Open Sans"/>
          <w:sz w:val="24"/>
          <w:szCs w:val="24"/>
        </w:rPr>
      </w:pPr>
    </w:p>
    <w:p w:rsidR="00CC3A82" w:rsidRPr="00BE2C73" w:rsidRDefault="00CC3A82" w:rsidP="00BE2C73">
      <w:pPr>
        <w:suppressAutoHyphens/>
        <w:ind w:left="-227" w:right="369"/>
        <w:jc w:val="both"/>
        <w:rPr>
          <w:rFonts w:ascii="Open Sans" w:hAnsi="Open Sans" w:cs="Open Sans"/>
          <w:bCs/>
          <w:sz w:val="24"/>
          <w:szCs w:val="24"/>
        </w:rPr>
      </w:pPr>
      <w:r w:rsidRPr="00BE2C73">
        <w:rPr>
          <w:rFonts w:ascii="Open Sans" w:hAnsi="Open Sans" w:cs="Open Sans"/>
          <w:bCs/>
          <w:sz w:val="24"/>
          <w:szCs w:val="24"/>
        </w:rPr>
        <w:t>“</w:t>
      </w:r>
      <w:r w:rsidRPr="00BE2C73">
        <w:rPr>
          <w:rFonts w:ascii="Open Sans" w:hAnsi="Open Sans" w:cs="Open Sans"/>
          <w:sz w:val="24"/>
          <w:szCs w:val="24"/>
        </w:rPr>
        <w:t xml:space="preserve">RECURSO DE REVISTA DA RECLAMADA INTERPOSTO NA VIGÊNCIA DA LEI 13.467/2017. ATIVIDADE INSALUBRE. COMPENSAÇÃO DE JORNADA DE TRABALHO. PREVISÃO EM NORMA COLETIVA. INEXISTÊNCIA DE LICENÇA PRÉVIA DAS AUTORIDADES COMPETENTES. INVALIDADE. TEMA 1046 DA TABELA DE REPERCUSSÃO GERAL DO SUPREMO TRIBUNAL FEDERAL. TRANSCENDÊNCIA RECONHECIDA. </w:t>
      </w:r>
      <w:r w:rsidRPr="00BE2C73">
        <w:rPr>
          <w:rFonts w:ascii="Open Sans" w:hAnsi="Open Sans" w:cs="Open Sans"/>
          <w:bCs/>
          <w:sz w:val="24"/>
          <w:szCs w:val="24"/>
        </w:rPr>
        <w:t xml:space="preserve">O Tribunal Regional, ao concluir pela invalidade do acordo de compensação de jornada, por se tratar de atividade insalubre, sem a licença prévia da autoridade competente prevista no art. 60 da CLT, decidiu em consonância com a Súmula 85, VI, do TST e com a parte final da tese vinculante firmada pelo STF, em repercussão geral, no Tema 1046. Isso porque, o art. 60 da CLT é norma que regula questões de saúde e segurança do trabalho previstas no art. 7º, XXII, da Constituição Federal, não podendo, portanto, ser flexibilizada por norma coletiva. Precedentes. </w:t>
      </w:r>
      <w:r w:rsidRPr="00BE2C73">
        <w:rPr>
          <w:rFonts w:ascii="Open Sans" w:hAnsi="Open Sans" w:cs="Open Sans"/>
          <w:sz w:val="24"/>
          <w:szCs w:val="24"/>
        </w:rPr>
        <w:t>Recurso de revista não conhecido</w:t>
      </w:r>
      <w:r w:rsidRPr="00BE2C73">
        <w:rPr>
          <w:rFonts w:ascii="Open Sans" w:hAnsi="Open Sans" w:cs="Open Sans"/>
          <w:bCs/>
          <w:sz w:val="24"/>
          <w:szCs w:val="24"/>
        </w:rPr>
        <w:t>.” (</w:t>
      </w:r>
      <w:hyperlink r:id="rId22" w:anchor="d7d9963" w:history="1">
        <w:r w:rsidRPr="00BE2C73">
          <w:rPr>
            <w:rStyle w:val="Hyperlink"/>
            <w:rFonts w:ascii="Open Sans" w:hAnsi="Open Sans" w:cs="Open Sans"/>
            <w:bCs/>
            <w:sz w:val="24"/>
            <w:szCs w:val="24"/>
          </w:rPr>
          <w:t xml:space="preserve">TST-RR-10070-11.2020.5.15.0074, 8ª Turma, rel. Min. </w:t>
        </w:r>
        <w:proofErr w:type="spellStart"/>
        <w:r w:rsidRPr="00BE2C73">
          <w:rPr>
            <w:rStyle w:val="Hyperlink"/>
            <w:rFonts w:ascii="Open Sans" w:hAnsi="Open Sans" w:cs="Open Sans"/>
            <w:bCs/>
            <w:sz w:val="24"/>
            <w:szCs w:val="24"/>
          </w:rPr>
          <w:t>Delaíde</w:t>
        </w:r>
        <w:proofErr w:type="spellEnd"/>
        <w:r w:rsidRPr="00BE2C73">
          <w:rPr>
            <w:rStyle w:val="Hyperlink"/>
            <w:rFonts w:ascii="Open Sans" w:hAnsi="Open Sans" w:cs="Open Sans"/>
            <w:bCs/>
            <w:sz w:val="24"/>
            <w:szCs w:val="24"/>
          </w:rPr>
          <w:t xml:space="preserve"> Alves Miranda Arantes, julgado </w:t>
        </w:r>
        <w:r w:rsidR="00472D3D">
          <w:rPr>
            <w:rStyle w:val="Hyperlink"/>
            <w:rFonts w:ascii="Open Sans" w:hAnsi="Open Sans" w:cs="Open Sans"/>
            <w:bCs/>
            <w:sz w:val="24"/>
            <w:szCs w:val="24"/>
          </w:rPr>
          <w:t xml:space="preserve">em </w:t>
        </w:r>
        <w:r w:rsidRPr="00BE2C73">
          <w:rPr>
            <w:rStyle w:val="Hyperlink"/>
            <w:rFonts w:ascii="Open Sans" w:hAnsi="Open Sans" w:cs="Open Sans"/>
            <w:bCs/>
            <w:sz w:val="24"/>
            <w:szCs w:val="24"/>
          </w:rPr>
          <w:t>4/9/2024</w:t>
        </w:r>
      </w:hyperlink>
      <w:proofErr w:type="gramStart"/>
      <w:r w:rsidR="001B51A8">
        <w:rPr>
          <w:rFonts w:ascii="Open Sans" w:hAnsi="Open Sans" w:cs="Open Sans"/>
          <w:bCs/>
          <w:sz w:val="24"/>
          <w:szCs w:val="24"/>
        </w:rPr>
        <w:t>)</w:t>
      </w:r>
      <w:proofErr w:type="gramEnd"/>
    </w:p>
    <w:p w:rsidR="00CC3A82" w:rsidRPr="00BE2C73" w:rsidRDefault="00CC3A82" w:rsidP="00BE2C73">
      <w:pPr>
        <w:suppressAutoHyphens/>
        <w:ind w:left="-227" w:right="369"/>
        <w:jc w:val="both"/>
        <w:rPr>
          <w:rFonts w:ascii="Open Sans" w:hAnsi="Open Sans" w:cs="Open Sans"/>
          <w:sz w:val="24"/>
          <w:szCs w:val="24"/>
        </w:rPr>
      </w:pPr>
    </w:p>
    <w:p w:rsidR="00CC3A82" w:rsidRPr="00BE2C73" w:rsidRDefault="00CC3A82" w:rsidP="00BE2C73">
      <w:pPr>
        <w:pStyle w:val="Ementa"/>
        <w:suppressAutoHyphens/>
        <w:ind w:left="-227" w:right="369"/>
        <w:rPr>
          <w:rFonts w:cs="Open Sans"/>
          <w:b/>
        </w:rPr>
      </w:pPr>
      <w:r w:rsidRPr="00BE2C73">
        <w:rPr>
          <w:rFonts w:cs="Open Sans"/>
          <w:bCs/>
        </w:rPr>
        <w:t>“</w:t>
      </w:r>
      <w:r w:rsidRPr="00BE2C73">
        <w:rPr>
          <w:rFonts w:cs="Open Sans"/>
          <w:bCs/>
          <w:color w:val="auto"/>
        </w:rPr>
        <w:t xml:space="preserve">III - </w:t>
      </w:r>
      <w:r w:rsidRPr="00BE2C73">
        <w:rPr>
          <w:rFonts w:cs="Open Sans"/>
          <w:color w:val="auto"/>
        </w:rPr>
        <w:t>RECURSO DE REVISTA DO RECLAMADO. REGÊNCIA PELA LEI 13.467/2017</w:t>
      </w:r>
      <w:r w:rsidRPr="00BE2C73">
        <w:rPr>
          <w:rFonts w:cs="Open Sans"/>
        </w:rPr>
        <w:t xml:space="preserve"> INTERVALO PREVISTO NO ART. 384 DA CLT. </w:t>
      </w:r>
      <w:r w:rsidRPr="00BE2C73">
        <w:rPr>
          <w:rStyle w:val="fontepargpadro-000004"/>
          <w:rFonts w:cs="Open Sans"/>
          <w:bCs/>
        </w:rPr>
        <w:t>CONTRATO DE TRABALHO EM CURSO QUANDO DA VIGÊNCIA DA LEI 13.467/17. TRANSCENDÊNCIA JURÍDICA RECONHECIDA</w:t>
      </w:r>
      <w:r w:rsidRPr="00BE2C73">
        <w:rPr>
          <w:rFonts w:cs="Open Sans"/>
        </w:rPr>
        <w:t xml:space="preserve">. </w:t>
      </w:r>
      <w:proofErr w:type="gramStart"/>
      <w:r w:rsidRPr="00BE2C73">
        <w:rPr>
          <w:rFonts w:cs="Open Sans"/>
        </w:rPr>
        <w:t>1</w:t>
      </w:r>
      <w:proofErr w:type="gramEnd"/>
      <w:r w:rsidRPr="00BE2C73">
        <w:rPr>
          <w:rFonts w:cs="Open Sans"/>
        </w:rPr>
        <w:t xml:space="preserve">. A Lei 13.467/2017, vigente desde 11/11/2017, introduziu diversas alterações no ordenamento jurídico trabalhista brasileiro, entre elas a revogação do art. 384 da CLT que tratava sobre o intervalo de 15 minutos antes da jornada extraordinária para a trabalhadora mulher. 2. Em se tratando de questão submetida a direito intertemporal, a interpretação acerca da disposição normativa a incidir no caso concreto deve levar em consideração a irretroatividade ou retroatividade restrita das leis, preconizada no art. 5º, XXXVI, da Constituição Federal, em contraposição à aplicação da lei com efeito imediato, prevista no art. 6º da Lei de Introdução às Normas do Direito Brasileiro (LINDB). Assim, </w:t>
      </w:r>
      <w:r w:rsidRPr="00FF2F91">
        <w:rPr>
          <w:rFonts w:cs="Open Sans"/>
          <w:iCs/>
        </w:rPr>
        <w:t xml:space="preserve">as inovações da Lei 13.467/2017 </w:t>
      </w:r>
      <w:r w:rsidRPr="00FF2F91">
        <w:rPr>
          <w:rFonts w:cs="Open Sans"/>
          <w:bCs/>
          <w:iCs/>
        </w:rPr>
        <w:t>não são aplicáveis</w:t>
      </w:r>
      <w:r w:rsidRPr="00FF2F91">
        <w:rPr>
          <w:rFonts w:cs="Open Sans"/>
          <w:iCs/>
        </w:rPr>
        <w:t xml:space="preserve"> às situações de direito material juridicamente consolidadas antes de sua entrada em vigor</w:t>
      </w:r>
      <w:r w:rsidRPr="005326CE">
        <w:rPr>
          <w:rFonts w:cs="Open Sans"/>
          <w:iCs/>
        </w:rPr>
        <w:t>. 3.</w:t>
      </w:r>
      <w:r w:rsidRPr="00BE2C73">
        <w:rPr>
          <w:rFonts w:cs="Open Sans"/>
          <w:i/>
          <w:iCs/>
        </w:rPr>
        <w:t xml:space="preserve"> </w:t>
      </w:r>
      <w:r w:rsidRPr="00BE2C73">
        <w:rPr>
          <w:rFonts w:cs="Open Sans"/>
        </w:rPr>
        <w:t xml:space="preserve">Para os contratos de trabalho iniciados anteriormente à Lei 13.467/2017, portanto, caso dos autos, não há como se suprimir o direito ao intervalo para o período posterior, por se tratar de direito incorporado ao patrimônio jurídico das trabalhadoras, sob pena de caracterizar ofensa ao ato jurídico perfeito e vedada redução salarial (afrontando-se os </w:t>
      </w:r>
      <w:proofErr w:type="spellStart"/>
      <w:r w:rsidRPr="00BE2C73">
        <w:rPr>
          <w:rFonts w:cs="Open Sans"/>
        </w:rPr>
        <w:t>arts</w:t>
      </w:r>
      <w:proofErr w:type="spellEnd"/>
      <w:r w:rsidRPr="00BE2C73">
        <w:rPr>
          <w:rFonts w:cs="Open Sans"/>
        </w:rPr>
        <w:t xml:space="preserve">. 5º, XXXVI, 7º, VI, da Constituição Federal, e 6º da LINDB). Precedentes. </w:t>
      </w:r>
      <w:r w:rsidRPr="00BE2C73">
        <w:rPr>
          <w:rFonts w:cs="Open Sans"/>
          <w:bCs/>
        </w:rPr>
        <w:t>Recurso de revista não conhecido.” (</w:t>
      </w:r>
      <w:hyperlink r:id="rId23" w:history="1">
        <w:r w:rsidRPr="00BE2C73">
          <w:rPr>
            <w:rStyle w:val="Hyperlink"/>
            <w:rFonts w:cs="Open Sans"/>
            <w:bCs/>
          </w:rPr>
          <w:t xml:space="preserve">TST-RR-11967-14.2017.5.15.0031, 8ª Turma, rel. Min. </w:t>
        </w:r>
        <w:proofErr w:type="spellStart"/>
        <w:r w:rsidRPr="00BE2C73">
          <w:rPr>
            <w:rStyle w:val="Hyperlink"/>
            <w:rFonts w:cs="Open Sans"/>
            <w:bCs/>
          </w:rPr>
          <w:t>Delaíde</w:t>
        </w:r>
        <w:proofErr w:type="spellEnd"/>
        <w:r w:rsidRPr="00BE2C73">
          <w:rPr>
            <w:rStyle w:val="Hyperlink"/>
            <w:rFonts w:cs="Open Sans"/>
            <w:bCs/>
          </w:rPr>
          <w:t xml:space="preserve"> Alves Miranda Arantes, julgado</w:t>
        </w:r>
        <w:r w:rsidR="00472D3D">
          <w:rPr>
            <w:rStyle w:val="Hyperlink"/>
            <w:rFonts w:cs="Open Sans"/>
            <w:bCs/>
          </w:rPr>
          <w:t xml:space="preserve"> em</w:t>
        </w:r>
        <w:r w:rsidRPr="00BE2C73">
          <w:rPr>
            <w:rStyle w:val="Hyperlink"/>
            <w:rFonts w:cs="Open Sans"/>
            <w:bCs/>
          </w:rPr>
          <w:t xml:space="preserve"> 4/9/2024</w:t>
        </w:r>
      </w:hyperlink>
      <w:r w:rsidRPr="00BE2C73">
        <w:rPr>
          <w:rFonts w:cs="Open Sans"/>
          <w:bCs/>
        </w:rPr>
        <w:t>)</w:t>
      </w:r>
    </w:p>
    <w:p w:rsidR="00045210" w:rsidRPr="00BE2C73" w:rsidRDefault="00045210" w:rsidP="00A4791E">
      <w:pPr>
        <w:pStyle w:val="Ementa"/>
        <w:suppressAutoHyphens/>
        <w:ind w:left="0" w:right="369"/>
        <w:rPr>
          <w:rFonts w:cs="Open Sans"/>
        </w:rPr>
      </w:pPr>
    </w:p>
    <w:p w:rsidR="00CC3A82" w:rsidRDefault="00CC3A82" w:rsidP="00045210">
      <w:pPr>
        <w:pStyle w:val="Ementa"/>
        <w:suppressAutoHyphens/>
        <w:ind w:left="-227" w:right="369"/>
        <w:rPr>
          <w:rFonts w:cs="Open Sans"/>
          <w:bCs/>
        </w:rPr>
      </w:pPr>
      <w:r w:rsidRPr="00BE2C73">
        <w:rPr>
          <w:rFonts w:eastAsia="Times New Roman" w:cs="Open Sans"/>
          <w:color w:val="auto"/>
        </w:rPr>
        <w:t xml:space="preserve">“RECURSO DE REVISTA. REGÊNCIA PELA LEI Nº 13.467/2017 – RITO SUMARÍSSIMO TRANSFERÊNCIA DE EMPREGADA DA EBSERH. DOENÇA GRAVE. LAUDOS E PARECERES </w:t>
      </w:r>
      <w:r w:rsidRPr="00BE2C73">
        <w:rPr>
          <w:rFonts w:eastAsia="Times New Roman" w:cs="Open Sans"/>
          <w:color w:val="auto"/>
        </w:rPr>
        <w:lastRenderedPageBreak/>
        <w:t xml:space="preserve">MÉDICOS E PSICOLÓGICOS FAVORÁVEIS À REMOÇÃO. Cinge-se a controvérsia a respeito da transferência de empregada pública para outra localidade por motivo de saúde. No caso, o Regional consignou que a reclamante foi diagnosticada com Transtorno Depressivo Grave - TDG (CID </w:t>
      </w:r>
      <w:proofErr w:type="gramStart"/>
      <w:r w:rsidRPr="00BE2C73">
        <w:rPr>
          <w:rFonts w:eastAsia="Times New Roman" w:cs="Open Sans"/>
          <w:color w:val="auto"/>
        </w:rPr>
        <w:t>F32:</w:t>
      </w:r>
      <w:proofErr w:type="gramEnd"/>
      <w:r w:rsidRPr="00BE2C73">
        <w:rPr>
          <w:rFonts w:eastAsia="Times New Roman" w:cs="Open Sans"/>
          <w:color w:val="auto"/>
        </w:rPr>
        <w:t>3). O artigo 196 da Constituição disciplina que a saúde é direito de todos e dever do Estado, garantido mediante políticas sociais e econômicas que visem à redução do risco de doença e de outros agravos e ao acesso universal e igualitário às ações e serviços para sua promoção, proteção e recuperação. Verifica-se, assim, que a Constituição concedeu especial proteção ao direito à saúde consectário lógico do direito à vida, impondo o dever a todos de adoção de medidas que reduzam os riscos de doença e seu agravamento, em qualquer que seja a dimensão institucional em que atue, inclusive na qualidade de empregador. Ressalta-se, ainda, que sendo a reclamante idosa deve ser observado o Estatuto do Idoso (Lei nº 10.741/2003) que lhe garante proteção integral. De fato, tratando-se de doença grave, tal circunstância excepcional deve ser pautada na razoabilidade e na necessidade de proteção dos direitos fundamentais à dignidade da pessoa humana, à vida e à saúde da trabalhadora, nos</w:t>
      </w:r>
      <w:r w:rsidR="0011236E">
        <w:rPr>
          <w:rFonts w:eastAsia="Times New Roman" w:cs="Open Sans"/>
          <w:color w:val="auto"/>
        </w:rPr>
        <w:t xml:space="preserve"> termos dos </w:t>
      </w:r>
      <w:proofErr w:type="spellStart"/>
      <w:r w:rsidR="0011236E">
        <w:rPr>
          <w:rFonts w:eastAsia="Times New Roman" w:cs="Open Sans"/>
          <w:color w:val="auto"/>
        </w:rPr>
        <w:t>arts</w:t>
      </w:r>
      <w:proofErr w:type="spellEnd"/>
      <w:r w:rsidR="0011236E">
        <w:rPr>
          <w:rFonts w:eastAsia="Times New Roman" w:cs="Open Sans"/>
          <w:color w:val="auto"/>
        </w:rPr>
        <w:t>. 1º, III, 5º, ‘</w:t>
      </w:r>
      <w:r w:rsidRPr="0011236E">
        <w:rPr>
          <w:rFonts w:eastAsia="Times New Roman" w:cs="Open Sans"/>
          <w:i/>
          <w:color w:val="auto"/>
        </w:rPr>
        <w:t>caput</w:t>
      </w:r>
      <w:r w:rsidR="0011236E">
        <w:rPr>
          <w:rFonts w:eastAsia="Times New Roman" w:cs="Open Sans"/>
          <w:color w:val="auto"/>
        </w:rPr>
        <w:t>’</w:t>
      </w:r>
      <w:r w:rsidRPr="00BE2C73">
        <w:rPr>
          <w:rFonts w:eastAsia="Times New Roman" w:cs="Open Sans"/>
          <w:color w:val="auto"/>
        </w:rPr>
        <w:t xml:space="preserve">, e 6º da Constituição Federal. Em prosseguimento, sopesando os bens jurídicos tutelados, o direito a saúde deve prevalecer frente às normas internas da reclamada sendo certo que não há sobreposição do interesse particular sobre o interesse público, visto que a empregada continuará a prestar serviços à empresa, porém em outra localidade do país, sendo razoável concluir que é interesse da Administração Pública ter resguardada a saúde da reclamante. Contra senso, mantê-la nesta situação pode leva-la a aposentadoria por invalidez. Por outro lado, </w:t>
      </w:r>
      <w:proofErr w:type="gramStart"/>
      <w:r w:rsidRPr="00BE2C73">
        <w:rPr>
          <w:rFonts w:eastAsia="Times New Roman" w:cs="Open Sans"/>
          <w:color w:val="auto"/>
        </w:rPr>
        <w:t>importante</w:t>
      </w:r>
      <w:proofErr w:type="gramEnd"/>
      <w:r w:rsidRPr="00BE2C73">
        <w:rPr>
          <w:rFonts w:eastAsia="Times New Roman" w:cs="Open Sans"/>
          <w:color w:val="auto"/>
        </w:rPr>
        <w:t xml:space="preserve"> acrescentar que, ainda que o contrato de trabalho da reclamante seja regido pela CLT, o que a princípio afastaria a aplicação do artigo 36, III, da Lei 8.112/9 (que disciplina a remoção de servidor público estatutário por motivo e saúde), referida norma pode ser aplicada por analogia extensiva e como fonte de interpretação. Neste contexto, seja por aplicação analógica do artigo 36, III Lei nº 8.112/1990, ou pelos bens jurídicos tutelados (dignidade da pessoa humana, à vida e à saúde da trabalhadora, nos termos dos</w:t>
      </w:r>
      <w:r w:rsidR="0011236E">
        <w:rPr>
          <w:rFonts w:eastAsia="Times New Roman" w:cs="Open Sans"/>
          <w:color w:val="auto"/>
        </w:rPr>
        <w:t xml:space="preserve"> </w:t>
      </w:r>
      <w:proofErr w:type="spellStart"/>
      <w:r w:rsidR="0011236E">
        <w:rPr>
          <w:rFonts w:eastAsia="Times New Roman" w:cs="Open Sans"/>
          <w:color w:val="auto"/>
        </w:rPr>
        <w:t>arts</w:t>
      </w:r>
      <w:proofErr w:type="spellEnd"/>
      <w:r w:rsidR="0011236E">
        <w:rPr>
          <w:rFonts w:eastAsia="Times New Roman" w:cs="Open Sans"/>
          <w:color w:val="auto"/>
        </w:rPr>
        <w:t>. 1º, III, 5º, ‘</w:t>
      </w:r>
      <w:r w:rsidRPr="0011236E">
        <w:rPr>
          <w:rFonts w:eastAsia="Times New Roman" w:cs="Open Sans"/>
          <w:i/>
          <w:color w:val="auto"/>
        </w:rPr>
        <w:t>caput</w:t>
      </w:r>
      <w:r w:rsidR="0011236E">
        <w:rPr>
          <w:rFonts w:eastAsia="Times New Roman" w:cs="Open Sans"/>
          <w:color w:val="auto"/>
        </w:rPr>
        <w:t>’</w:t>
      </w:r>
      <w:r w:rsidRPr="00BE2C73">
        <w:rPr>
          <w:rFonts w:eastAsia="Times New Roman" w:cs="Open Sans"/>
          <w:color w:val="auto"/>
        </w:rPr>
        <w:t xml:space="preserve">, 6º e 196 da Constituição Federal) a reclamante faz jus a transferência em virtude do seu estado de saúde. </w:t>
      </w:r>
      <w:proofErr w:type="gramStart"/>
      <w:r w:rsidRPr="00BE2C73">
        <w:rPr>
          <w:rFonts w:eastAsia="Times New Roman" w:cs="Open Sans"/>
          <w:color w:val="auto"/>
        </w:rPr>
        <w:t>Recurso de revista conhecido e provido”</w:t>
      </w:r>
      <w:proofErr w:type="gramEnd"/>
      <w:r w:rsidRPr="00BE2C73">
        <w:rPr>
          <w:rFonts w:cs="Open Sans"/>
          <w:bCs/>
        </w:rPr>
        <w:t xml:space="preserve"> (</w:t>
      </w:r>
      <w:hyperlink r:id="rId24" w:history="1">
        <w:r w:rsidRPr="00BE2C73">
          <w:rPr>
            <w:rStyle w:val="Hyperlink"/>
            <w:rFonts w:cs="Open Sans"/>
            <w:bCs/>
          </w:rPr>
          <w:t>TST-RR-625-39.2023.5.20.0004, 8ª Turma, rel. Min. Sérgio Pinto Martins, julgado</w:t>
        </w:r>
        <w:r w:rsidR="00A4791E">
          <w:rPr>
            <w:rStyle w:val="Hyperlink"/>
            <w:rFonts w:cs="Open Sans"/>
            <w:bCs/>
          </w:rPr>
          <w:t xml:space="preserve"> em</w:t>
        </w:r>
        <w:r w:rsidRPr="00BE2C73">
          <w:rPr>
            <w:rStyle w:val="Hyperlink"/>
            <w:rFonts w:cs="Open Sans"/>
            <w:bCs/>
          </w:rPr>
          <w:t xml:space="preserve"> 18/9/2024</w:t>
        </w:r>
      </w:hyperlink>
      <w:r w:rsidRPr="00BE2C73">
        <w:rPr>
          <w:rFonts w:cs="Open Sans"/>
          <w:bCs/>
        </w:rPr>
        <w:t xml:space="preserve">) </w:t>
      </w:r>
    </w:p>
    <w:p w:rsidR="00DE7DDF" w:rsidRPr="00CC3A82" w:rsidRDefault="00DE7DDF" w:rsidP="00045210">
      <w:pPr>
        <w:pStyle w:val="Ementa"/>
        <w:suppressAutoHyphens/>
        <w:ind w:left="-227" w:right="369"/>
        <w:rPr>
          <w:rFonts w:cs="Open Sans"/>
        </w:rPr>
      </w:pPr>
      <w:bookmarkStart w:id="0" w:name="_GoBack"/>
      <w:bookmarkEnd w:id="0"/>
    </w:p>
    <w:p w:rsidR="00ED73E7" w:rsidRPr="000D5E68" w:rsidRDefault="00ED73E7" w:rsidP="009E652F">
      <w:pPr>
        <w:pStyle w:val="Cabealho"/>
        <w:tabs>
          <w:tab w:val="clear" w:pos="4419"/>
          <w:tab w:val="clear" w:pos="8838"/>
        </w:tabs>
        <w:ind w:left="-142" w:right="368" w:firstLine="142"/>
        <w:jc w:val="center"/>
        <w:rPr>
          <w:rFonts w:ascii="Open Sans" w:hAnsi="Open Sans" w:cs="Open Sans"/>
        </w:rPr>
      </w:pPr>
    </w:p>
    <w:p w:rsidR="00ED73E7" w:rsidRPr="00CC3A82" w:rsidRDefault="00ED73E7" w:rsidP="009E652F">
      <w:pPr>
        <w:pStyle w:val="Cabealho"/>
        <w:tabs>
          <w:tab w:val="clear" w:pos="4419"/>
          <w:tab w:val="clear" w:pos="8838"/>
        </w:tabs>
        <w:ind w:left="-142" w:right="368" w:firstLine="142"/>
        <w:jc w:val="center"/>
        <w:rPr>
          <w:rFonts w:ascii="Open Sans" w:hAnsi="Open Sans" w:cs="Open Sans"/>
          <w:i/>
        </w:rPr>
      </w:pPr>
    </w:p>
    <w:p w:rsidR="001A7589" w:rsidRPr="00CC3A82" w:rsidRDefault="001A7589" w:rsidP="009E652F">
      <w:pPr>
        <w:pStyle w:val="Cabealho"/>
        <w:tabs>
          <w:tab w:val="clear" w:pos="4419"/>
          <w:tab w:val="clear" w:pos="8838"/>
        </w:tabs>
        <w:ind w:left="-142" w:right="368" w:firstLine="142"/>
        <w:jc w:val="center"/>
        <w:rPr>
          <w:rFonts w:ascii="Open Sans" w:hAnsi="Open Sans" w:cs="Open Sans"/>
          <w:i/>
        </w:rPr>
      </w:pPr>
    </w:p>
    <w:p w:rsidR="001A7589" w:rsidRPr="00CC3A82"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CC3A82">
        <w:rPr>
          <w:rFonts w:ascii="Open Sans" w:hAnsi="Open Sans" w:cs="Open Sans"/>
          <w:b w:val="0"/>
          <w:bCs w:val="0"/>
          <w:snapToGrid w:val="0"/>
          <w:sz w:val="24"/>
          <w:szCs w:val="24"/>
        </w:rPr>
        <w:t xml:space="preserve">O Informativo TST é mantido pela </w:t>
      </w:r>
    </w:p>
    <w:p w:rsidR="001A7589" w:rsidRPr="00CC3A82"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CC3A82">
        <w:rPr>
          <w:rFonts w:ascii="Open Sans" w:hAnsi="Open Sans" w:cs="Open Sans"/>
          <w:b w:val="0"/>
          <w:bCs w:val="0"/>
          <w:snapToGrid w:val="0"/>
          <w:sz w:val="24"/>
          <w:szCs w:val="24"/>
        </w:rPr>
        <w:t>Coordenadoria de Jurisprudência – CJUR.</w:t>
      </w:r>
    </w:p>
    <w:p w:rsidR="001A7589" w:rsidRPr="00CC3A82"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CC3A82"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CC3A82">
        <w:rPr>
          <w:rFonts w:ascii="Open Sans" w:hAnsi="Open Sans" w:cs="Open Sans"/>
          <w:snapToGrid w:val="0"/>
          <w:sz w:val="24"/>
          <w:szCs w:val="24"/>
        </w:rPr>
        <w:t>Informações, sugestões ou c</w:t>
      </w:r>
      <w:r w:rsidR="001A7589" w:rsidRPr="00CC3A82">
        <w:rPr>
          <w:rFonts w:ascii="Open Sans" w:hAnsi="Open Sans" w:cs="Open Sans"/>
          <w:snapToGrid w:val="0"/>
          <w:sz w:val="24"/>
          <w:szCs w:val="24"/>
        </w:rPr>
        <w:t xml:space="preserve">ríticas: (61)3043-4612 ou </w:t>
      </w:r>
      <w:hyperlink r:id="rId25" w:history="1">
        <w:r w:rsidR="001A7589" w:rsidRPr="00CC3A82">
          <w:rPr>
            <w:rStyle w:val="Hyperlink"/>
            <w:rFonts w:ascii="Open Sans" w:hAnsi="Open Sans" w:cs="Open Sans"/>
            <w:snapToGrid w:val="0"/>
            <w:sz w:val="24"/>
            <w:szCs w:val="24"/>
          </w:rPr>
          <w:t>cjur@tst.jus.br</w:t>
        </w:r>
      </w:hyperlink>
    </w:p>
    <w:p w:rsidR="001A7589" w:rsidRPr="00CC3A82"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CC3A82"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CC3A82">
        <w:rPr>
          <w:rFonts w:ascii="Open Sans" w:hAnsi="Open Sans" w:cs="Open Sans"/>
          <w:snapToGrid w:val="0"/>
          <w:sz w:val="24"/>
          <w:szCs w:val="24"/>
        </w:rPr>
        <w:t xml:space="preserve">Para acessar todas as edições: </w:t>
      </w:r>
      <w:hyperlink r:id="rId26" w:history="1">
        <w:r w:rsidRPr="00CC3A82">
          <w:rPr>
            <w:rStyle w:val="Hyperlink"/>
            <w:rFonts w:ascii="Open Sans" w:hAnsi="Open Sans" w:cs="Open Sans"/>
            <w:snapToGrid w:val="0"/>
            <w:sz w:val="24"/>
            <w:szCs w:val="24"/>
          </w:rPr>
          <w:t>http://www.tst.jus.br/web/guest/informativo-tst</w:t>
        </w:r>
      </w:hyperlink>
    </w:p>
    <w:p w:rsidR="001A7589" w:rsidRPr="00CC3A82"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CC3A82"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CC3A82">
        <w:rPr>
          <w:rFonts w:ascii="Open Sans" w:hAnsi="Open Sans" w:cs="Open Sans"/>
          <w:snapToGrid w:val="0"/>
          <w:sz w:val="24"/>
          <w:szCs w:val="24"/>
        </w:rPr>
        <w:t xml:space="preserve">Para receber via </w:t>
      </w:r>
      <w:r w:rsidRPr="00CC3A82">
        <w:rPr>
          <w:rFonts w:ascii="Open Sans" w:hAnsi="Open Sans" w:cs="Open Sans"/>
          <w:i/>
          <w:snapToGrid w:val="0"/>
          <w:sz w:val="24"/>
          <w:szCs w:val="24"/>
        </w:rPr>
        <w:t>e-mail</w:t>
      </w:r>
      <w:r w:rsidRPr="00CC3A82">
        <w:rPr>
          <w:rFonts w:ascii="Open Sans" w:hAnsi="Open Sans" w:cs="Open Sans"/>
          <w:snapToGrid w:val="0"/>
          <w:sz w:val="24"/>
          <w:szCs w:val="24"/>
        </w:rPr>
        <w:t xml:space="preserve">: </w:t>
      </w:r>
      <w:hyperlink r:id="rId27" w:history="1">
        <w:r w:rsidRPr="00CC3A82">
          <w:rPr>
            <w:rStyle w:val="Hyperlink"/>
            <w:rFonts w:ascii="Open Sans" w:hAnsi="Open Sans" w:cs="Open Sans"/>
            <w:snapToGrid w:val="0"/>
            <w:sz w:val="24"/>
            <w:szCs w:val="24"/>
          </w:rPr>
          <w:t>http://www.tst.jus.br/push</w:t>
        </w:r>
      </w:hyperlink>
    </w:p>
    <w:p w:rsidR="00ED73E7" w:rsidRPr="00CC3A82" w:rsidRDefault="001A7589" w:rsidP="009E652F">
      <w:pPr>
        <w:ind w:left="-284"/>
        <w:rPr>
          <w:rFonts w:ascii="Open Sans" w:hAnsi="Open Sans" w:cs="Open Sans"/>
        </w:rPr>
      </w:pPr>
      <w:r w:rsidRPr="00CC3A82">
        <w:rPr>
          <w:rFonts w:ascii="Open Sans" w:hAnsi="Open Sans" w:cs="Open Sans"/>
        </w:rPr>
        <w:tab/>
      </w:r>
    </w:p>
    <w:sectPr w:rsidR="00ED73E7" w:rsidRPr="00CC3A82" w:rsidSect="009F61FA">
      <w:footerReference w:type="default" r:id="rId28"/>
      <w:headerReference w:type="first" r:id="rId29"/>
      <w:footerReference w:type="first" r:id="rId30"/>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C6" w:rsidRDefault="00B579C6" w:rsidP="001A7589">
      <w:r>
        <w:separator/>
      </w:r>
    </w:p>
  </w:endnote>
  <w:endnote w:type="continuationSeparator" w:id="0">
    <w:p w:rsidR="00B579C6" w:rsidRDefault="00B579C6"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B579C6" w:rsidRDefault="00B579C6" w:rsidP="00ED73E7">
            <w:pPr>
              <w:pStyle w:val="Rodap"/>
              <w:pBdr>
                <w:top w:val="single" w:sz="4" w:space="1" w:color="auto"/>
              </w:pBdr>
              <w:ind w:left="-284" w:right="367"/>
              <w:jc w:val="right"/>
            </w:pPr>
            <w:r>
              <w:fldChar w:fldCharType="begin"/>
            </w:r>
            <w:r>
              <w:instrText>PAGE   \* MERGEFORMAT</w:instrText>
            </w:r>
            <w:r>
              <w:fldChar w:fldCharType="separate"/>
            </w:r>
            <w:r w:rsidR="00DE7DDF">
              <w:rPr>
                <w:noProof/>
              </w:rPr>
              <w:t>14</w:t>
            </w:r>
            <w:r>
              <w:fldChar w:fldCharType="end"/>
            </w:r>
          </w:p>
        </w:sdtContent>
      </w:sdt>
      <w:p w:rsidR="00B579C6" w:rsidRDefault="00DE7DDF" w:rsidP="00ED73E7">
        <w:pPr>
          <w:pStyle w:val="Rodap"/>
          <w:jc w:val="right"/>
        </w:pPr>
      </w:p>
    </w:sdtContent>
  </w:sdt>
  <w:p w:rsidR="00B579C6" w:rsidRDefault="00B579C6"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B579C6" w:rsidRDefault="00B579C6" w:rsidP="00ED73E7">
        <w:pPr>
          <w:pStyle w:val="Rodap"/>
          <w:pBdr>
            <w:top w:val="single" w:sz="4" w:space="1" w:color="auto"/>
          </w:pBdr>
          <w:ind w:left="-284" w:right="367"/>
          <w:jc w:val="right"/>
        </w:pPr>
        <w:r>
          <w:fldChar w:fldCharType="begin"/>
        </w:r>
        <w:r>
          <w:instrText>PAGE   \* MERGEFORMAT</w:instrText>
        </w:r>
        <w:r>
          <w:fldChar w:fldCharType="separate"/>
        </w:r>
        <w:r w:rsidR="003A578F">
          <w:rPr>
            <w:noProof/>
          </w:rPr>
          <w:t>1</w:t>
        </w:r>
        <w:r>
          <w:fldChar w:fldCharType="end"/>
        </w:r>
      </w:p>
    </w:sdtContent>
  </w:sdt>
  <w:p w:rsidR="00B579C6" w:rsidRDefault="00B579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C6" w:rsidRDefault="00B579C6" w:rsidP="001A7589">
      <w:r>
        <w:separator/>
      </w:r>
    </w:p>
  </w:footnote>
  <w:footnote w:type="continuationSeparator" w:id="0">
    <w:p w:rsidR="00B579C6" w:rsidRDefault="00B579C6"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C6" w:rsidRDefault="00B579C6" w:rsidP="001A7589">
    <w:pPr>
      <w:pStyle w:val="Cabealho"/>
    </w:pPr>
    <w:r>
      <w:rPr>
        <w:noProof/>
      </w:rPr>
      <mc:AlternateContent>
        <mc:Choice Requires="wps">
          <w:drawing>
            <wp:anchor distT="0" distB="0" distL="114300" distR="114300" simplePos="0" relativeHeight="251661312" behindDoc="0" locked="0" layoutInCell="0" allowOverlap="1" wp14:anchorId="46252DAF" wp14:editId="1B566021">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B579C6" w:rsidRPr="00B633EE" w:rsidRDefault="00B579C6"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B579C6" w:rsidRPr="00B633EE" w:rsidRDefault="00B579C6"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5BB28563" wp14:editId="6AB41808">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B579C6" w:rsidRDefault="00B579C6" w:rsidP="001A7589">
    <w:pPr>
      <w:pStyle w:val="Cabealho"/>
    </w:pPr>
  </w:p>
  <w:p w:rsidR="00B579C6" w:rsidRDefault="00B579C6" w:rsidP="001A7589">
    <w:pPr>
      <w:pStyle w:val="Cabealho"/>
    </w:pPr>
    <w:r w:rsidRPr="00B633EE">
      <w:rPr>
        <w:rFonts w:ascii="Open Sans" w:hAnsi="Open Sans" w:cs="Open Sans"/>
        <w:noProof/>
        <w:color w:val="006699"/>
        <w:sz w:val="30"/>
      </w:rPr>
      <w:drawing>
        <wp:inline distT="0" distB="0" distL="0" distR="0" wp14:anchorId="1A0AC86B" wp14:editId="2AB77EB9">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B579C6" w:rsidRPr="00CE124A" w:rsidRDefault="00B579C6"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292</w:t>
    </w:r>
  </w:p>
  <w:p w:rsidR="00B579C6" w:rsidRDefault="00B579C6"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3 a 20 de setembro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45210"/>
    <w:rsid w:val="00051B62"/>
    <w:rsid w:val="00062157"/>
    <w:rsid w:val="00067B05"/>
    <w:rsid w:val="000823F4"/>
    <w:rsid w:val="000A6BA3"/>
    <w:rsid w:val="000B4777"/>
    <w:rsid w:val="000D41CE"/>
    <w:rsid w:val="000D5E68"/>
    <w:rsid w:val="000E18F2"/>
    <w:rsid w:val="0010138E"/>
    <w:rsid w:val="0011236E"/>
    <w:rsid w:val="00170861"/>
    <w:rsid w:val="00197ED5"/>
    <w:rsid w:val="001A7589"/>
    <w:rsid w:val="001B51A8"/>
    <w:rsid w:val="0020186B"/>
    <w:rsid w:val="00215C92"/>
    <w:rsid w:val="002518B4"/>
    <w:rsid w:val="00281F81"/>
    <w:rsid w:val="002F309A"/>
    <w:rsid w:val="003558F5"/>
    <w:rsid w:val="003A578F"/>
    <w:rsid w:val="003B1F06"/>
    <w:rsid w:val="00472D3D"/>
    <w:rsid w:val="004B476A"/>
    <w:rsid w:val="004F58F5"/>
    <w:rsid w:val="005326CE"/>
    <w:rsid w:val="00546107"/>
    <w:rsid w:val="00577BB7"/>
    <w:rsid w:val="005807AB"/>
    <w:rsid w:val="00585786"/>
    <w:rsid w:val="005D6937"/>
    <w:rsid w:val="006035D1"/>
    <w:rsid w:val="006138BD"/>
    <w:rsid w:val="006271CF"/>
    <w:rsid w:val="006A2A5B"/>
    <w:rsid w:val="006B2F1A"/>
    <w:rsid w:val="006E088D"/>
    <w:rsid w:val="0075138A"/>
    <w:rsid w:val="007E13EF"/>
    <w:rsid w:val="00802978"/>
    <w:rsid w:val="00802D0C"/>
    <w:rsid w:val="00803897"/>
    <w:rsid w:val="00820088"/>
    <w:rsid w:val="00832EFD"/>
    <w:rsid w:val="0084321A"/>
    <w:rsid w:val="00851122"/>
    <w:rsid w:val="00895CBE"/>
    <w:rsid w:val="008E7617"/>
    <w:rsid w:val="008F6F06"/>
    <w:rsid w:val="008F7532"/>
    <w:rsid w:val="00972137"/>
    <w:rsid w:val="00994FB5"/>
    <w:rsid w:val="009A2802"/>
    <w:rsid w:val="009E652F"/>
    <w:rsid w:val="009F61FA"/>
    <w:rsid w:val="00A3374D"/>
    <w:rsid w:val="00A4791E"/>
    <w:rsid w:val="00A7423D"/>
    <w:rsid w:val="00B46C49"/>
    <w:rsid w:val="00B579C6"/>
    <w:rsid w:val="00B633EE"/>
    <w:rsid w:val="00B63819"/>
    <w:rsid w:val="00BE2C73"/>
    <w:rsid w:val="00C160C2"/>
    <w:rsid w:val="00C201B5"/>
    <w:rsid w:val="00C33414"/>
    <w:rsid w:val="00C94C3F"/>
    <w:rsid w:val="00CA7470"/>
    <w:rsid w:val="00CC3A82"/>
    <w:rsid w:val="00CC69B0"/>
    <w:rsid w:val="00CD4134"/>
    <w:rsid w:val="00D03F10"/>
    <w:rsid w:val="00D05515"/>
    <w:rsid w:val="00D663E7"/>
    <w:rsid w:val="00DE7DDF"/>
    <w:rsid w:val="00E020FE"/>
    <w:rsid w:val="00EC15D2"/>
    <w:rsid w:val="00EC1FE0"/>
    <w:rsid w:val="00ED73E7"/>
    <w:rsid w:val="00EF2130"/>
    <w:rsid w:val="00F43ECD"/>
    <w:rsid w:val="00F707E9"/>
    <w:rsid w:val="00F85B8D"/>
    <w:rsid w:val="00FC3CE8"/>
    <w:rsid w:val="00FC7F9A"/>
    <w:rsid w:val="00FE4D29"/>
    <w:rsid w:val="00FF2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CC3A82"/>
    <w:rPr>
      <w:rFonts w:eastAsiaTheme="minorEastAsia" w:cs="Courier New"/>
      <w:color w:val="000000"/>
      <w:sz w:val="24"/>
      <w:szCs w:val="24"/>
      <w:lang w:eastAsia="pt-BR"/>
    </w:rPr>
  </w:style>
  <w:style w:type="paragraph" w:customStyle="1" w:styleId="Ementa">
    <w:name w:val="Ementa"/>
    <w:basedOn w:val="Normal"/>
    <w:link w:val="EmentaChar1"/>
    <w:uiPriority w:val="99"/>
    <w:qFormat/>
    <w:rsid w:val="00CC3A82"/>
    <w:pPr>
      <w:ind w:left="4536"/>
      <w:jc w:val="both"/>
    </w:pPr>
    <w:rPr>
      <w:rFonts w:ascii="Open Sans" w:eastAsiaTheme="minorEastAsia" w:hAnsi="Open Sans" w:cs="Courier New"/>
      <w:color w:val="000000"/>
      <w:sz w:val="24"/>
      <w:szCs w:val="24"/>
    </w:rPr>
  </w:style>
  <w:style w:type="character" w:customStyle="1" w:styleId="EmentaChar">
    <w:name w:val="Ementa Char"/>
    <w:uiPriority w:val="99"/>
    <w:locked/>
    <w:rsid w:val="00CC3A82"/>
    <w:rPr>
      <w:rFonts w:ascii="Open Sans" w:eastAsiaTheme="minorEastAsia" w:hAnsi="Open Sans" w:cs="Courier New"/>
      <w:color w:val="000000"/>
      <w:sz w:val="24"/>
      <w:szCs w:val="24"/>
      <w:lang w:eastAsia="pt-BR"/>
    </w:rPr>
  </w:style>
  <w:style w:type="character" w:styleId="HiperlinkVisitado">
    <w:name w:val="FollowedHyperlink"/>
    <w:basedOn w:val="Fontepargpadro"/>
    <w:uiPriority w:val="99"/>
    <w:semiHidden/>
    <w:unhideWhenUsed/>
    <w:rsid w:val="000E18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CC3A82"/>
    <w:rPr>
      <w:rFonts w:eastAsiaTheme="minorEastAsia" w:cs="Courier New"/>
      <w:color w:val="000000"/>
      <w:sz w:val="24"/>
      <w:szCs w:val="24"/>
      <w:lang w:eastAsia="pt-BR"/>
    </w:rPr>
  </w:style>
  <w:style w:type="paragraph" w:customStyle="1" w:styleId="Ementa">
    <w:name w:val="Ementa"/>
    <w:basedOn w:val="Normal"/>
    <w:link w:val="EmentaChar1"/>
    <w:uiPriority w:val="99"/>
    <w:qFormat/>
    <w:rsid w:val="00CC3A82"/>
    <w:pPr>
      <w:ind w:left="4536"/>
      <w:jc w:val="both"/>
    </w:pPr>
    <w:rPr>
      <w:rFonts w:ascii="Open Sans" w:eastAsiaTheme="minorEastAsia" w:hAnsi="Open Sans" w:cs="Courier New"/>
      <w:color w:val="000000"/>
      <w:sz w:val="24"/>
      <w:szCs w:val="24"/>
    </w:rPr>
  </w:style>
  <w:style w:type="character" w:customStyle="1" w:styleId="EmentaChar">
    <w:name w:val="Ementa Char"/>
    <w:uiPriority w:val="99"/>
    <w:locked/>
    <w:rsid w:val="00CC3A82"/>
    <w:rPr>
      <w:rFonts w:ascii="Open Sans" w:eastAsiaTheme="minorEastAsia" w:hAnsi="Open Sans" w:cs="Courier New"/>
      <w:color w:val="000000"/>
      <w:sz w:val="24"/>
      <w:szCs w:val="24"/>
      <w:lang w:eastAsia="pt-BR"/>
    </w:rPr>
  </w:style>
  <w:style w:type="character" w:styleId="HiperlinkVisitado">
    <w:name w:val="FollowedHyperlink"/>
    <w:basedOn w:val="Fontepargpadro"/>
    <w:uiPriority w:val="99"/>
    <w:semiHidden/>
    <w:unhideWhenUsed/>
    <w:rsid w:val="000E18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6413">
      <w:bodyDiv w:val="1"/>
      <w:marLeft w:val="0"/>
      <w:marRight w:val="0"/>
      <w:marTop w:val="0"/>
      <w:marBottom w:val="0"/>
      <w:divBdr>
        <w:top w:val="none" w:sz="0" w:space="0" w:color="auto"/>
        <w:left w:val="none" w:sz="0" w:space="0" w:color="auto"/>
        <w:bottom w:val="none" w:sz="0" w:space="0" w:color="auto"/>
        <w:right w:val="none" w:sz="0" w:space="0" w:color="auto"/>
      </w:divBdr>
    </w:div>
    <w:div w:id="385028831">
      <w:bodyDiv w:val="1"/>
      <w:marLeft w:val="0"/>
      <w:marRight w:val="0"/>
      <w:marTop w:val="0"/>
      <w:marBottom w:val="0"/>
      <w:divBdr>
        <w:top w:val="none" w:sz="0" w:space="0" w:color="auto"/>
        <w:left w:val="none" w:sz="0" w:space="0" w:color="auto"/>
        <w:bottom w:val="none" w:sz="0" w:space="0" w:color="auto"/>
        <w:right w:val="none" w:sz="0" w:space="0" w:color="auto"/>
      </w:divBdr>
    </w:div>
    <w:div w:id="830633971">
      <w:bodyDiv w:val="1"/>
      <w:marLeft w:val="0"/>
      <w:marRight w:val="0"/>
      <w:marTop w:val="0"/>
      <w:marBottom w:val="0"/>
      <w:divBdr>
        <w:top w:val="none" w:sz="0" w:space="0" w:color="auto"/>
        <w:left w:val="none" w:sz="0" w:space="0" w:color="auto"/>
        <w:bottom w:val="none" w:sz="0" w:space="0" w:color="auto"/>
        <w:right w:val="none" w:sz="0" w:space="0" w:color="auto"/>
      </w:divBdr>
    </w:div>
    <w:div w:id="9264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e.tst.jus.br/consultaprocessual/detalhe-processo/1000874-40.2023.5.00.0000/3" TargetMode="External"/><Relationship Id="rId13" Type="http://schemas.openxmlformats.org/officeDocument/2006/relationships/hyperlink" Target="https://pje.tst.jus.br/consultaprocessual/detalhe-processo/0000053-63.2024.5.12.0039/3" TargetMode="External"/><Relationship Id="rId18" Type="http://schemas.openxmlformats.org/officeDocument/2006/relationships/hyperlink" Target="https://consultaprocessual.tst.jus.br/consultaProcessual/resumoForm.do?consulta=1&amp;anoInt=2015&amp;numeroInt=89924" TargetMode="External"/><Relationship Id="rId26" Type="http://schemas.openxmlformats.org/officeDocument/2006/relationships/hyperlink" Target="http://www.tst.jus.br/web/guest/informativo-tst"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2241&amp;digitoTst=69&amp;anoTst=2014&amp;orgaoTst=5&amp;tribunalTst=09&amp;varaTst=0651&amp;submit=Consultar" TargetMode="External"/><Relationship Id="rId7" Type="http://schemas.openxmlformats.org/officeDocument/2006/relationships/endnotes" Target="endnotes.xml"/><Relationship Id="rId12" Type="http://schemas.openxmlformats.org/officeDocument/2006/relationships/hyperlink" Target="https://pje.tst.jus.br/consultaprocessual/detalhe-processo/0010380-17.2023.5.03.0051/3" TargetMode="External"/><Relationship Id="rId17" Type="http://schemas.openxmlformats.org/officeDocument/2006/relationships/hyperlink" Target="https://consultaprocessual.tst.jus.br/consultaProcessual/resumoForm.do?consulta=1&amp;anoInt=2023&amp;numeroInt=224044" TargetMode="External"/><Relationship Id="rId25" Type="http://schemas.openxmlformats.org/officeDocument/2006/relationships/hyperlink" Target="mailto:cjur@tst.jus.br" TargetMode="External"/><Relationship Id="rId2" Type="http://schemas.openxmlformats.org/officeDocument/2006/relationships/styles" Target="styles.xml"/><Relationship Id="rId16" Type="http://schemas.openxmlformats.org/officeDocument/2006/relationships/hyperlink" Target="https://consultaprocessual.tst.jus.br/consultaProcessual/resumoForm.do?consulta=1&amp;anoInt=2015&amp;numeroInt=18237" TargetMode="External"/><Relationship Id="rId20" Type="http://schemas.openxmlformats.org/officeDocument/2006/relationships/hyperlink" Target="https://consultaprocessual.tst.jus.br/consultaProcessual/consultaTstNumUnica.do?consulta=Consultar&amp;conscsjt=&amp;numeroTst=63900&amp;digitoTst=05&amp;anoTst=2011&amp;orgaoTst=5&amp;tribunalTst=16&amp;varaTst=0000&amp;submit=Consulta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e.tst.jus.br/consultaprocessual/detalhe-processo/0001146-76.2023.5.13.0004/3" TargetMode="External"/><Relationship Id="rId24" Type="http://schemas.openxmlformats.org/officeDocument/2006/relationships/hyperlink" Target="https://consultaprocessual.tst.jus.br/consultaProcessual/consultaTstNumUnica.do?consulta=Consultar&amp;conscsjt=&amp;numeroTst=625&amp;digitoTst=39&amp;anoTst=2023&amp;orgaoTst=5&amp;tribunalTst=20&amp;varaTst=0004&amp;submit=Consulta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0434&amp;digitoTst=87&amp;anoTst=2019&amp;orgaoTst=5&amp;tribunalTst=15&amp;varaTst=0083&amp;submit=Consultar" TargetMode="External"/><Relationship Id="rId23" Type="http://schemas.openxmlformats.org/officeDocument/2006/relationships/hyperlink" Target="https://consultaprocessual.tst.jus.br/consultaProcessual/consultaTstNumUnica.do?consulta=Consultar&amp;conscsjt=&amp;numeroTst=11967&amp;digitoTst=14&amp;anoTst=2017&amp;orgaoTst=5&amp;tribunalTst=15&amp;varaTst=0031&amp;submit=Consultar" TargetMode="External"/><Relationship Id="rId28" Type="http://schemas.openxmlformats.org/officeDocument/2006/relationships/footer" Target="footer1.xml"/><Relationship Id="rId10" Type="http://schemas.openxmlformats.org/officeDocument/2006/relationships/hyperlink" Target="https://consultaprocessual.tst.jus.br/consultaProcessual/consultaTstNumUnica.do?consulta=Consultar&amp;conscsjt=&amp;numeroTst=603&amp;digitoTst=48&amp;anoTst=2022&amp;orgaoTst=5&amp;tribunalTst=19&amp;varaTst=0002&amp;submit=Consultar" TargetMode="External"/><Relationship Id="rId19" Type="http://schemas.openxmlformats.org/officeDocument/2006/relationships/hyperlink" Target="https://consultaprocessual.tst.jus.br/consultaProcessual/consultaTstNumUnica.do?consulta=Consultar&amp;conscsjt=&amp;numeroTst=11498&amp;digitoTst=83&amp;anoTst=2015&amp;orgaoTst=5&amp;tribunalTst=03&amp;varaTst=0091&amp;submit=Consult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je.tst.jus.br/consultaprocessual/detalhe-processo/0016304-44.2019.5.16.0000/3" TargetMode="External"/><Relationship Id="rId14" Type="http://schemas.openxmlformats.org/officeDocument/2006/relationships/hyperlink" Target="https://consultaprocessual.tst.jus.br/consultaProcessual/consultaTstNumUnica.do?consulta=Consultar&amp;conscsjt=&amp;numeroTst=20371&amp;digitoTst=82&amp;anoTst=2016&amp;orgaoTst=5&amp;tribunalTst=04&amp;varaTst=0811&amp;submit=Consultar" TargetMode="External"/><Relationship Id="rId22" Type="http://schemas.openxmlformats.org/officeDocument/2006/relationships/hyperlink" Target="https://pje.tst.jus.br/consultaprocessual/detalhe-processo/0010070-11.2020.5.15.0074/3" TargetMode="External"/><Relationship Id="rId27" Type="http://schemas.openxmlformats.org/officeDocument/2006/relationships/hyperlink" Target="http://www.tst.jus.br/push"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2146-FB75-4C41-8D99-03C754E5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7959</Words>
  <Characters>42503</Characters>
  <Application>Microsoft Office Word</Application>
  <DocSecurity>0</DocSecurity>
  <Lines>904</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66</cp:revision>
  <dcterms:created xsi:type="dcterms:W3CDTF">2024-09-27T17:40:00Z</dcterms:created>
  <dcterms:modified xsi:type="dcterms:W3CDTF">2024-11-04T15:39:00Z</dcterms:modified>
</cp:coreProperties>
</file>