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430087">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A7589" w:rsidRPr="0069787A" w:rsidRDefault="001A7589" w:rsidP="00B256F9">
      <w:pPr>
        <w:ind w:left="-142" w:right="369" w:firstLine="142"/>
        <w:jc w:val="both"/>
        <w:rPr>
          <w:rFonts w:ascii="Open Sans" w:hAnsi="Open Sans" w:cs="Open Sans"/>
          <w:sz w:val="24"/>
          <w:szCs w:val="24"/>
        </w:rPr>
      </w:pPr>
      <w:r w:rsidRPr="003509A3">
        <w:rPr>
          <w:rFonts w:ascii="Open Sans" w:hAnsi="Open Sans" w:cs="Open Sans"/>
          <w:sz w:val="24"/>
          <w:szCs w:val="24"/>
        </w:rPr>
        <w:tab/>
      </w:r>
    </w:p>
    <w:p w:rsidR="001A7589" w:rsidRPr="003509A3" w:rsidRDefault="001A7589" w:rsidP="00331A92">
      <w:pPr>
        <w:pStyle w:val="Ttulo1"/>
        <w:spacing w:before="0"/>
        <w:ind w:left="-142" w:right="510"/>
      </w:pPr>
      <w:r>
        <w:t>S</w:t>
      </w:r>
      <w:r w:rsidRPr="003509A3">
        <w:t xml:space="preserve">EÇÃO ESPECIALIZADA </w:t>
      </w:r>
      <w:r w:rsidRPr="00215C92">
        <w:t>EM</w:t>
      </w:r>
      <w:r w:rsidRPr="003509A3">
        <w:t xml:space="preserve"> DISSÍDIOS </w:t>
      </w:r>
      <w:r>
        <w:t>COLETIVOS</w:t>
      </w:r>
    </w:p>
    <w:p w:rsidR="001A7589" w:rsidRDefault="001A7589" w:rsidP="001A7589">
      <w:pPr>
        <w:jc w:val="both"/>
        <w:rPr>
          <w:rFonts w:ascii="Open Sans" w:hAnsi="Open Sans" w:cs="Open Sans"/>
          <w:bCs/>
          <w:iCs/>
          <w:color w:val="000000"/>
          <w:sz w:val="24"/>
          <w:szCs w:val="24"/>
        </w:rPr>
      </w:pPr>
    </w:p>
    <w:p w:rsidR="00B8258C" w:rsidRDefault="00B8258C" w:rsidP="00331A92">
      <w:pPr>
        <w:ind w:left="-227" w:right="369"/>
        <w:jc w:val="both"/>
        <w:rPr>
          <w:rFonts w:ascii="Open Sans" w:hAnsi="Open Sans" w:cs="Open Sans"/>
          <w:b/>
          <w:color w:val="000000"/>
          <w:sz w:val="24"/>
          <w:szCs w:val="24"/>
        </w:rPr>
      </w:pPr>
      <w:r w:rsidRPr="00935D1D">
        <w:rPr>
          <w:rFonts w:ascii="Open Sans" w:hAnsi="Open Sans" w:cs="Open Sans"/>
          <w:b/>
          <w:i/>
          <w:color w:val="000000"/>
          <w:sz w:val="24"/>
          <w:szCs w:val="24"/>
        </w:rPr>
        <w:t>Recurso ordinário em dissídio coletivo de greve. Juízo de retratação. Tema 531 da tabela de repercussão geral. Abusividade da greve. Descontos dos dias parados</w:t>
      </w:r>
      <w:r w:rsidRPr="00935D1D">
        <w:rPr>
          <w:rFonts w:ascii="Open Sans" w:hAnsi="Open Sans" w:cs="Open Sans"/>
          <w:b/>
          <w:color w:val="000000"/>
          <w:sz w:val="24"/>
          <w:szCs w:val="24"/>
        </w:rPr>
        <w:t>.</w:t>
      </w:r>
      <w:r>
        <w:rPr>
          <w:rFonts w:ascii="Open Sans" w:hAnsi="Open Sans" w:cs="Open Sans"/>
          <w:b/>
          <w:color w:val="000000"/>
          <w:sz w:val="24"/>
          <w:szCs w:val="24"/>
        </w:rPr>
        <w:t xml:space="preserve"> </w:t>
      </w:r>
    </w:p>
    <w:p w:rsidR="00B8258C" w:rsidRPr="003E0231" w:rsidRDefault="00B8258C" w:rsidP="00331A92">
      <w:pPr>
        <w:ind w:left="-227" w:right="369"/>
        <w:jc w:val="both"/>
        <w:rPr>
          <w:rFonts w:ascii="Open Sans" w:hAnsi="Open Sans" w:cs="Open Sans"/>
          <w:bCs/>
          <w:iCs/>
          <w:color w:val="000000"/>
          <w:sz w:val="24"/>
          <w:szCs w:val="24"/>
        </w:rPr>
      </w:pPr>
      <w:r w:rsidRPr="00935D1D">
        <w:rPr>
          <w:rFonts w:ascii="Open Sans" w:hAnsi="Open Sans" w:cs="Open Sans"/>
          <w:color w:val="000000"/>
          <w:sz w:val="24"/>
          <w:szCs w:val="24"/>
        </w:rPr>
        <w:t xml:space="preserve">O Tema 531 da Tabela de Repercussão Geral do STF preconiza que “a Administração Pública deve proceder ao desconto dos dias de paralisação decorrentes do exercício do direito de greve pelos servidores públicos, em virtude da suspensão do vínculo funcional que dela decorre, permitida a compensação em caso de acordo. O desconto será, contudo, incabível se ficar demonstrado que a greve foi provocada por conduta ilícita do Poder Público”. </w:t>
      </w:r>
      <w:r w:rsidRPr="00935D1D">
        <w:rPr>
          <w:rFonts w:ascii="Open Sans" w:hAnsi="Open Sans" w:cs="Open Sans"/>
          <w:i/>
          <w:color w:val="000000"/>
          <w:sz w:val="24"/>
          <w:szCs w:val="24"/>
        </w:rPr>
        <w:t>In casu</w:t>
      </w:r>
      <w:r w:rsidRPr="00935D1D">
        <w:rPr>
          <w:rFonts w:ascii="Open Sans" w:hAnsi="Open Sans" w:cs="Open Sans"/>
          <w:color w:val="000000"/>
          <w:sz w:val="24"/>
          <w:szCs w:val="24"/>
        </w:rPr>
        <w:t xml:space="preserve">, considerando as peculiaridades do caso concreto, alusivas ao lapso temporal transcorrido desde o ajuizamento e o julgamento do presente dissídio, bem como por se tratar de greve de longa duração, merece ser mitigado o rigor da lei quanto aos efeitos pecuniários decorrentes desta decisão, em atenção aos princípios da razoabilidade e da proteção do salário (CF, art. 7º, X), no sentido de limitar o desconto dos dias parados a 10% (dez por cento) do salário mensal, por aplicação analógica do disposto no art. 46, </w:t>
      </w:r>
      <w:r w:rsidRPr="00935D1D">
        <w:rPr>
          <w:rFonts w:ascii="Open Sans" w:hAnsi="Open Sans" w:cs="Open Sans"/>
          <w:i/>
          <w:color w:val="000000"/>
          <w:sz w:val="24"/>
          <w:szCs w:val="24"/>
        </w:rPr>
        <w:t>caput</w:t>
      </w:r>
      <w:r w:rsidRPr="00935D1D">
        <w:rPr>
          <w:rFonts w:ascii="Open Sans" w:hAnsi="Open Sans" w:cs="Open Sans"/>
          <w:color w:val="000000"/>
          <w:sz w:val="24"/>
          <w:szCs w:val="24"/>
        </w:rPr>
        <w:t xml:space="preserve"> e § 1º, da Lei 8.112/90, até completar o desconto dos 50% de dias parados. Sob esse fundamento, a SDC, por maioria, exerceu juízo de retratação (CPC, art. 1.030, II) para adequar a determinação de descontos dos dias parados à tese fixada pelo STF no Tema 531. Vencido o Ministro Maurício Godinho Delgado. </w:t>
      </w:r>
      <w:hyperlink r:id="rId8" w:history="1">
        <w:r w:rsidRPr="00935D1D">
          <w:rPr>
            <w:rStyle w:val="Hyperlink"/>
            <w:rFonts w:ascii="Open Sans" w:hAnsi="Open Sans" w:cs="Open Sans"/>
            <w:sz w:val="24"/>
            <w:szCs w:val="24"/>
          </w:rPr>
          <w:t xml:space="preserve">TST-RO-1841-08.2011.5.15.0000, SDC, red. p/ acórdão Min. Ives Gandra da Silva Martins Filho, julgado em </w:t>
        </w:r>
        <w:r w:rsidR="000955C9" w:rsidRPr="00935D1D">
          <w:rPr>
            <w:rStyle w:val="Hyperlink"/>
            <w:rFonts w:ascii="Open Sans" w:hAnsi="Open Sans" w:cs="Open Sans"/>
            <w:sz w:val="24"/>
            <w:szCs w:val="24"/>
          </w:rPr>
          <w:t xml:space="preserve">15/5/2023. </w:t>
        </w:r>
      </w:hyperlink>
    </w:p>
    <w:p w:rsidR="001A7589" w:rsidRPr="003509A3" w:rsidRDefault="001A7589" w:rsidP="004A48AD">
      <w:pPr>
        <w:pStyle w:val="Ttulo1"/>
        <w:ind w:left="-142" w:right="510"/>
      </w:pPr>
      <w:r w:rsidRPr="003509A3">
        <w:t xml:space="preserve">SUBSEÇÃO </w:t>
      </w:r>
      <w:r>
        <w:t>I</w:t>
      </w:r>
      <w:r w:rsidRPr="003509A3">
        <w:t xml:space="preserve"> ESPECIALIZADA EM DISSÍDIOS INDIVIDUAIS</w:t>
      </w:r>
    </w:p>
    <w:p w:rsidR="001A7589" w:rsidRDefault="001A7589" w:rsidP="001A7589">
      <w:pPr>
        <w:pStyle w:val="Identificao"/>
        <w:rPr>
          <w:rFonts w:ascii="Open Sans" w:hAnsi="Open Sans" w:cs="Open Sans"/>
          <w:lang w:val="pt-BR"/>
        </w:rPr>
      </w:pPr>
    </w:p>
    <w:p w:rsidR="00B8258C" w:rsidRDefault="00B8258C" w:rsidP="004A48AD">
      <w:pPr>
        <w:ind w:left="-227" w:right="369"/>
        <w:jc w:val="both"/>
        <w:rPr>
          <w:rFonts w:ascii="Open Sans" w:hAnsi="Open Sans" w:cs="Open Sans"/>
          <w:color w:val="000000"/>
          <w:sz w:val="24"/>
          <w:szCs w:val="24"/>
        </w:rPr>
      </w:pPr>
      <w:r w:rsidRPr="00935D1D">
        <w:rPr>
          <w:rFonts w:ascii="Open Sans" w:hAnsi="Open Sans" w:cs="Open Sans"/>
          <w:b/>
          <w:i/>
          <w:color w:val="000000"/>
          <w:sz w:val="24"/>
          <w:szCs w:val="24"/>
        </w:rPr>
        <w:t xml:space="preserve">Recurso de embargos. Indenização por danos materiais decorrentes de acidente de trabalho. Morte do empregado. Ação proposta por familiares do </w:t>
      </w:r>
      <w:r w:rsidRPr="00935D1D">
        <w:rPr>
          <w:rFonts w:ascii="Open Sans" w:hAnsi="Open Sans" w:cs="Open Sans"/>
          <w:b/>
          <w:color w:val="000000"/>
          <w:sz w:val="24"/>
          <w:szCs w:val="24"/>
        </w:rPr>
        <w:t>de cujus</w:t>
      </w:r>
      <w:r w:rsidRPr="00935D1D">
        <w:rPr>
          <w:rFonts w:ascii="Open Sans" w:hAnsi="Open Sans" w:cs="Open Sans"/>
          <w:b/>
          <w:i/>
          <w:color w:val="000000"/>
          <w:sz w:val="24"/>
          <w:szCs w:val="24"/>
        </w:rPr>
        <w:t xml:space="preserve">. Acordo </w:t>
      </w:r>
      <w:r w:rsidRPr="00935D1D">
        <w:rPr>
          <w:rFonts w:ascii="Open Sans" w:hAnsi="Open Sans" w:cs="Open Sans"/>
          <w:b/>
          <w:i/>
          <w:color w:val="000000"/>
          <w:sz w:val="24"/>
          <w:szCs w:val="24"/>
        </w:rPr>
        <w:lastRenderedPageBreak/>
        <w:t>homologado em ação anterior ajuizada pelo espólio e por um dos filhos do trabalhador. Prejuízo às demais filhas. Impossibilidade.</w:t>
      </w:r>
      <w:r w:rsidRPr="00935D1D">
        <w:rPr>
          <w:rFonts w:ascii="Open Sans" w:hAnsi="Open Sans" w:cs="Open Sans"/>
          <w:color w:val="000000"/>
          <w:sz w:val="24"/>
          <w:szCs w:val="24"/>
        </w:rPr>
        <w:t xml:space="preserve"> </w:t>
      </w:r>
    </w:p>
    <w:p w:rsidR="00B8258C" w:rsidRPr="00935D1D" w:rsidRDefault="00B8258C" w:rsidP="004A48AD">
      <w:pPr>
        <w:ind w:left="-227" w:right="369"/>
        <w:jc w:val="both"/>
        <w:rPr>
          <w:rFonts w:ascii="Open Sans" w:hAnsi="Open Sans" w:cs="Open Sans"/>
          <w:b/>
          <w:i/>
          <w:color w:val="000000"/>
          <w:sz w:val="24"/>
          <w:szCs w:val="24"/>
        </w:rPr>
      </w:pPr>
      <w:r w:rsidRPr="00935D1D">
        <w:rPr>
          <w:rFonts w:ascii="Open Sans" w:hAnsi="Open Sans" w:cs="Open Sans"/>
          <w:color w:val="000000"/>
          <w:sz w:val="24"/>
          <w:szCs w:val="24"/>
        </w:rPr>
        <w:t xml:space="preserve">A massa patrimonial, processualmente denominada espólio, detém legitimidade </w:t>
      </w:r>
      <w:r w:rsidRPr="00935D1D">
        <w:rPr>
          <w:rFonts w:ascii="Open Sans" w:hAnsi="Open Sans" w:cs="Open Sans"/>
          <w:i/>
          <w:color w:val="000000"/>
          <w:sz w:val="24"/>
          <w:szCs w:val="24"/>
        </w:rPr>
        <w:t>ad causam</w:t>
      </w:r>
      <w:r w:rsidRPr="00935D1D">
        <w:rPr>
          <w:rFonts w:ascii="Open Sans" w:hAnsi="Open Sans" w:cs="Open Sans"/>
          <w:color w:val="000000"/>
          <w:sz w:val="24"/>
          <w:szCs w:val="24"/>
        </w:rPr>
        <w:t xml:space="preserve"> para postulação da reparação de dano patrimonial e extrapatrimonial sofrido em vida pelo empregado falecido. Na espécie, todavia, não se persegue direitos hipoteticamente sonegados ao trabalhador vitimado no acidente fatal, mas direitos próprios, decorrentes da perda do ente querido de quem as autoras dependiam economicamente. Portanto, não se tratando de discussão concernente a crédito do empregado falecido, o espólio não pode transacionar a respeito do direito alheio, de cunho personalíssimo, concernente ao pensionamento daquelas que se dizem economicamente dependentes da renda do trabalhador vitimado. Desse modo, como decorrência da inviabilidade de a coisa julgada, formada em razão de </w:t>
      </w:r>
      <w:r w:rsidRPr="00935D1D">
        <w:rPr>
          <w:rFonts w:ascii="Open Sans" w:hAnsi="Open Sans" w:cs="Open Sans"/>
          <w:bCs/>
          <w:color w:val="000000"/>
          <w:sz w:val="24"/>
          <w:szCs w:val="24"/>
        </w:rPr>
        <w:t>acordo firmado pelo espólio em ação anterior</w:t>
      </w:r>
      <w:r w:rsidRPr="00935D1D">
        <w:rPr>
          <w:rFonts w:ascii="Open Sans" w:hAnsi="Open Sans" w:cs="Open Sans"/>
          <w:color w:val="000000"/>
          <w:sz w:val="24"/>
          <w:szCs w:val="24"/>
        </w:rPr>
        <w:t xml:space="preserve">, prejudicar as Reclamantes (art. 506 do CPC), impositivo o seu afastamento. Sob esses fundamentos, a SBDI-I, por unanimidade, conheceu dos embargos e, no mérito, deu-lhe provimento para, elidindo o óbice alusivo ao pressuposto processual negativo concernente à existência de coisa julgada, determinar o julgamento do recurso de revista das Reclamantes quanto ao tema alusivo ao pleito de indenização por danos materiais. </w:t>
      </w:r>
      <w:hyperlink r:id="rId9" w:history="1">
        <w:r w:rsidRPr="00935D1D">
          <w:rPr>
            <w:rStyle w:val="Hyperlink"/>
            <w:rFonts w:ascii="Open Sans" w:hAnsi="Open Sans" w:cs="Open Sans"/>
            <w:sz w:val="24"/>
            <w:szCs w:val="24"/>
          </w:rPr>
          <w:t xml:space="preserve">TST-E-ED-RR-1129-04.2016.5.08.0011, SBDI-I, rel. Min. Douglas Alencar Rodrigues, julgado em </w:t>
        </w:r>
        <w:r w:rsidR="000955C9" w:rsidRPr="00935D1D">
          <w:rPr>
            <w:rStyle w:val="Hyperlink"/>
            <w:rFonts w:ascii="Open Sans" w:hAnsi="Open Sans" w:cs="Open Sans"/>
            <w:sz w:val="24"/>
            <w:szCs w:val="24"/>
          </w:rPr>
          <w:t xml:space="preserve">25/5/2023. </w:t>
        </w:r>
      </w:hyperlink>
      <w:r w:rsidRPr="00935D1D">
        <w:rPr>
          <w:rFonts w:ascii="Open Sans" w:hAnsi="Open Sans" w:cs="Open Sans"/>
          <w:color w:val="000000"/>
          <w:sz w:val="24"/>
          <w:szCs w:val="24"/>
        </w:rPr>
        <w:t xml:space="preserve"> </w:t>
      </w:r>
    </w:p>
    <w:p w:rsidR="00B8258C" w:rsidRPr="00935D1D" w:rsidRDefault="00B8258C" w:rsidP="004A48AD">
      <w:pPr>
        <w:ind w:left="-227" w:right="369"/>
        <w:jc w:val="both"/>
        <w:rPr>
          <w:rFonts w:ascii="Open Sans" w:hAnsi="Open Sans" w:cs="Open Sans"/>
          <w:bCs/>
          <w:sz w:val="24"/>
          <w:szCs w:val="24"/>
        </w:rPr>
      </w:pPr>
    </w:p>
    <w:p w:rsidR="00B8258C" w:rsidRPr="00935D1D" w:rsidRDefault="00B8258C" w:rsidP="004A48AD">
      <w:pPr>
        <w:ind w:left="-227" w:right="369"/>
        <w:jc w:val="both"/>
        <w:rPr>
          <w:rFonts w:ascii="Open Sans" w:hAnsi="Open Sans" w:cs="Open Sans"/>
          <w:b/>
          <w:i/>
          <w:color w:val="000000"/>
          <w:sz w:val="24"/>
          <w:szCs w:val="24"/>
        </w:rPr>
      </w:pPr>
      <w:r w:rsidRPr="00935D1D">
        <w:rPr>
          <w:rFonts w:ascii="Open Sans" w:hAnsi="Open Sans" w:cs="Open Sans"/>
          <w:b/>
          <w:i/>
          <w:color w:val="000000"/>
          <w:sz w:val="24"/>
          <w:szCs w:val="24"/>
        </w:rPr>
        <w:t xml:space="preserve">Agravo em Embargos. Lei nº 13.467/2017. Ação civil pública. Ministério Público do Trabalho. Observância do percentual mínimo de contratação de aprendizes. Empresa de segurança e vigilância privada. Obrigatoriedade. Art. 894, §2º, da CLT. Contratação em percentual abaixo do mínimo legal. </w:t>
      </w:r>
    </w:p>
    <w:p w:rsidR="00B8258C" w:rsidRPr="00935D1D" w:rsidRDefault="00B8258C" w:rsidP="004A48AD">
      <w:pPr>
        <w:ind w:left="-227" w:right="369"/>
        <w:jc w:val="both"/>
        <w:rPr>
          <w:rFonts w:ascii="Open Sans" w:hAnsi="Open Sans" w:cs="Open Sans"/>
          <w:b/>
          <w:i/>
          <w:color w:val="000000"/>
          <w:sz w:val="24"/>
          <w:szCs w:val="24"/>
        </w:rPr>
      </w:pPr>
      <w:r w:rsidRPr="00935D1D">
        <w:rPr>
          <w:rFonts w:ascii="Open Sans" w:hAnsi="Open Sans" w:cs="Open Sans"/>
          <w:color w:val="000000"/>
          <w:sz w:val="24"/>
          <w:szCs w:val="24"/>
        </w:rPr>
        <w:t xml:space="preserve">Não há óbice para a inclusão das atividades de vigilância e segurança na base de cálculo da cota de contratação de aprendizes, conforme previsto no art. 429 da CLT. Entendimento consolidado desta Corte superior. Assim, estando a decisão recorrida em consonância com a jurisprudência do TST, não cabe o exame de divergência jurisprudencial em sentido contrário, nos termos do art. 894, §2º, da CLT. Sob esses fundamentos, a SBDI-I, por unanimidade, conheceu e negou provimento ao agravo. </w:t>
      </w:r>
      <w:hyperlink r:id="rId10" w:history="1">
        <w:r w:rsidRPr="004403E2">
          <w:rPr>
            <w:rStyle w:val="Hyperlink"/>
            <w:rFonts w:ascii="Open Sans" w:hAnsi="Open Sans" w:cs="Open Sans"/>
            <w:sz w:val="24"/>
            <w:szCs w:val="24"/>
          </w:rPr>
          <w:t xml:space="preserve">TST-Ag-E-Ag-ED-RR - 58200-04.2009.5.04.0016, SBDI-I, rel. Min. Maria Helena Mallmann, julgado em </w:t>
        </w:r>
        <w:r w:rsidR="004403E2" w:rsidRPr="004403E2">
          <w:rPr>
            <w:rStyle w:val="Hyperlink"/>
            <w:rFonts w:ascii="Open Sans" w:hAnsi="Open Sans" w:cs="Open Sans"/>
            <w:sz w:val="24"/>
            <w:szCs w:val="24"/>
          </w:rPr>
          <w:t xml:space="preserve">25/5/2023. </w:t>
        </w:r>
      </w:hyperlink>
    </w:p>
    <w:p w:rsidR="001A7589" w:rsidRPr="003E0231" w:rsidRDefault="001A7589" w:rsidP="00143857">
      <w:pPr>
        <w:pStyle w:val="Ttulo1"/>
        <w:ind w:left="-142" w:right="510"/>
      </w:pPr>
      <w:r w:rsidRPr="003509A3">
        <w:t xml:space="preserve">SUBSEÇÃO </w:t>
      </w:r>
      <w:r>
        <w:t>I</w:t>
      </w:r>
      <w:r w:rsidRPr="003509A3">
        <w:t>I ESPECIALIZADA EM DISSÍDIOS INDIVIDUAIS</w:t>
      </w:r>
    </w:p>
    <w:p w:rsidR="001A7589" w:rsidRDefault="001A7589" w:rsidP="001A7589">
      <w:pPr>
        <w:pStyle w:val="Identificao"/>
        <w:ind w:left="-284" w:right="368"/>
        <w:rPr>
          <w:rFonts w:ascii="Open Sans" w:hAnsi="Open Sans" w:cs="Open Sans"/>
          <w:u w:val="single"/>
          <w:lang w:val="pt-BR"/>
        </w:rPr>
      </w:pPr>
      <w:r w:rsidRPr="003F41CC">
        <w:rPr>
          <w:rFonts w:ascii="Open Sans" w:hAnsi="Open Sans" w:cs="Open Sans"/>
          <w:b/>
          <w:u w:val="single"/>
          <w:lang w:val="pt-BR"/>
        </w:rPr>
        <w:t xml:space="preserve"> </w:t>
      </w:r>
      <w:r>
        <w:rPr>
          <w:rFonts w:ascii="Open Sans" w:hAnsi="Open Sans" w:cs="Open Sans"/>
          <w:u w:val="single"/>
          <w:lang w:val="pt-BR"/>
        </w:rPr>
        <w:t xml:space="preserve">  </w:t>
      </w:r>
    </w:p>
    <w:p w:rsidR="00B8258C" w:rsidRDefault="00B8258C" w:rsidP="00143857">
      <w:pPr>
        <w:ind w:left="-227" w:right="369"/>
        <w:jc w:val="both"/>
        <w:rPr>
          <w:rFonts w:ascii="Open Sans" w:hAnsi="Open Sans" w:cs="Open Sans"/>
          <w:b/>
          <w:i/>
          <w:sz w:val="24"/>
          <w:szCs w:val="24"/>
        </w:rPr>
      </w:pPr>
      <w:r w:rsidRPr="00935D1D">
        <w:rPr>
          <w:rFonts w:ascii="Open Sans" w:hAnsi="Open Sans" w:cs="Open Sans"/>
          <w:b/>
          <w:i/>
          <w:sz w:val="24"/>
          <w:szCs w:val="24"/>
        </w:rPr>
        <w:t xml:space="preserve">Recurso ordinário. Ação rescisória ajuizada sob a égide do CPC/1973. Turnos ininterruptos de revezamento com adoção de regime de compensação de jornada. Possibilidade de jornada superior a 8 horas diárias estabelecida em acordo coletivo. Validade conforme Tema nº 1.046 do STF. Ausência de violação literal ao inciso XIV do art. 7.º da Constituição da República. </w:t>
      </w:r>
    </w:p>
    <w:p w:rsidR="00B8258C" w:rsidRPr="00935D1D" w:rsidRDefault="00B8258C" w:rsidP="00143857">
      <w:pPr>
        <w:ind w:left="-227" w:right="369"/>
        <w:jc w:val="both"/>
        <w:rPr>
          <w:rFonts w:ascii="Open Sans" w:hAnsi="Open Sans" w:cs="Open Sans"/>
          <w:sz w:val="24"/>
          <w:szCs w:val="24"/>
        </w:rPr>
      </w:pPr>
      <w:r w:rsidRPr="00935D1D">
        <w:rPr>
          <w:rFonts w:ascii="Open Sans" w:hAnsi="Open Sans" w:cs="Open Sans"/>
          <w:sz w:val="24"/>
          <w:szCs w:val="24"/>
        </w:rPr>
        <w:t>É válida cláusula prevista em acordo coletivo de trabalho que estabelece a possibilidade de jornada superior a 8 horas para regime compensação em turnos</w:t>
      </w:r>
      <w:r>
        <w:rPr>
          <w:rFonts w:ascii="Open Sans" w:hAnsi="Open Sans" w:cs="Open Sans"/>
          <w:sz w:val="24"/>
          <w:szCs w:val="24"/>
        </w:rPr>
        <w:t xml:space="preserve"> ininterruptos de revezamento. </w:t>
      </w:r>
      <w:r w:rsidRPr="00935D1D">
        <w:rPr>
          <w:rFonts w:ascii="Open Sans" w:hAnsi="Open Sans" w:cs="Open Sans"/>
          <w:sz w:val="24"/>
          <w:szCs w:val="24"/>
        </w:rPr>
        <w:t xml:space="preserve">O art. 7º, XIV da Constituição Federal não contém limitação expressa ao elastecimento do limite da jornada laboral no regime de turnos ininterruptos tampouco vedação à utilização do sistema de compensação de jornada </w:t>
      </w:r>
      <w:r w:rsidRPr="00935D1D">
        <w:rPr>
          <w:rFonts w:ascii="Open Sans" w:hAnsi="Open Sans" w:cs="Open Sans"/>
          <w:sz w:val="24"/>
          <w:szCs w:val="24"/>
        </w:rPr>
        <w:lastRenderedPageBreak/>
        <w:t>na pactuação. No caso, a duração do trabalho para o regime de turnos ininterruptos de revezamento foi majorada por meio de negociação coletiva, com a fixação de jornada de 8h48min, de segunda a sexta, a fim de compensação dos sábados. A validade do referido acordo coletivo está em conformidade com o entendimento firmado pelo STF no julgamento do ARE n.º 1121633, em sede de repercussão geral, q</w:t>
      </w:r>
      <w:r>
        <w:rPr>
          <w:rFonts w:ascii="Open Sans" w:hAnsi="Open Sans" w:cs="Open Sans"/>
          <w:sz w:val="24"/>
          <w:szCs w:val="24"/>
        </w:rPr>
        <w:t>ue deu origem ao Tema nº 1.046.</w:t>
      </w:r>
      <w:r w:rsidRPr="00935D1D">
        <w:rPr>
          <w:rFonts w:ascii="Open Sans" w:hAnsi="Open Sans" w:cs="Open Sans"/>
          <w:sz w:val="24"/>
          <w:szCs w:val="24"/>
        </w:rPr>
        <w:t xml:space="preserve"> Sob esses fundamentos, a SBDI-II, por unanimidade, conheceu do Recurso Ordinário e, no mérito, negou-lhe provimento. </w:t>
      </w:r>
      <w:hyperlink r:id="rId11" w:history="1">
        <w:r w:rsidRPr="00131CE7">
          <w:rPr>
            <w:rStyle w:val="Hyperlink"/>
            <w:rFonts w:ascii="Open Sans" w:hAnsi="Open Sans" w:cs="Open Sans"/>
            <w:sz w:val="24"/>
            <w:szCs w:val="24"/>
          </w:rPr>
          <w:t xml:space="preserve">TST- RO-11130-56.2015.5.03.0000, SBDI-II, rel. Min. Luiz José Dezena da Silva, julgado em </w:t>
        </w:r>
        <w:r w:rsidR="004403E2" w:rsidRPr="00131CE7">
          <w:rPr>
            <w:rStyle w:val="Hyperlink"/>
            <w:rFonts w:ascii="Open Sans" w:hAnsi="Open Sans" w:cs="Open Sans"/>
            <w:sz w:val="24"/>
            <w:szCs w:val="24"/>
          </w:rPr>
          <w:t xml:space="preserve">16/5/2023. </w:t>
        </w:r>
      </w:hyperlink>
      <w:r w:rsidRPr="00935D1D">
        <w:rPr>
          <w:rFonts w:ascii="Open Sans" w:hAnsi="Open Sans" w:cs="Open Sans"/>
          <w:sz w:val="24"/>
          <w:szCs w:val="24"/>
        </w:rPr>
        <w:t xml:space="preserve"> </w:t>
      </w:r>
    </w:p>
    <w:p w:rsidR="00B8258C" w:rsidRPr="00935D1D" w:rsidRDefault="00B8258C" w:rsidP="00143857">
      <w:pPr>
        <w:ind w:left="-227" w:right="369"/>
        <w:jc w:val="both"/>
        <w:rPr>
          <w:rFonts w:ascii="Open Sans" w:hAnsi="Open Sans" w:cs="Open Sans"/>
          <w:bCs/>
          <w:sz w:val="24"/>
          <w:szCs w:val="24"/>
        </w:rPr>
      </w:pPr>
    </w:p>
    <w:p w:rsidR="00B8258C" w:rsidRDefault="00B8258C" w:rsidP="00143857">
      <w:pPr>
        <w:ind w:left="-227" w:right="369"/>
        <w:jc w:val="both"/>
        <w:rPr>
          <w:rFonts w:ascii="Open Sans" w:hAnsi="Open Sans" w:cs="Open Sans"/>
          <w:color w:val="000000"/>
          <w:sz w:val="24"/>
          <w:szCs w:val="24"/>
        </w:rPr>
      </w:pPr>
      <w:r w:rsidRPr="00935D1D">
        <w:rPr>
          <w:rFonts w:ascii="Open Sans" w:hAnsi="Open Sans" w:cs="Open Sans"/>
          <w:b/>
          <w:i/>
          <w:color w:val="000000"/>
          <w:sz w:val="24"/>
          <w:szCs w:val="24"/>
        </w:rPr>
        <w:t>Recurso ordinário em ação rescisória sob a égide do CPC de 2015. Prescrição intercorrente. Intimação pessoal. Prescindibilidade</w:t>
      </w:r>
      <w:r w:rsidRPr="00935D1D">
        <w:rPr>
          <w:rFonts w:ascii="Open Sans" w:hAnsi="Open Sans" w:cs="Open Sans"/>
          <w:b/>
          <w:color w:val="000000"/>
          <w:sz w:val="24"/>
          <w:szCs w:val="24"/>
        </w:rPr>
        <w:t>.</w:t>
      </w:r>
    </w:p>
    <w:p w:rsidR="00B8258C" w:rsidRPr="008E5BFD" w:rsidRDefault="00B8258C" w:rsidP="00143857">
      <w:pPr>
        <w:ind w:left="-227" w:right="369"/>
        <w:jc w:val="both"/>
        <w:rPr>
          <w:rFonts w:ascii="Open Sans" w:hAnsi="Open Sans" w:cs="Open Sans"/>
          <w:sz w:val="24"/>
          <w:szCs w:val="24"/>
        </w:rPr>
      </w:pPr>
      <w:r w:rsidRPr="00935D1D">
        <w:rPr>
          <w:rFonts w:ascii="Open Sans" w:hAnsi="Open Sans" w:cs="Open Sans"/>
          <w:color w:val="000000"/>
          <w:sz w:val="24"/>
          <w:szCs w:val="24"/>
        </w:rPr>
        <w:t xml:space="preserve">Não há no ordenamento jurídico qualquer previsão que dê ensejo à conclusão quanto à necessidade de intimação pessoal do credor para validar a fluência do prazo prescricional. A par disso, o STJ, nos autos do Incidente de Assunção de Competência instaurado no Recurso Especial nº 1.604.412 – SC, concluiu pela possibilidade de se decretar a prescrição intercorrente, sem a necessidade de se intimar, pessoal e previamente, a parte exequente, a dar andamento à execução. Na espécie, a intimação do patrono devidamente constituído nos autos e a ausência de indicação de meios válidos a impulsionar a execução são suficientes para início da contagem do prazo prescricional. Sob esse fundamento, a SBDI-II, por unanimidade, conheceu do recurso ordinário e, no mérito, negou-lhe provimento. </w:t>
      </w:r>
      <w:hyperlink r:id="rId12" w:history="1">
        <w:r w:rsidRPr="00131CE7">
          <w:rPr>
            <w:rStyle w:val="Hyperlink"/>
            <w:rFonts w:ascii="Open Sans" w:hAnsi="Open Sans" w:cs="Open Sans"/>
            <w:sz w:val="24"/>
            <w:szCs w:val="24"/>
          </w:rPr>
          <w:t xml:space="preserve">TST-ROT-703-96.2022.5.05.0000, SBDI-II, rel. Min. Amaury Rodrigues Pinto Junior, julgado em </w:t>
        </w:r>
        <w:r w:rsidR="004403E2" w:rsidRPr="00131CE7">
          <w:rPr>
            <w:rStyle w:val="Hyperlink"/>
            <w:rFonts w:ascii="Open Sans" w:hAnsi="Open Sans" w:cs="Open Sans"/>
            <w:sz w:val="24"/>
            <w:szCs w:val="24"/>
          </w:rPr>
          <w:t xml:space="preserve">23/5/2023. </w:t>
        </w:r>
      </w:hyperlink>
    </w:p>
    <w:p w:rsidR="001A7589" w:rsidRPr="003509A3" w:rsidRDefault="001A7589" w:rsidP="002828C0">
      <w:pPr>
        <w:pStyle w:val="Ttulo1"/>
        <w:ind w:left="-142" w:right="510"/>
      </w:pPr>
      <w:r w:rsidRPr="003509A3">
        <w:t>TURMAS</w:t>
      </w:r>
    </w:p>
    <w:p w:rsidR="00ED73E7" w:rsidRDefault="001A7589" w:rsidP="00215C92">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ED73E7" w:rsidRDefault="00ED73E7" w:rsidP="00B8258C">
      <w:pPr>
        <w:pStyle w:val="Cabealho"/>
        <w:tabs>
          <w:tab w:val="clear" w:pos="4419"/>
          <w:tab w:val="clear" w:pos="8838"/>
        </w:tabs>
        <w:ind w:left="-142" w:right="368" w:firstLine="142"/>
        <w:jc w:val="both"/>
        <w:rPr>
          <w:rFonts w:ascii="Open Sans" w:hAnsi="Open Sans" w:cs="Open Sans"/>
        </w:rPr>
      </w:pPr>
    </w:p>
    <w:p w:rsidR="00B8258C" w:rsidRPr="00935D1D" w:rsidRDefault="00B8258C" w:rsidP="002828C0">
      <w:pPr>
        <w:ind w:left="-227" w:right="369"/>
        <w:jc w:val="both"/>
        <w:rPr>
          <w:rFonts w:ascii="Open Sans" w:hAnsi="Open Sans" w:cs="Open Sans"/>
          <w:sz w:val="24"/>
          <w:szCs w:val="24"/>
        </w:rPr>
      </w:pPr>
      <w:r w:rsidRPr="00935D1D">
        <w:rPr>
          <w:rFonts w:ascii="Open Sans" w:hAnsi="Open Sans" w:cs="Open Sans"/>
          <w:bCs/>
          <w:color w:val="000000"/>
          <w:sz w:val="24"/>
          <w:szCs w:val="24"/>
          <w:shd w:val="clear" w:color="auto" w:fill="FFFFFF"/>
        </w:rPr>
        <w:t>“</w:t>
      </w:r>
      <w:r>
        <w:rPr>
          <w:rFonts w:ascii="Open Sans" w:hAnsi="Open Sans" w:cs="Open Sans"/>
          <w:bCs/>
          <w:color w:val="000000"/>
          <w:sz w:val="24"/>
          <w:szCs w:val="24"/>
          <w:shd w:val="clear" w:color="auto" w:fill="FFFFFF"/>
        </w:rPr>
        <w:t>[...]</w:t>
      </w:r>
      <w:r w:rsidRPr="00935D1D">
        <w:rPr>
          <w:rFonts w:ascii="Open Sans" w:hAnsi="Open Sans" w:cs="Open Sans"/>
          <w:bCs/>
          <w:color w:val="000000"/>
          <w:sz w:val="24"/>
          <w:szCs w:val="24"/>
          <w:shd w:val="clear" w:color="auto" w:fill="FFFFFF"/>
        </w:rPr>
        <w:t xml:space="preserve"> </w:t>
      </w:r>
      <w:r w:rsidRPr="00935D1D">
        <w:rPr>
          <w:rFonts w:ascii="Open Sans" w:hAnsi="Open Sans" w:cs="Open Sans"/>
          <w:bCs/>
          <w:color w:val="000000"/>
          <w:sz w:val="24"/>
          <w:szCs w:val="24"/>
        </w:rPr>
        <w:t xml:space="preserve">III – RECURSO DE REVISTA INTERPOSTO PELA AUTORA. [...]. INDENIZAÇÃO POR DANO EXTRAPATRIMONIAL. EXIGÊNCIA DE REALIZAÇÃO DE EXAMES ADMISSIONAIS DE HIV E TOXICOLÓGICOS. CAMAREIRA. TRANSCENDÊNCIA RECONHECIDA. 1. Não obstante a Corte </w:t>
      </w:r>
      <w:r>
        <w:rPr>
          <w:rFonts w:ascii="Open Sans" w:hAnsi="Open Sans" w:cs="Open Sans"/>
          <w:bCs/>
          <w:color w:val="000000"/>
          <w:sz w:val="24"/>
          <w:szCs w:val="24"/>
        </w:rPr>
        <w:t>de origem tenha consignado que ‘</w:t>
      </w:r>
      <w:r w:rsidRPr="00935D1D">
        <w:rPr>
          <w:rFonts w:ascii="Open Sans" w:hAnsi="Open Sans" w:cs="Open Sans"/>
          <w:bCs/>
          <w:color w:val="000000"/>
          <w:sz w:val="24"/>
          <w:szCs w:val="24"/>
        </w:rPr>
        <w:t>a exigência de tais exames era destinada a todos os empregados e era necessária para garantir a saúde dos próprios empregados, uma vez que os recursos disponíveis em alt</w:t>
      </w:r>
      <w:r>
        <w:rPr>
          <w:rFonts w:ascii="Open Sans" w:hAnsi="Open Sans" w:cs="Open Sans"/>
          <w:bCs/>
          <w:color w:val="000000"/>
          <w:sz w:val="24"/>
          <w:szCs w:val="24"/>
        </w:rPr>
        <w:t>o mar são limitados e restritos’</w:t>
      </w:r>
      <w:r w:rsidRPr="00935D1D">
        <w:rPr>
          <w:rFonts w:ascii="Open Sans" w:hAnsi="Open Sans" w:cs="Open Sans"/>
          <w:bCs/>
          <w:color w:val="000000"/>
          <w:sz w:val="24"/>
          <w:szCs w:val="24"/>
        </w:rPr>
        <w:t xml:space="preserve">, não há razão para a submissão dos trabalhadores a testes de HIV, levando em conta o avanço da medicina quanto ao controle dos sintomas da doença. 2. Nesse contexto, resta configurado o dano extrapatrimonial, pois a exigência de teste de HIV como requisito para admissão no emprego constitui conduta discriminatória vedada pela ordem jurídica, violando a intimidade e a privacidade do trabalhador, nos termos do art. 1º da Lei n.º 9.029/95. 3. Demonstrado ainda mais o caráter abusivo e discriminatório da demanda quando não há registro nos autos no sentido de que os tripulantes deveriam se submeter ao mesmo procedimento, em que pese as alegadas limitações dos serviços de saúde fossem comuns a toda e qualquer pessoa embarcada. 4. Conclui-se no mesmo sentido em relação ao exame toxicológico, haja vista que a atividade desempenhada pela autora (assistente de garçom) não se equipara às atividades de segurança pública ou de motorista profissional, tornando-se tal exigência apenas mais um critério discriminatório obstativo à contratação. Recurso </w:t>
      </w:r>
      <w:r w:rsidRPr="00935D1D">
        <w:rPr>
          <w:rFonts w:ascii="Open Sans" w:hAnsi="Open Sans" w:cs="Open Sans"/>
          <w:bCs/>
          <w:color w:val="000000"/>
          <w:sz w:val="24"/>
          <w:szCs w:val="24"/>
        </w:rPr>
        <w:lastRenderedPageBreak/>
        <w:t>de revista conhecido e provido.</w:t>
      </w:r>
      <w:r w:rsidRPr="00935D1D">
        <w:rPr>
          <w:rFonts w:ascii="Open Sans" w:hAnsi="Open Sans" w:cs="Open Sans"/>
          <w:bCs/>
          <w:color w:val="000000"/>
          <w:sz w:val="24"/>
          <w:szCs w:val="24"/>
          <w:shd w:val="clear" w:color="auto" w:fill="FFFFFF"/>
        </w:rPr>
        <w:t xml:space="preserve">” </w:t>
      </w:r>
      <w:r w:rsidRPr="00935D1D">
        <w:rPr>
          <w:rFonts w:ascii="Open Sans" w:hAnsi="Open Sans" w:cs="Open Sans"/>
          <w:sz w:val="24"/>
          <w:szCs w:val="24"/>
        </w:rPr>
        <w:t>(</w:t>
      </w:r>
      <w:hyperlink r:id="rId13" w:history="1">
        <w:r w:rsidRPr="00935D1D">
          <w:rPr>
            <w:rFonts w:ascii="Open Sans" w:hAnsi="Open Sans" w:cs="Open Sans"/>
            <w:bCs/>
            <w:color w:val="0000FF" w:themeColor="hyperlink"/>
            <w:sz w:val="24"/>
            <w:szCs w:val="24"/>
            <w:u w:val="single"/>
          </w:rPr>
          <w:t>TST-RRAg-302-07.2018.5.09.0007</w:t>
        </w:r>
        <w:r w:rsidRPr="00935D1D">
          <w:rPr>
            <w:rFonts w:ascii="Open Sans" w:hAnsi="Open Sans" w:cs="Open Sans"/>
            <w:color w:val="0000FF" w:themeColor="hyperlink"/>
            <w:sz w:val="24"/>
            <w:szCs w:val="24"/>
            <w:u w:val="single"/>
          </w:rPr>
          <w:t xml:space="preserve">, 1ª Turma, rel. </w:t>
        </w:r>
        <w:r>
          <w:rPr>
            <w:rFonts w:ascii="Open Sans" w:hAnsi="Open Sans" w:cs="Open Sans"/>
            <w:color w:val="0000FF" w:themeColor="hyperlink"/>
            <w:sz w:val="24"/>
            <w:szCs w:val="24"/>
            <w:u w:val="single"/>
          </w:rPr>
          <w:t>Min. Amaury Rodrigues Pinto Junior</w:t>
        </w:r>
        <w:r w:rsidRPr="00935D1D">
          <w:rPr>
            <w:rFonts w:ascii="Open Sans" w:hAnsi="Open Sans" w:cs="Open Sans"/>
            <w:bCs/>
            <w:color w:val="0000FF" w:themeColor="hyperlink"/>
            <w:sz w:val="24"/>
            <w:szCs w:val="24"/>
            <w:u w:val="single"/>
          </w:rPr>
          <w:t>, julgado em 17/5/2023</w:t>
        </w:r>
      </w:hyperlink>
      <w:r>
        <w:rPr>
          <w:rFonts w:ascii="Open Sans" w:hAnsi="Open Sans" w:cs="Open Sans"/>
          <w:sz w:val="24"/>
          <w:szCs w:val="24"/>
        </w:rPr>
        <w:t>)</w:t>
      </w:r>
    </w:p>
    <w:p w:rsidR="00B8258C" w:rsidRPr="00935D1D" w:rsidRDefault="00B8258C" w:rsidP="002828C0">
      <w:pPr>
        <w:ind w:left="-227" w:right="369"/>
        <w:jc w:val="both"/>
        <w:rPr>
          <w:rFonts w:ascii="Open Sans" w:hAnsi="Open Sans" w:cs="Open Sans"/>
          <w:bCs/>
          <w:sz w:val="24"/>
          <w:szCs w:val="24"/>
        </w:rPr>
      </w:pPr>
    </w:p>
    <w:p w:rsidR="00B8258C" w:rsidRPr="00935D1D" w:rsidRDefault="00B8258C" w:rsidP="002828C0">
      <w:pPr>
        <w:ind w:left="-227" w:right="369"/>
        <w:jc w:val="both"/>
        <w:rPr>
          <w:rFonts w:ascii="Open Sans" w:hAnsi="Open Sans" w:cs="Open Sans"/>
          <w:sz w:val="24"/>
          <w:szCs w:val="24"/>
        </w:rPr>
      </w:pPr>
      <w:r w:rsidRPr="00935D1D">
        <w:rPr>
          <w:rFonts w:ascii="Open Sans" w:hAnsi="Open Sans" w:cs="Open Sans"/>
          <w:bCs/>
          <w:color w:val="000000"/>
          <w:sz w:val="24"/>
          <w:szCs w:val="24"/>
          <w:shd w:val="clear" w:color="auto" w:fill="FFFFFF"/>
        </w:rPr>
        <w:t>“</w:t>
      </w:r>
      <w:r w:rsidRPr="00EF0E53">
        <w:rPr>
          <w:rFonts w:ascii="Open Sans" w:hAnsi="Open Sans" w:cs="Open Sans"/>
          <w:bCs/>
          <w:color w:val="000000"/>
          <w:sz w:val="24"/>
          <w:szCs w:val="24"/>
        </w:rPr>
        <w:t>RECURSO DE REVISTA. VIGÊNCIA DA LEI N.º</w:t>
      </w:r>
      <w:r w:rsidRPr="00EF0E53">
        <w:rPr>
          <w:rFonts w:ascii="Open Sans" w:hAnsi="Open Sans" w:cs="Open Sans"/>
          <w:bCs/>
          <w:color w:val="000000"/>
          <w:spacing w:val="1"/>
          <w:sz w:val="24"/>
          <w:szCs w:val="24"/>
        </w:rPr>
        <w:t xml:space="preserve"> </w:t>
      </w:r>
      <w:r w:rsidRPr="00EF0E53">
        <w:rPr>
          <w:rFonts w:ascii="Open Sans" w:hAnsi="Open Sans" w:cs="Open Sans"/>
          <w:bCs/>
          <w:color w:val="000000"/>
          <w:sz w:val="24"/>
          <w:szCs w:val="24"/>
        </w:rPr>
        <w:t>13.467/17. DANO MORAL COLETIVO. CONTRATAÇÃO DE JOVENS APRENDIZES E PESSOAS COM DEFICIÊNCIA OU REABILITADOS. DIMINUIÇÃO DO CUMPRIMENTO DA COTA LEGAL POR NORMA COLETIVA. TRANSCENDÊNCIA POLÍTICA RECONHECIDA.</w:t>
      </w:r>
      <w:r w:rsidRPr="00935D1D">
        <w:rPr>
          <w:rFonts w:ascii="Open Sans" w:hAnsi="Open Sans" w:cs="Open Sans"/>
          <w:b/>
          <w:bCs/>
          <w:color w:val="000000"/>
          <w:sz w:val="24"/>
          <w:szCs w:val="24"/>
        </w:rPr>
        <w:t xml:space="preserve"> </w:t>
      </w:r>
      <w:r w:rsidRPr="00935D1D">
        <w:rPr>
          <w:rFonts w:ascii="Open Sans" w:hAnsi="Open Sans" w:cs="Open Sans"/>
          <w:color w:val="000000"/>
          <w:sz w:val="24"/>
          <w:szCs w:val="24"/>
        </w:rPr>
        <w:t xml:space="preserve">1. A jurisprudência desta Corte Superior é firme no sentido de que, comprovada a existência de uma conduta ilícita que viola interesses jurídicos fundamentais de natureza extrapatrimonial, de forma a causar danos individuais, coletivos e difusos, estariam presentes os requisitos necessários à condenação ao pagamento de indenização por dano moral coletivo. 2. De certo, a supressão ou redução do direito de jovens aprendizes, pessoas com deficiência e reabilitados, por meio de norma coletiva, de inserção no mercado de trabalho viola patrimônio ético-moral da coletividade em promover o cumprimento das cotas garantidas pela ordem jurídica. Precedentes. </w:t>
      </w:r>
      <w:r w:rsidRPr="00EF0E53">
        <w:rPr>
          <w:rFonts w:ascii="Open Sans" w:hAnsi="Open Sans" w:cs="Open Sans"/>
          <w:bCs/>
          <w:color w:val="000000"/>
          <w:sz w:val="24"/>
          <w:szCs w:val="24"/>
        </w:rPr>
        <w:t>Recurso de revista conhecido e provido.</w:t>
      </w:r>
      <w:r w:rsidRPr="00935D1D">
        <w:rPr>
          <w:rFonts w:ascii="Open Sans" w:hAnsi="Open Sans" w:cs="Open Sans"/>
          <w:bCs/>
          <w:color w:val="000000"/>
          <w:sz w:val="24"/>
          <w:szCs w:val="24"/>
          <w:shd w:val="clear" w:color="auto" w:fill="FFFFFF"/>
        </w:rPr>
        <w:t xml:space="preserve">” </w:t>
      </w:r>
      <w:r w:rsidRPr="00935D1D">
        <w:rPr>
          <w:rFonts w:ascii="Open Sans" w:hAnsi="Open Sans" w:cs="Open Sans"/>
          <w:sz w:val="24"/>
          <w:szCs w:val="24"/>
        </w:rPr>
        <w:t>(</w:t>
      </w:r>
      <w:hyperlink r:id="rId14" w:history="1">
        <w:r w:rsidRPr="00935D1D">
          <w:rPr>
            <w:rFonts w:ascii="Open Sans" w:hAnsi="Open Sans" w:cs="Open Sans"/>
            <w:bCs/>
            <w:color w:val="0000FF" w:themeColor="hyperlink"/>
            <w:sz w:val="24"/>
            <w:szCs w:val="24"/>
            <w:u w:val="single"/>
          </w:rPr>
          <w:t>TST-RR-24238-76.2020.5.24.0006</w:t>
        </w:r>
        <w:r w:rsidRPr="00935D1D">
          <w:rPr>
            <w:rFonts w:ascii="Open Sans" w:hAnsi="Open Sans" w:cs="Open Sans"/>
            <w:color w:val="0000FF" w:themeColor="hyperlink"/>
            <w:sz w:val="24"/>
            <w:szCs w:val="24"/>
            <w:u w:val="single"/>
          </w:rPr>
          <w:t>, 1ª Turma, rel. Min. Amaury Rodrigues Pinto J</w:t>
        </w:r>
        <w:r>
          <w:rPr>
            <w:rFonts w:ascii="Open Sans" w:hAnsi="Open Sans" w:cs="Open Sans"/>
            <w:color w:val="0000FF" w:themeColor="hyperlink"/>
            <w:sz w:val="24"/>
            <w:szCs w:val="24"/>
            <w:u w:val="single"/>
          </w:rPr>
          <w:t>unior</w:t>
        </w:r>
        <w:r w:rsidRPr="00935D1D">
          <w:rPr>
            <w:rFonts w:ascii="Open Sans" w:hAnsi="Open Sans" w:cs="Open Sans"/>
            <w:bCs/>
            <w:color w:val="0000FF" w:themeColor="hyperlink"/>
            <w:sz w:val="24"/>
            <w:szCs w:val="24"/>
            <w:u w:val="single"/>
          </w:rPr>
          <w:t>, julgado em 24/5/2023</w:t>
        </w:r>
      </w:hyperlink>
      <w:r>
        <w:rPr>
          <w:rFonts w:ascii="Open Sans" w:hAnsi="Open Sans" w:cs="Open Sans"/>
          <w:sz w:val="24"/>
          <w:szCs w:val="24"/>
        </w:rPr>
        <w:t>)</w:t>
      </w:r>
    </w:p>
    <w:p w:rsidR="00B8258C" w:rsidRPr="00935D1D" w:rsidRDefault="00B8258C" w:rsidP="002828C0">
      <w:pPr>
        <w:ind w:left="-227" w:right="369"/>
        <w:jc w:val="both"/>
        <w:rPr>
          <w:rFonts w:ascii="Open Sans" w:hAnsi="Open Sans" w:cs="Open Sans"/>
          <w:bCs/>
          <w:sz w:val="24"/>
          <w:szCs w:val="24"/>
        </w:rPr>
      </w:pPr>
    </w:p>
    <w:p w:rsidR="00B8258C" w:rsidRPr="00935D1D" w:rsidRDefault="00B8258C" w:rsidP="002828C0">
      <w:pPr>
        <w:ind w:left="-227" w:right="369"/>
        <w:jc w:val="both"/>
        <w:rPr>
          <w:rFonts w:ascii="Open Sans" w:hAnsi="Open Sans" w:cs="Open Sans"/>
          <w:sz w:val="24"/>
          <w:szCs w:val="24"/>
        </w:rPr>
      </w:pPr>
      <w:r w:rsidRPr="00935D1D">
        <w:rPr>
          <w:rFonts w:ascii="Open Sans" w:hAnsi="Open Sans" w:cs="Open Sans"/>
          <w:bCs/>
          <w:color w:val="000000"/>
          <w:sz w:val="24"/>
          <w:szCs w:val="24"/>
          <w:shd w:val="clear" w:color="auto" w:fill="FFFFFF"/>
        </w:rPr>
        <w:t xml:space="preserve">“AGRAVO. AGRAVO DE INSTRUMENTO EM RECURSO DE REVISTA. PROLAÇÃO DE JULGAMENTO PELA TÉCNICA DA MOTIVAÇÃO RELACIONAL. SÚMULA 214/TST. No caso concreto, o Relator, pela via monocrática, manteve, pelos próprios e jurídicos fundamentos, a decisão objeto de recurso. Registre-se que a motivação por adoção das razões da decisão recorrida não se traduz em omissão no julgado ou na negativa de prestação jurisdicional. Isso porque a fundamentação utilizada pela instância ordinária se incorpora à decisão proferida pela Corte revisora – e, portanto, a análise dos fatos e das provas, bem como do enquadramento jurídico a eles conferido. Dessa forma, considerando-se que o convencimento exposto na decisão recorrida é suficiente para definição da matéria discutida em Juízo, com enfrentamento efetivo dos argumentos articulados pela Parte Recorrente, torna-se viável a incorporação formal dessa decisão por referência. Ou seja, se a decisão regional contém fundamentação suficiente – com exame completo e adequado dos fatos discutidos na lide e expressa referência às regras jurídicas que regem as matérias debatidas -, a adoção dos motivos que compõem esse julgamento não implica inobservância aos arts. 93, IX, da CF/88, e 489, II, do CPC/2015. Assim sendo, a prolação de julgamentos pela técnica da motivação relacional não viola os princípios e garantias constitucionais do devido processo legal (art. 5º, LIV), do contraditório e da ampla defesa (art. 5º, LV), além de preservar o direito à razoável celeridade da tramitação processual (art. 5º, LXXVIII). Revela-se, na prática, como ferramenta apropriada de racionalização da atividade jurisdicional. Nesse sentido, inclusive, posiciona-se a jurisprudência desta Corte Superior, segundo a qual a confirmação integral da decisão agravada não implica ausência de fundamentação, não eliminando o direito da parte de submeter sua irresignação ao exame da instância revisora. No mesmo sentido, decisões proferidas pelo STF. Assim sendo, a decisão agravada foi proferida em estrita observância às normas processuais (art. 557, </w:t>
      </w:r>
      <w:r w:rsidRPr="004D6D08">
        <w:rPr>
          <w:rFonts w:ascii="Open Sans" w:hAnsi="Open Sans" w:cs="Open Sans"/>
          <w:bCs/>
          <w:i/>
          <w:color w:val="000000"/>
          <w:sz w:val="24"/>
          <w:szCs w:val="24"/>
          <w:shd w:val="clear" w:color="auto" w:fill="FFFFFF"/>
        </w:rPr>
        <w:t>caput</w:t>
      </w:r>
      <w:r w:rsidRPr="00935D1D">
        <w:rPr>
          <w:rFonts w:ascii="Open Sans" w:hAnsi="Open Sans" w:cs="Open Sans"/>
          <w:bCs/>
          <w:color w:val="000000"/>
          <w:sz w:val="24"/>
          <w:szCs w:val="24"/>
          <w:shd w:val="clear" w:color="auto" w:fill="FFFFFF"/>
        </w:rPr>
        <w:t xml:space="preserve">, do CPC/1973; arts. 14 e 932, IV, “a”, do CPC/2015), razão pela qual é insuscetível de reforma ou reconsideração. Agravo </w:t>
      </w:r>
      <w:r w:rsidRPr="00935D1D">
        <w:rPr>
          <w:rFonts w:ascii="Open Sans" w:hAnsi="Open Sans" w:cs="Open Sans"/>
          <w:bCs/>
          <w:color w:val="000000"/>
          <w:sz w:val="24"/>
          <w:szCs w:val="24"/>
          <w:shd w:val="clear" w:color="auto" w:fill="FFFFFF"/>
        </w:rPr>
        <w:lastRenderedPageBreak/>
        <w:t>desprovido.</w:t>
      </w:r>
      <w:r>
        <w:rPr>
          <w:rFonts w:ascii="Open Sans" w:hAnsi="Open Sans" w:cs="Open Sans"/>
          <w:bCs/>
          <w:color w:val="000000"/>
          <w:sz w:val="24"/>
          <w:szCs w:val="24"/>
          <w:shd w:val="clear" w:color="auto" w:fill="FFFFFF"/>
        </w:rPr>
        <w:t>”</w:t>
      </w:r>
      <w:r w:rsidRPr="00935D1D">
        <w:rPr>
          <w:rFonts w:ascii="Open Sans" w:hAnsi="Open Sans" w:cs="Open Sans"/>
          <w:color w:val="000000"/>
          <w:sz w:val="24"/>
          <w:szCs w:val="24"/>
          <w:shd w:val="clear" w:color="auto" w:fill="FFFFFF"/>
        </w:rPr>
        <w:t xml:space="preserve"> </w:t>
      </w:r>
      <w:r w:rsidRPr="00935D1D">
        <w:rPr>
          <w:rFonts w:ascii="Open Sans" w:hAnsi="Open Sans" w:cs="Open Sans"/>
          <w:sz w:val="24"/>
          <w:szCs w:val="24"/>
        </w:rPr>
        <w:t>(</w:t>
      </w:r>
      <w:hyperlink r:id="rId15" w:history="1">
        <w:r w:rsidRPr="00935D1D">
          <w:rPr>
            <w:rFonts w:ascii="Open Sans" w:hAnsi="Open Sans" w:cs="Open Sans"/>
            <w:bCs/>
            <w:color w:val="0000FF" w:themeColor="hyperlink"/>
            <w:sz w:val="24"/>
            <w:szCs w:val="24"/>
            <w:u w:val="single"/>
          </w:rPr>
          <w:t>TST-Ag-AIRR-10377-02.2021.5.03.0029</w:t>
        </w:r>
        <w:r w:rsidRPr="00935D1D">
          <w:rPr>
            <w:rFonts w:ascii="Open Sans" w:hAnsi="Open Sans" w:cs="Open Sans"/>
            <w:color w:val="0000FF" w:themeColor="hyperlink"/>
            <w:sz w:val="24"/>
            <w:szCs w:val="24"/>
            <w:u w:val="single"/>
          </w:rPr>
          <w:t>, 3ª Turma, rel. Min. Mauricio Godinho Delgado</w:t>
        </w:r>
        <w:r w:rsidRPr="00935D1D">
          <w:rPr>
            <w:rFonts w:ascii="Open Sans" w:hAnsi="Open Sans" w:cs="Open Sans"/>
            <w:bCs/>
            <w:color w:val="0000FF" w:themeColor="hyperlink"/>
            <w:sz w:val="24"/>
            <w:szCs w:val="24"/>
            <w:u w:val="single"/>
          </w:rPr>
          <w:t>, julgado em 24/5/2023</w:t>
        </w:r>
      </w:hyperlink>
      <w:r>
        <w:rPr>
          <w:rFonts w:ascii="Open Sans" w:hAnsi="Open Sans" w:cs="Open Sans"/>
          <w:sz w:val="24"/>
          <w:szCs w:val="24"/>
        </w:rPr>
        <w:t>)</w:t>
      </w:r>
      <w:r w:rsidRPr="00935D1D">
        <w:rPr>
          <w:rFonts w:ascii="Open Sans" w:hAnsi="Open Sans" w:cs="Open Sans"/>
          <w:sz w:val="24"/>
          <w:szCs w:val="24"/>
        </w:rPr>
        <w:t xml:space="preserve"> </w:t>
      </w:r>
    </w:p>
    <w:p w:rsidR="00B8258C" w:rsidRPr="00935D1D" w:rsidRDefault="00B8258C" w:rsidP="002828C0">
      <w:pPr>
        <w:ind w:left="-227" w:right="369"/>
        <w:jc w:val="center"/>
        <w:rPr>
          <w:rFonts w:ascii="Open Sans" w:hAnsi="Open Sans" w:cs="Open Sans"/>
          <w:i/>
          <w:sz w:val="24"/>
          <w:szCs w:val="24"/>
        </w:rPr>
      </w:pPr>
    </w:p>
    <w:p w:rsidR="00B8258C" w:rsidRPr="00935D1D" w:rsidRDefault="00B8258C" w:rsidP="002828C0">
      <w:pPr>
        <w:ind w:left="-227" w:right="369"/>
        <w:jc w:val="both"/>
        <w:rPr>
          <w:rFonts w:ascii="Open Sans" w:hAnsi="Open Sans" w:cs="Open Sans"/>
          <w:bCs/>
          <w:sz w:val="24"/>
          <w:szCs w:val="24"/>
        </w:rPr>
      </w:pPr>
      <w:r w:rsidRPr="00935D1D">
        <w:rPr>
          <w:rFonts w:ascii="Open Sans" w:hAnsi="Open Sans" w:cs="Open Sans"/>
          <w:bCs/>
          <w:color w:val="000000"/>
          <w:sz w:val="24"/>
          <w:szCs w:val="24"/>
          <w:shd w:val="clear" w:color="auto" w:fill="FFFFFF"/>
        </w:rPr>
        <w:t xml:space="preserve">“[...] RECURSO DE REVISTA. NEGATIVA DE PRESTAÇÃO JURISDICIONAL. INDENIZAÇÃO POR DANOS MORAIS. DOENÇA OCUPACIONAL. NEXO TÉCNICO EPIDEMIOLÓGICO - NTEP. PRESUNÇÃO RELATIVA. VIOLAÇÃO DO ART. 93, IX, DA CONSTITUIÇÃO DA REPÚBLICA. TRANSCENDÊNCIA POLÍTICA RECONHECIDA. 1. O Tribunal Regional negou provimento ao recurso ordinário da reclamante, mantido o indeferimento da indenização por danos morais decorrentes de doença ocupacional, com fulcro nos arts. 818 da CLT e 373,I, do CPC, ao fundamento de que a reclamante não se desincumbiu do ônus de comprovar a doença relacionada ao trabalho e o grau de incapacidade, porque não realizada perícia médica. 2. Nos embargos de declaração, a reclamante pretendeu alcançar manifestação do Tribunal Regional acerca da distribuição do ônus da prova à luz do art. 21-A, </w:t>
      </w:r>
      <w:r w:rsidRPr="004D6D08">
        <w:rPr>
          <w:rFonts w:ascii="Open Sans" w:hAnsi="Open Sans" w:cs="Open Sans"/>
          <w:bCs/>
          <w:i/>
          <w:color w:val="000000"/>
          <w:sz w:val="24"/>
          <w:szCs w:val="24"/>
          <w:shd w:val="clear" w:color="auto" w:fill="FFFFFF"/>
        </w:rPr>
        <w:t>caput</w:t>
      </w:r>
      <w:r w:rsidRPr="00935D1D">
        <w:rPr>
          <w:rFonts w:ascii="Open Sans" w:hAnsi="Open Sans" w:cs="Open Sans"/>
          <w:bCs/>
          <w:color w:val="000000"/>
          <w:sz w:val="24"/>
          <w:szCs w:val="24"/>
          <w:shd w:val="clear" w:color="auto" w:fill="FFFFFF"/>
        </w:rPr>
        <w:t xml:space="preserve"> , da Lei 8.213/91, tendo em vista o reconhecimento pela perícia médica do INSS do nexo técnico epidemiológico entre o trabalho e a doença, com base na atividade desenvolvida pela reclamada. 3. Registrada pelo Tribunal Regional a existência de decisão do INSS, sem qualquer manifestação acerca do seu conteúdo, conforme requerido pela reclamante, restou omisso o acórdão quanto à análise da presunção relativa da natureza acidentária da doença no caso de reconhecimento do nexo técnico epidemiológico pela perícia médica do INSS, à luz dos arts. 818, da CLT, 373, I, do CPC, bem como do art. 21-A, da Lei 8.213/93. Recurso de revista conhecido e provido." (</w:t>
      </w:r>
      <w:hyperlink r:id="rId16" w:history="1">
        <w:r w:rsidRPr="00935D1D">
          <w:rPr>
            <w:rFonts w:ascii="Open Sans" w:hAnsi="Open Sans" w:cs="Open Sans"/>
            <w:bCs/>
            <w:color w:val="0000FF" w:themeColor="hyperlink"/>
            <w:sz w:val="24"/>
            <w:szCs w:val="24"/>
            <w:u w:val="single"/>
            <w:shd w:val="clear" w:color="auto" w:fill="FFFFFF"/>
          </w:rPr>
          <w:t>TST-RR-1203-45.2018.5.09.0016, 3ª Turma, rel. Min. Alberto Bastos Balazeiro, julgado em 24/5/2023</w:t>
        </w:r>
      </w:hyperlink>
      <w:r w:rsidRPr="00935D1D">
        <w:rPr>
          <w:rFonts w:ascii="Open Sans" w:hAnsi="Open Sans" w:cs="Open Sans"/>
          <w:bCs/>
          <w:color w:val="000000"/>
          <w:sz w:val="24"/>
          <w:szCs w:val="24"/>
          <w:shd w:val="clear" w:color="auto" w:fill="FFFFFF"/>
        </w:rPr>
        <w:t>)</w:t>
      </w:r>
    </w:p>
    <w:p w:rsidR="00B8258C" w:rsidRPr="00935D1D" w:rsidRDefault="00B8258C" w:rsidP="002828C0">
      <w:pPr>
        <w:ind w:left="-227" w:right="369"/>
        <w:jc w:val="both"/>
        <w:rPr>
          <w:rFonts w:ascii="Open Sans" w:hAnsi="Open Sans" w:cs="Open Sans"/>
          <w:bCs/>
          <w:sz w:val="24"/>
          <w:szCs w:val="24"/>
        </w:rPr>
      </w:pPr>
    </w:p>
    <w:p w:rsidR="00B8258C" w:rsidRPr="00935D1D" w:rsidRDefault="00B8258C" w:rsidP="002828C0">
      <w:pPr>
        <w:ind w:left="-227" w:right="369"/>
        <w:jc w:val="both"/>
        <w:rPr>
          <w:rFonts w:ascii="Open Sans" w:hAnsi="Open Sans" w:cs="Open Sans"/>
          <w:sz w:val="24"/>
          <w:szCs w:val="24"/>
        </w:rPr>
      </w:pPr>
      <w:r w:rsidRPr="00935D1D">
        <w:rPr>
          <w:rFonts w:ascii="Open Sans" w:hAnsi="Open Sans" w:cs="Open Sans"/>
          <w:bCs/>
          <w:color w:val="000000"/>
          <w:sz w:val="24"/>
          <w:szCs w:val="24"/>
          <w:shd w:val="clear" w:color="auto" w:fill="FFFFFF"/>
        </w:rPr>
        <w:t>“AGRAVO EM EMBARGOS DE DECLARAÇÃO EM RECURSO DE REVISTA. INDENIZAÇÃO POR DANOS MORAIS. MAQUINISTA. SISTEMA DE MONOCONDUÇÃO. DISPO</w:t>
      </w:r>
      <w:r>
        <w:rPr>
          <w:rFonts w:ascii="Open Sans" w:hAnsi="Open Sans" w:cs="Open Sans"/>
          <w:bCs/>
          <w:color w:val="000000"/>
          <w:sz w:val="24"/>
          <w:szCs w:val="24"/>
          <w:shd w:val="clear" w:color="auto" w:fill="FFFFFF"/>
        </w:rPr>
        <w:t>SITIVO DE SEGURANÇA DENOMINADO ‘HOMEM MORTO’</w:t>
      </w:r>
      <w:r w:rsidRPr="00935D1D">
        <w:rPr>
          <w:rFonts w:ascii="Open Sans" w:hAnsi="Open Sans" w:cs="Open Sans"/>
          <w:bCs/>
          <w:color w:val="000000"/>
          <w:sz w:val="24"/>
          <w:szCs w:val="24"/>
          <w:shd w:val="clear" w:color="auto" w:fill="FFFFFF"/>
        </w:rPr>
        <w:t>. IMPOSSIBILIDADE DE USO DE BANHEIRO E DE REALIZAÇÃO DE REFEIÇÕES. CONDIÇÕES DEGRADANTES DE TRABALHO. MONTANTE INDENIZATÓRIO FIXADO EM R$ 100.000,00. Não merece provimento o agravo, no que concerne ao tema impugnado, pois não desconstitui os fundamentos da decisão monocrática que condenou a reclamada ao pagamento de indenização por danos morais, devido à impossibilidade de o empregado se alimentar e usar o banheiro durante a jornada de trabalho. Conforme ex</w:t>
      </w:r>
      <w:r>
        <w:rPr>
          <w:rFonts w:ascii="Open Sans" w:hAnsi="Open Sans" w:cs="Open Sans"/>
          <w:bCs/>
          <w:color w:val="000000"/>
          <w:sz w:val="24"/>
          <w:szCs w:val="24"/>
          <w:shd w:val="clear" w:color="auto" w:fill="FFFFFF"/>
        </w:rPr>
        <w:t>plicitado na decisão agravada, ‘</w:t>
      </w:r>
      <w:r w:rsidRPr="00935D1D">
        <w:rPr>
          <w:rFonts w:ascii="Open Sans" w:hAnsi="Open Sans" w:cs="Open Sans"/>
          <w:bCs/>
          <w:color w:val="000000"/>
          <w:sz w:val="24"/>
          <w:szCs w:val="24"/>
          <w:shd w:val="clear" w:color="auto" w:fill="FFFFFF"/>
        </w:rPr>
        <w:t>não há vícios a serem sanados por meio destes embargos de declaração, tendo em vista que este Relator r</w:t>
      </w:r>
      <w:r>
        <w:rPr>
          <w:rFonts w:ascii="Open Sans" w:hAnsi="Open Sans" w:cs="Open Sans"/>
          <w:bCs/>
          <w:color w:val="000000"/>
          <w:sz w:val="24"/>
          <w:szCs w:val="24"/>
          <w:shd w:val="clear" w:color="auto" w:fill="FFFFFF"/>
        </w:rPr>
        <w:t>egistrou, expressamente, que ‘</w:t>
      </w:r>
      <w:r w:rsidRPr="00935D1D">
        <w:rPr>
          <w:rFonts w:ascii="Open Sans" w:hAnsi="Open Sans" w:cs="Open Sans"/>
          <w:bCs/>
          <w:color w:val="000000"/>
          <w:sz w:val="24"/>
          <w:szCs w:val="24"/>
          <w:shd w:val="clear" w:color="auto" w:fill="FFFFFF"/>
        </w:rPr>
        <w:t>estando consignado, no acórdão regional, que o reclamante, em razão da adoção do regime de monocondução, ficava impossibilitado de se alimentar e de utilizar o banheiro durante a jornada de trabalho, resultam configurados os requisitos para a concessão de indenização por danos morais em razão da violação da honra e da intimidade do emp</w:t>
      </w:r>
      <w:r>
        <w:rPr>
          <w:rFonts w:ascii="Open Sans" w:hAnsi="Open Sans" w:cs="Open Sans"/>
          <w:bCs/>
          <w:color w:val="000000"/>
          <w:sz w:val="24"/>
          <w:szCs w:val="24"/>
          <w:shd w:val="clear" w:color="auto" w:fill="FFFFFF"/>
        </w:rPr>
        <w:t>regado’’</w:t>
      </w:r>
      <w:r w:rsidRPr="00935D1D">
        <w:rPr>
          <w:rFonts w:ascii="Open Sans" w:hAnsi="Open Sans" w:cs="Open Sans"/>
          <w:bCs/>
          <w:color w:val="000000"/>
          <w:sz w:val="24"/>
          <w:szCs w:val="24"/>
          <w:shd w:val="clear" w:color="auto" w:fill="FFFFFF"/>
        </w:rPr>
        <w:t xml:space="preserve">. Ademais, esclareceu-se, em decisão monocrática, </w:t>
      </w:r>
      <w:r>
        <w:rPr>
          <w:rFonts w:ascii="Open Sans" w:hAnsi="Open Sans" w:cs="Open Sans"/>
          <w:bCs/>
          <w:color w:val="000000"/>
          <w:sz w:val="24"/>
          <w:szCs w:val="24"/>
          <w:shd w:val="clear" w:color="auto" w:fill="FFFFFF"/>
        </w:rPr>
        <w:t>que: ‘</w:t>
      </w:r>
      <w:r w:rsidRPr="00935D1D">
        <w:rPr>
          <w:rFonts w:ascii="Open Sans" w:hAnsi="Open Sans" w:cs="Open Sans"/>
          <w:bCs/>
          <w:color w:val="000000"/>
          <w:sz w:val="24"/>
          <w:szCs w:val="24"/>
          <w:shd w:val="clear" w:color="auto" w:fill="FFFFFF"/>
        </w:rPr>
        <w:t xml:space="preserve">Registra-se que a restrição de acesso às instalações sanitárias nas locomotivas tem sido objeto de inúmeros litígios em várias regiões do País, até mesmo com diversos precedentes desta Corte, o que evidencia a reiteração e o caráter nacional dessa situação tristemente vivenciada pelos trabalhadores da reclamada, que têm ficado impossibilitados de realizar suas necessidades fisiológicas ou as executam em condições degradantes durante as longas e contínuas horas de trabalho. Tal fato </w:t>
      </w:r>
      <w:r w:rsidRPr="00935D1D">
        <w:rPr>
          <w:rFonts w:ascii="Open Sans" w:hAnsi="Open Sans" w:cs="Open Sans"/>
          <w:bCs/>
          <w:color w:val="000000"/>
          <w:sz w:val="24"/>
          <w:szCs w:val="24"/>
          <w:shd w:val="clear" w:color="auto" w:fill="FFFFFF"/>
        </w:rPr>
        <w:lastRenderedPageBreak/>
        <w:t xml:space="preserve">demonstra a total desconsideração da reclamada pelas condições de trabalho a que seus empregados vêm sendo submetidos. Assim, tendo em vista que a reclamada não proporcionou ao autor condições dignas e adequadas ao exercício de suas funções, é </w:t>
      </w:r>
      <w:r>
        <w:rPr>
          <w:rFonts w:ascii="Open Sans" w:hAnsi="Open Sans" w:cs="Open Sans"/>
          <w:bCs/>
          <w:color w:val="000000"/>
          <w:sz w:val="24"/>
          <w:szCs w:val="24"/>
          <w:shd w:val="clear" w:color="auto" w:fill="FFFFFF"/>
        </w:rPr>
        <w:t>devida a reparação pecuniária’</w:t>
      </w:r>
      <w:r w:rsidRPr="00935D1D">
        <w:rPr>
          <w:rFonts w:ascii="Open Sans" w:hAnsi="Open Sans" w:cs="Open Sans"/>
          <w:bCs/>
          <w:color w:val="000000"/>
          <w:sz w:val="24"/>
          <w:szCs w:val="24"/>
          <w:shd w:val="clear" w:color="auto" w:fill="FFFFFF"/>
        </w:rPr>
        <w:t xml:space="preserve">. Havendo, na decisão monocrática, as razões de decidir do Ministro Relator, tem-se por atendida a exigência da prestação jurisdicional, ainda que o resultado do julgamento seja contrário ao interesse da parte. Para que se tenha por atendido o dever constitucional de fundamentação das decisões judiciais, basta que nessas se enfrentem, de forma completa e suficiente, todas as questões necessárias ao deslinde da controvérsia, o que ocorreu no caso em exame. Agravo desprovido.” </w:t>
      </w:r>
      <w:r w:rsidRPr="00935D1D">
        <w:rPr>
          <w:rFonts w:ascii="Open Sans" w:hAnsi="Open Sans" w:cs="Open Sans"/>
          <w:sz w:val="24"/>
          <w:szCs w:val="24"/>
        </w:rPr>
        <w:t>(</w:t>
      </w:r>
      <w:hyperlink r:id="rId17" w:history="1">
        <w:r w:rsidRPr="00935D1D">
          <w:rPr>
            <w:rFonts w:ascii="Open Sans" w:hAnsi="Open Sans" w:cs="Open Sans"/>
            <w:bCs/>
            <w:color w:val="0000FF" w:themeColor="hyperlink"/>
            <w:sz w:val="24"/>
            <w:szCs w:val="24"/>
            <w:u w:val="single"/>
          </w:rPr>
          <w:t>TST-Ag-ED-RR-11160-98.2020.5.03.0038</w:t>
        </w:r>
        <w:r w:rsidRPr="00935D1D">
          <w:rPr>
            <w:rFonts w:ascii="Open Sans" w:hAnsi="Open Sans" w:cs="Open Sans"/>
            <w:color w:val="0000FF" w:themeColor="hyperlink"/>
            <w:sz w:val="24"/>
            <w:szCs w:val="24"/>
            <w:u w:val="single"/>
          </w:rPr>
          <w:t>, 3ª Turma, rel. Des. Conv. Marcelo Lamego Pertence</w:t>
        </w:r>
        <w:r w:rsidRPr="00935D1D">
          <w:rPr>
            <w:rFonts w:ascii="Open Sans" w:hAnsi="Open Sans" w:cs="Open Sans"/>
            <w:bCs/>
            <w:color w:val="0000FF" w:themeColor="hyperlink"/>
            <w:sz w:val="24"/>
            <w:szCs w:val="24"/>
            <w:u w:val="single"/>
          </w:rPr>
          <w:t>, julgado em 17/5/2023</w:t>
        </w:r>
      </w:hyperlink>
      <w:r w:rsidRPr="00935D1D">
        <w:rPr>
          <w:rFonts w:ascii="Open Sans" w:hAnsi="Open Sans" w:cs="Open Sans"/>
          <w:sz w:val="24"/>
          <w:szCs w:val="24"/>
        </w:rPr>
        <w:t xml:space="preserve">) </w:t>
      </w:r>
    </w:p>
    <w:p w:rsidR="00B8258C" w:rsidRPr="00935D1D" w:rsidRDefault="00B8258C" w:rsidP="002828C0">
      <w:pPr>
        <w:ind w:left="-227" w:right="369"/>
        <w:jc w:val="both"/>
        <w:rPr>
          <w:rFonts w:ascii="Open Sans" w:hAnsi="Open Sans" w:cs="Open Sans"/>
          <w:bCs/>
          <w:sz w:val="24"/>
          <w:szCs w:val="24"/>
        </w:rPr>
      </w:pPr>
    </w:p>
    <w:p w:rsidR="00B8258C" w:rsidRPr="00935D1D" w:rsidRDefault="00B8258C" w:rsidP="002828C0">
      <w:pPr>
        <w:ind w:left="-227" w:right="369"/>
        <w:jc w:val="both"/>
        <w:rPr>
          <w:rFonts w:ascii="Open Sans" w:hAnsi="Open Sans" w:cs="Open Sans"/>
          <w:b/>
          <w:sz w:val="24"/>
          <w:szCs w:val="24"/>
        </w:rPr>
      </w:pPr>
      <w:r w:rsidRPr="00935D1D">
        <w:rPr>
          <w:rFonts w:ascii="Open Sans" w:hAnsi="Open Sans" w:cs="Open Sans"/>
          <w:bCs/>
          <w:color w:val="000000"/>
          <w:sz w:val="24"/>
          <w:szCs w:val="24"/>
          <w:shd w:val="clear" w:color="auto" w:fill="FFFFFF"/>
        </w:rPr>
        <w:t xml:space="preserve">“AGRAVO DE INSTRUMENTO EM RECURSO DE REVISTA. COMPETÊNCIA DA JUSTIÇA DO TRABALHO. AÇÃO CIVIL PÚBLICA AJUIZADA PELO MINISTÉRIO PÚBLICO DO TRABALHO. DESCUMPRIMENTO DE NORMAS DE SÁUDE, SEGURANÇA E HIGIENE. SÚMULA Nº 736 DO SUPREMO TRIBUNAL FEDERAL. Discute-se a competência da Justiça do Trabalho para processar e julgar ação civil pública ajuizada pelo Ministério Público do Trabalho contra o Estado do Amazonas e cuja pretensão é a observância e o cumprimento das normas de higiene e segurança dos trabalhadores vinculados ao sistema de saúde que laboravam em Eirunepé/AM. O Tribunal </w:t>
      </w:r>
      <w:r w:rsidRPr="00935D1D">
        <w:rPr>
          <w:rFonts w:ascii="Open Sans" w:hAnsi="Open Sans" w:cs="Open Sans"/>
          <w:bCs/>
          <w:i/>
          <w:color w:val="000000"/>
          <w:sz w:val="24"/>
          <w:szCs w:val="24"/>
          <w:shd w:val="clear" w:color="auto" w:fill="FFFFFF"/>
        </w:rPr>
        <w:t>a quo</w:t>
      </w:r>
      <w:r>
        <w:rPr>
          <w:rFonts w:ascii="Open Sans" w:hAnsi="Open Sans" w:cs="Open Sans"/>
          <w:bCs/>
          <w:color w:val="000000"/>
          <w:sz w:val="24"/>
          <w:szCs w:val="24"/>
          <w:shd w:val="clear" w:color="auto" w:fill="FFFFFF"/>
        </w:rPr>
        <w:t xml:space="preserve"> destacou que ‘</w:t>
      </w:r>
      <w:r w:rsidRPr="00935D1D">
        <w:rPr>
          <w:rFonts w:ascii="Open Sans" w:hAnsi="Open Sans" w:cs="Open Sans"/>
          <w:bCs/>
          <w:color w:val="000000"/>
          <w:sz w:val="24"/>
          <w:szCs w:val="24"/>
          <w:shd w:val="clear" w:color="auto" w:fill="FFFFFF"/>
        </w:rPr>
        <w:t>as normas de segurança são medidas de proteção no ambiente de trabalho, que devem ser observadas, cabendo ao empregador zelar por condições adequadas de trabalho de modo a p</w:t>
      </w:r>
      <w:r>
        <w:rPr>
          <w:rFonts w:ascii="Open Sans" w:hAnsi="Open Sans" w:cs="Open Sans"/>
          <w:bCs/>
          <w:color w:val="000000"/>
          <w:sz w:val="24"/>
          <w:szCs w:val="24"/>
          <w:shd w:val="clear" w:color="auto" w:fill="FFFFFF"/>
        </w:rPr>
        <w:t>reservar a saúde dos obreiros’</w:t>
      </w:r>
      <w:r w:rsidRPr="00935D1D">
        <w:rPr>
          <w:rFonts w:ascii="Open Sans" w:hAnsi="Open Sans" w:cs="Open Sans"/>
          <w:bCs/>
          <w:color w:val="000000"/>
          <w:sz w:val="24"/>
          <w:szCs w:val="24"/>
          <w:shd w:val="clear" w:color="auto" w:fill="FFFFFF"/>
        </w:rPr>
        <w:t xml:space="preserve">, </w:t>
      </w:r>
      <w:r>
        <w:rPr>
          <w:rFonts w:ascii="Open Sans" w:hAnsi="Open Sans" w:cs="Open Sans"/>
          <w:bCs/>
          <w:color w:val="000000"/>
          <w:sz w:val="24"/>
          <w:szCs w:val="24"/>
          <w:shd w:val="clear" w:color="auto" w:fill="FFFFFF"/>
        </w:rPr>
        <w:t>não importando ‘</w:t>
      </w:r>
      <w:r w:rsidRPr="00935D1D">
        <w:rPr>
          <w:rFonts w:ascii="Open Sans" w:hAnsi="Open Sans" w:cs="Open Sans"/>
          <w:bCs/>
          <w:color w:val="000000"/>
          <w:sz w:val="24"/>
          <w:szCs w:val="24"/>
          <w:shd w:val="clear" w:color="auto" w:fill="FFFFFF"/>
        </w:rPr>
        <w:t>a natureza do vínculo empregatício firmado entre o ente público e o trabalhador, na medida em que a tutela do meio ambiente do trabalho deve se dar de forma efetiva e adequada, tanto para servidores públicos estat</w:t>
      </w:r>
      <w:r>
        <w:rPr>
          <w:rFonts w:ascii="Open Sans" w:hAnsi="Open Sans" w:cs="Open Sans"/>
          <w:bCs/>
          <w:color w:val="000000"/>
          <w:sz w:val="24"/>
          <w:szCs w:val="24"/>
          <w:shd w:val="clear" w:color="auto" w:fill="FFFFFF"/>
        </w:rPr>
        <w:t>utários, quanto para celetistas’</w:t>
      </w:r>
      <w:r w:rsidRPr="00935D1D">
        <w:rPr>
          <w:rFonts w:ascii="Open Sans" w:hAnsi="Open Sans" w:cs="Open Sans"/>
          <w:bCs/>
          <w:color w:val="000000"/>
          <w:sz w:val="24"/>
          <w:szCs w:val="24"/>
          <w:shd w:val="clear" w:color="auto" w:fill="FFFFFF"/>
        </w:rPr>
        <w:t>. O Regional esc</w:t>
      </w:r>
      <w:r>
        <w:rPr>
          <w:rFonts w:ascii="Open Sans" w:hAnsi="Open Sans" w:cs="Open Sans"/>
          <w:bCs/>
          <w:color w:val="000000"/>
          <w:sz w:val="24"/>
          <w:szCs w:val="24"/>
          <w:shd w:val="clear" w:color="auto" w:fill="FFFFFF"/>
        </w:rPr>
        <w:t>lareceu que a referida matéria ‘</w:t>
      </w:r>
      <w:r w:rsidRPr="00935D1D">
        <w:rPr>
          <w:rFonts w:ascii="Open Sans" w:hAnsi="Open Sans" w:cs="Open Sans"/>
          <w:bCs/>
          <w:color w:val="000000"/>
          <w:sz w:val="24"/>
          <w:szCs w:val="24"/>
          <w:shd w:val="clear" w:color="auto" w:fill="FFFFFF"/>
        </w:rPr>
        <w:t xml:space="preserve">não se confunde a matéria com aquela julgada na ADI nº 3.395, em que o Supremo Tribunal Federal, em sede cautelar, determinou a suspensão de toda e qualquer interpretação dada ao inciso I do artigo 114 da Constituição Federal que inclua na competência da Justiça do Trabalho a apreciação de causas instauradas entre o </w:t>
      </w:r>
      <w:r>
        <w:rPr>
          <w:rFonts w:ascii="Open Sans" w:hAnsi="Open Sans" w:cs="Open Sans"/>
          <w:bCs/>
          <w:color w:val="000000"/>
          <w:sz w:val="24"/>
          <w:szCs w:val="24"/>
          <w:shd w:val="clear" w:color="auto" w:fill="FFFFFF"/>
        </w:rPr>
        <w:t>Poder Público e seus servidores’</w:t>
      </w:r>
      <w:r w:rsidRPr="00935D1D">
        <w:rPr>
          <w:rFonts w:ascii="Open Sans" w:hAnsi="Open Sans" w:cs="Open Sans"/>
          <w:bCs/>
          <w:color w:val="000000"/>
          <w:sz w:val="24"/>
          <w:szCs w:val="24"/>
          <w:shd w:val="clear" w:color="auto" w:fill="FFFFFF"/>
        </w:rPr>
        <w:t xml:space="preserve">. Desse modo, o Tribunal </w:t>
      </w:r>
      <w:r w:rsidRPr="00935D1D">
        <w:rPr>
          <w:rFonts w:ascii="Open Sans" w:hAnsi="Open Sans" w:cs="Open Sans"/>
          <w:bCs/>
          <w:i/>
          <w:color w:val="000000"/>
          <w:sz w:val="24"/>
          <w:szCs w:val="24"/>
          <w:shd w:val="clear" w:color="auto" w:fill="FFFFFF"/>
        </w:rPr>
        <w:t>a quo</w:t>
      </w:r>
      <w:r w:rsidRPr="00935D1D">
        <w:rPr>
          <w:rFonts w:ascii="Open Sans" w:hAnsi="Open Sans" w:cs="Open Sans"/>
          <w:bCs/>
          <w:color w:val="000000"/>
          <w:sz w:val="24"/>
          <w:szCs w:val="24"/>
          <w:shd w:val="clear" w:color="auto" w:fill="FFFFFF"/>
        </w:rPr>
        <w:t xml:space="preserve"> fi</w:t>
      </w:r>
      <w:r>
        <w:rPr>
          <w:rFonts w:ascii="Open Sans" w:hAnsi="Open Sans" w:cs="Open Sans"/>
          <w:bCs/>
          <w:color w:val="000000"/>
          <w:sz w:val="24"/>
          <w:szCs w:val="24"/>
          <w:shd w:val="clear" w:color="auto" w:fill="FFFFFF"/>
        </w:rPr>
        <w:t>xou ‘</w:t>
      </w:r>
      <w:r w:rsidRPr="00935D1D">
        <w:rPr>
          <w:rFonts w:ascii="Open Sans" w:hAnsi="Open Sans" w:cs="Open Sans"/>
          <w:bCs/>
          <w:color w:val="000000"/>
          <w:sz w:val="24"/>
          <w:szCs w:val="24"/>
          <w:shd w:val="clear" w:color="auto" w:fill="FFFFFF"/>
        </w:rPr>
        <w:t>a competência material da Justiça do Trabalho para apreciação e julgamento da Ação Civil Pública ajuizada pelo Ministério Público do Trabalho, em que se discutem questões relativas à adequação do meio ambiente de trabalho, em face dos Entes Públicos Estado do Amazonas e Município de Eirunepé</w:t>
      </w:r>
      <w:r>
        <w:rPr>
          <w:rFonts w:ascii="Open Sans" w:hAnsi="Open Sans" w:cs="Open Sans"/>
          <w:bCs/>
          <w:color w:val="000000"/>
          <w:sz w:val="24"/>
          <w:szCs w:val="24"/>
          <w:shd w:val="clear" w:color="auto" w:fill="FFFFFF"/>
        </w:rPr>
        <w:t>’</w:t>
      </w:r>
      <w:r w:rsidRPr="00935D1D">
        <w:rPr>
          <w:rFonts w:ascii="Open Sans" w:hAnsi="Open Sans" w:cs="Open Sans"/>
          <w:bCs/>
          <w:color w:val="000000"/>
          <w:sz w:val="24"/>
          <w:szCs w:val="24"/>
          <w:shd w:val="clear" w:color="auto" w:fill="FFFFFF"/>
        </w:rPr>
        <w:t>. Diante do exposto, constata-se que o Regional decidiu em consonância com o disposto na Súmula nº 736 do Supremo Tribunal</w:t>
      </w:r>
      <w:r>
        <w:rPr>
          <w:rFonts w:ascii="Open Sans" w:hAnsi="Open Sans" w:cs="Open Sans"/>
          <w:bCs/>
          <w:color w:val="000000"/>
          <w:sz w:val="24"/>
          <w:szCs w:val="24"/>
          <w:shd w:val="clear" w:color="auto" w:fill="FFFFFF"/>
        </w:rPr>
        <w:t xml:space="preserve"> Federal, com o seguinte teor: ‘</w:t>
      </w:r>
      <w:r w:rsidRPr="00935D1D">
        <w:rPr>
          <w:rFonts w:ascii="Open Sans" w:hAnsi="Open Sans" w:cs="Open Sans"/>
          <w:bCs/>
          <w:color w:val="000000"/>
          <w:sz w:val="24"/>
          <w:szCs w:val="24"/>
          <w:shd w:val="clear" w:color="auto" w:fill="FFFFFF"/>
        </w:rPr>
        <w:t>compete à Justiça do Trabalho julgar as ações que tenham como causa de pedir o descumprimento de normas trabalhistas relativas à segurança, hi</w:t>
      </w:r>
      <w:r>
        <w:rPr>
          <w:rFonts w:ascii="Open Sans" w:hAnsi="Open Sans" w:cs="Open Sans"/>
          <w:bCs/>
          <w:color w:val="000000"/>
          <w:sz w:val="24"/>
          <w:szCs w:val="24"/>
          <w:shd w:val="clear" w:color="auto" w:fill="FFFFFF"/>
        </w:rPr>
        <w:t>giene e saúde dos trabalhadores’</w:t>
      </w:r>
      <w:r w:rsidRPr="00935D1D">
        <w:rPr>
          <w:rFonts w:ascii="Open Sans" w:hAnsi="Open Sans" w:cs="Open Sans"/>
          <w:bCs/>
          <w:color w:val="000000"/>
          <w:sz w:val="24"/>
          <w:szCs w:val="24"/>
          <w:shd w:val="clear" w:color="auto" w:fill="FFFFFF"/>
        </w:rPr>
        <w:t xml:space="preserve">. Assim, independentemente da natureza jurídica do vínculo entre as partes, em se tratando de ação que versa sobre o cumprimento de normas de saúde, higiene e medicina do trabalho, como é o caso dos autos, a competência é da Justiça do Trabalho. Inexiste, pois, afronta ao artigo 114, inciso I, da Constituição Federal. Precedentes. Agravo de instrumento desprovido.” </w:t>
      </w:r>
      <w:r w:rsidRPr="00935D1D">
        <w:rPr>
          <w:rFonts w:ascii="Open Sans" w:hAnsi="Open Sans" w:cs="Open Sans"/>
          <w:sz w:val="24"/>
          <w:szCs w:val="24"/>
        </w:rPr>
        <w:t>(</w:t>
      </w:r>
      <w:hyperlink r:id="rId18" w:history="1">
        <w:r w:rsidRPr="00935D1D">
          <w:rPr>
            <w:rFonts w:ascii="Open Sans" w:hAnsi="Open Sans" w:cs="Open Sans"/>
            <w:bCs/>
            <w:color w:val="0000FF" w:themeColor="hyperlink"/>
            <w:sz w:val="24"/>
            <w:szCs w:val="24"/>
            <w:u w:val="single"/>
          </w:rPr>
          <w:t>TST-AIRR-45-27.2020.5.11.0501</w:t>
        </w:r>
        <w:r w:rsidRPr="00935D1D">
          <w:rPr>
            <w:rFonts w:ascii="Open Sans" w:hAnsi="Open Sans" w:cs="Open Sans"/>
            <w:color w:val="0000FF" w:themeColor="hyperlink"/>
            <w:sz w:val="24"/>
            <w:szCs w:val="24"/>
            <w:u w:val="single"/>
          </w:rPr>
          <w:t>, 3ª Turma, rel. Des. Conv. Marcelo Lamego Pertence</w:t>
        </w:r>
        <w:r w:rsidRPr="00935D1D">
          <w:rPr>
            <w:rFonts w:ascii="Open Sans" w:hAnsi="Open Sans" w:cs="Open Sans"/>
            <w:bCs/>
            <w:color w:val="0000FF" w:themeColor="hyperlink"/>
            <w:sz w:val="24"/>
            <w:szCs w:val="24"/>
            <w:u w:val="single"/>
          </w:rPr>
          <w:t>, julgado em 17/5/2023</w:t>
        </w:r>
      </w:hyperlink>
      <w:r>
        <w:rPr>
          <w:rFonts w:ascii="Open Sans" w:hAnsi="Open Sans" w:cs="Open Sans"/>
          <w:sz w:val="24"/>
          <w:szCs w:val="24"/>
        </w:rPr>
        <w:t>)</w:t>
      </w:r>
    </w:p>
    <w:p w:rsidR="00B8258C" w:rsidRPr="00935D1D" w:rsidRDefault="00B8258C" w:rsidP="002828C0">
      <w:pPr>
        <w:ind w:left="-227" w:right="369"/>
        <w:jc w:val="both"/>
        <w:rPr>
          <w:rFonts w:ascii="Open Sans" w:hAnsi="Open Sans" w:cs="Open Sans"/>
          <w:sz w:val="24"/>
          <w:szCs w:val="24"/>
        </w:rPr>
      </w:pPr>
    </w:p>
    <w:p w:rsidR="00B8258C" w:rsidRPr="00935D1D" w:rsidRDefault="00B8258C" w:rsidP="002828C0">
      <w:pPr>
        <w:ind w:left="-227" w:right="369"/>
        <w:jc w:val="both"/>
        <w:rPr>
          <w:rFonts w:ascii="Open Sans" w:hAnsi="Open Sans" w:cs="Open Sans"/>
          <w:bCs/>
          <w:sz w:val="24"/>
          <w:szCs w:val="24"/>
        </w:rPr>
      </w:pPr>
      <w:r w:rsidRPr="00935D1D">
        <w:rPr>
          <w:rFonts w:ascii="Open Sans" w:hAnsi="Open Sans" w:cs="Open Sans"/>
          <w:sz w:val="24"/>
          <w:szCs w:val="24"/>
        </w:rPr>
        <w:lastRenderedPageBreak/>
        <w:t xml:space="preserve">“[...] C) RECURSO DE REVISTA – POSSIBILIDADE DE COMPENSAÇÃO DO VALOR RECEBIDO A TÍTULO DE GRATIFICAÇÃO DE FUNÇÃO COM O VALOR DAS HORAS EXTRAS DEFERIDAS EM JUÍZO EM RAZÃO DE PREVISÃO EM NORMA COLETIVA – RECURSO PROVIDO. 1. Ao deslindar o Tema 1.046 de sua tabela de repercussão geral, o STF fixou a seguinte tese, de caráter vinculante: </w:t>
      </w:r>
      <w:r>
        <w:rPr>
          <w:rFonts w:ascii="Open Sans" w:hAnsi="Open Sans" w:cs="Open Sans"/>
          <w:i/>
          <w:sz w:val="24"/>
          <w:szCs w:val="24"/>
        </w:rPr>
        <w:t>‘</w:t>
      </w:r>
      <w:r w:rsidRPr="00935D1D">
        <w:rPr>
          <w:rFonts w:ascii="Open Sans" w:hAnsi="Open Sans" w:cs="Open San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i/>
          <w:sz w:val="24"/>
          <w:szCs w:val="24"/>
        </w:rPr>
        <w:t>’</w:t>
      </w:r>
      <w:r w:rsidRPr="00935D1D">
        <w:rPr>
          <w:rFonts w:ascii="Open Sans" w:hAnsi="Open Sans" w:cs="Open Sans"/>
          <w:sz w:val="24"/>
          <w:szCs w:val="24"/>
        </w:rPr>
        <w:t xml:space="preserve">. Nesse sentido, consagrou a tese da prevalência do negociado sobre o legislado e da flexibilização das normas legais trabalhistas. Ademais, ao não exigir a especificação das vantagens </w:t>
      </w:r>
      <w:r>
        <w:rPr>
          <w:rFonts w:ascii="Open Sans" w:hAnsi="Open Sans" w:cs="Open Sans"/>
          <w:sz w:val="24"/>
          <w:szCs w:val="24"/>
        </w:rPr>
        <w:t>compensatórias e adjetivar de absolutamente</w:t>
      </w:r>
      <w:r w:rsidRPr="00935D1D">
        <w:rPr>
          <w:rFonts w:ascii="Open Sans" w:hAnsi="Open Sans" w:cs="Open Sans"/>
          <w:sz w:val="24"/>
          <w:szCs w:val="24"/>
        </w:rPr>
        <w:t xml:space="preserve"> indisponíveis os direitos infensos à negociação coletiva, também sacramentou a teoria do conglobamento e a ampla autonomia negocial coletiva, sob tutela sindical, na esfera laboral, uma vez que, se os incisos VI, XIII e XIV do art. 7º da CF admitem a redução de salário e jornada mediante negociação coletiva, que são as duas matérias básicas do contrato de trabalho, todos os demais direitos que tenham a mesma natureza salarial ou temporal são passíveis de flexibilização. 2. Na esteira da Carta Magna, a reforma trabalhista de 2017 (Lei 13.467) veio a parametrizar a negociação coletiva, elencando quais os direitos que seriam (CLT, art</w:t>
      </w:r>
      <w:r>
        <w:rPr>
          <w:rFonts w:ascii="Open Sans" w:hAnsi="Open Sans" w:cs="Open Sans"/>
          <w:sz w:val="24"/>
          <w:szCs w:val="24"/>
        </w:rPr>
        <w:t>. 611-A – rol exemplificativo: ‘entre outros’</w:t>
      </w:r>
      <w:r w:rsidRPr="00935D1D">
        <w:rPr>
          <w:rFonts w:ascii="Open Sans" w:hAnsi="Open Sans" w:cs="Open Sans"/>
          <w:sz w:val="24"/>
          <w:szCs w:val="24"/>
        </w:rPr>
        <w:t>) ou não (CL</w:t>
      </w:r>
      <w:r>
        <w:rPr>
          <w:rFonts w:ascii="Open Sans" w:hAnsi="Open Sans" w:cs="Open Sans"/>
          <w:sz w:val="24"/>
          <w:szCs w:val="24"/>
        </w:rPr>
        <w:t>T, art. 611-B – rol taxativo – ‘exclusivamente’</w:t>
      </w:r>
      <w:r w:rsidRPr="00935D1D">
        <w:rPr>
          <w:rFonts w:ascii="Open Sans" w:hAnsi="Open Sans" w:cs="Open Sans"/>
          <w:sz w:val="24"/>
          <w:szCs w:val="24"/>
        </w:rPr>
        <w:t>) negociáveis coletivamente. 3. No caso dos autos, o objeto da cláusula 11ª da CCT 2018/2020 refere-se à possibilidade de compensação do valor recebido pelo bancário a título de gratificação de função com o valor das horas extras deferidas em juízo, o que atende aos parâmetros do precedente vinculante do STF, fixados no ARE 1121633, de relatoria do Min. Gilmar Mendes, além dos constitucionais e legais suprarreferidos, pois se está legitimamente flexibilizando norma legal atinente a jornada de trabalho. 4. Portanto, afastado o entendimento da Súmula 109 do TST, neste caso específico de previsão da possibilidade de compensação em norma coletiva, merece provimento do recurso patronal a fim de se realizar a pleiteada dedução dos valores. Recurso de revista provido.” (</w:t>
      </w:r>
      <w:hyperlink r:id="rId19" w:history="1">
        <w:r w:rsidRPr="00935D1D">
          <w:rPr>
            <w:rFonts w:ascii="Open Sans" w:hAnsi="Open Sans" w:cs="Open Sans"/>
            <w:color w:val="0000FF" w:themeColor="hyperlink"/>
            <w:sz w:val="24"/>
            <w:szCs w:val="24"/>
            <w:u w:val="single"/>
          </w:rPr>
          <w:t>TST-RR-1001731-77.2019.5.02.0386, 4ª Turma, rel. Min. Ives Gandra da Silva Martins Filho</w:t>
        </w:r>
        <w:r w:rsidRPr="00935D1D">
          <w:rPr>
            <w:rFonts w:ascii="Open Sans" w:hAnsi="Open Sans" w:cs="Open Sans"/>
            <w:bCs/>
            <w:color w:val="0000FF" w:themeColor="hyperlink"/>
            <w:sz w:val="24"/>
            <w:szCs w:val="24"/>
            <w:u w:val="single"/>
          </w:rPr>
          <w:t>, julgado em 23/5/2023</w:t>
        </w:r>
      </w:hyperlink>
      <w:r>
        <w:rPr>
          <w:rFonts w:ascii="Open Sans" w:hAnsi="Open Sans" w:cs="Open Sans"/>
          <w:sz w:val="24"/>
          <w:szCs w:val="24"/>
        </w:rPr>
        <w:t>)</w:t>
      </w:r>
    </w:p>
    <w:p w:rsidR="00B8258C" w:rsidRPr="00935D1D" w:rsidRDefault="00B8258C" w:rsidP="002828C0">
      <w:pPr>
        <w:ind w:left="-227" w:right="369"/>
        <w:jc w:val="both"/>
        <w:rPr>
          <w:rFonts w:ascii="Open Sans" w:hAnsi="Open Sans" w:cs="Open Sans"/>
          <w:bCs/>
          <w:sz w:val="24"/>
          <w:szCs w:val="24"/>
        </w:rPr>
      </w:pPr>
    </w:p>
    <w:p w:rsidR="00B8258C" w:rsidRDefault="00B8258C" w:rsidP="002828C0">
      <w:pPr>
        <w:ind w:left="-227" w:right="369"/>
        <w:jc w:val="both"/>
        <w:rPr>
          <w:rFonts w:ascii="Open Sans" w:hAnsi="Open Sans" w:cs="Open Sans"/>
          <w:bCs/>
          <w:sz w:val="24"/>
          <w:szCs w:val="24"/>
        </w:rPr>
      </w:pPr>
      <w:r w:rsidRPr="00935D1D">
        <w:rPr>
          <w:rFonts w:ascii="Open Sans" w:hAnsi="Open Sans" w:cs="Open Sans"/>
          <w:sz w:val="24"/>
          <w:szCs w:val="24"/>
        </w:rPr>
        <w:t xml:space="preserve">“[...] </w:t>
      </w:r>
      <w:r w:rsidRPr="00935D1D">
        <w:rPr>
          <w:rFonts w:ascii="Open Sans" w:hAnsi="Open Sans" w:cs="Open Sans"/>
          <w:bCs/>
          <w:color w:val="000000"/>
          <w:sz w:val="24"/>
          <w:szCs w:val="24"/>
        </w:rPr>
        <w:t xml:space="preserve">RECURSO DE REVISTA. ACÓRDÃO PUBLICADO NA VIGÊNCIA DA LEI Nº 13.467/2017. RITO SUMARÍSSIMO. ACORDO DE COMPENSAÇÃO DE JORNADA. HORAS EXTRAS HABITUAIS. PREVISÃO EM NORMA COLETIVA DE POSSIBILIDADE DE LABOR AOS SÁBADOS COM PAGAMENTO DE ADICIONAL SUPERIOR AO LEGAL. TEMA Nº 1.046 DA TABELA DE REPERCUSSÃO GERAL DO STF. TRANSCENDÊNCIA JURÍDICA. </w:t>
      </w:r>
      <w:r w:rsidRPr="00935D1D">
        <w:rPr>
          <w:rFonts w:ascii="Open Sans" w:hAnsi="Open Sans" w:cs="Open Sans"/>
          <w:color w:val="000000"/>
          <w:sz w:val="24"/>
          <w:szCs w:val="24"/>
        </w:rPr>
        <w:t>A premissa fática delineada no acórdão regional, insuscetível de reexame nesta fase recursal (Súmula 126 do TST), é no sentido de que o reclamante, sujeito ao regime de compensação de jornada semanal, prestava horas extras de forma habitual, notadamente aos sábados, dia destinado à compensação. A jurisprudência desta Corte Superior havia con</w:t>
      </w:r>
      <w:r>
        <w:rPr>
          <w:rFonts w:ascii="Open Sans" w:hAnsi="Open Sans" w:cs="Open Sans"/>
          <w:color w:val="000000"/>
          <w:sz w:val="24"/>
          <w:szCs w:val="24"/>
        </w:rPr>
        <w:t>solidado o entendimento de que ‘</w:t>
      </w:r>
      <w:r w:rsidRPr="0056682C">
        <w:rPr>
          <w:rFonts w:ascii="Open Sans" w:hAnsi="Open Sans" w:cs="Open Sans"/>
          <w:iCs/>
          <w:color w:val="000000"/>
          <w:sz w:val="24"/>
          <w:szCs w:val="24"/>
        </w:rPr>
        <w:t>A prestação de horas extras habituais descaracteriza o acordo de compensação de jornada. Nesta hipótese, as horas que ultrapassarem a jornada semanal normal deverão ser pagas como horas extraordinárias e, quanto àquelas destinadas à compensação, deverá ser pago a mais apenas o adicional por trabalho extraordinário</w:t>
      </w:r>
      <w:r>
        <w:rPr>
          <w:rFonts w:ascii="Open Sans" w:hAnsi="Open Sans" w:cs="Open Sans"/>
          <w:color w:val="000000"/>
          <w:sz w:val="24"/>
          <w:szCs w:val="24"/>
        </w:rPr>
        <w:t>’</w:t>
      </w:r>
      <w:r w:rsidRPr="00935D1D">
        <w:rPr>
          <w:rFonts w:ascii="Open Sans" w:hAnsi="Open Sans" w:cs="Open Sans"/>
          <w:color w:val="000000"/>
          <w:sz w:val="24"/>
          <w:szCs w:val="24"/>
        </w:rPr>
        <w:t xml:space="preserve"> (Súmula nº 85, item IV, do TST). Ocorre </w:t>
      </w:r>
      <w:r w:rsidRPr="00935D1D">
        <w:rPr>
          <w:rFonts w:ascii="Open Sans" w:hAnsi="Open Sans" w:cs="Open Sans"/>
          <w:color w:val="000000"/>
          <w:sz w:val="24"/>
          <w:szCs w:val="24"/>
        </w:rPr>
        <w:lastRenderedPageBreak/>
        <w:t>que o e. STF, no recente julgamento do Tema 1046 da Repercussão Geral, f</w:t>
      </w:r>
      <w:r>
        <w:rPr>
          <w:rFonts w:ascii="Open Sans" w:hAnsi="Open Sans" w:cs="Open Sans"/>
          <w:color w:val="000000"/>
          <w:sz w:val="24"/>
          <w:szCs w:val="24"/>
        </w:rPr>
        <w:t>ixou a seguinte tese jurídica: ‘</w:t>
      </w:r>
      <w:r w:rsidRPr="0056682C">
        <w:rPr>
          <w:rFonts w:ascii="Open Sans" w:hAnsi="Open Sans" w:cs="Open Sans"/>
          <w:iCs/>
          <w:color w:val="000000"/>
          <w:sz w:val="24"/>
          <w:szCs w:val="24"/>
        </w:rPr>
        <w:t>São constitucionais os acordos e as convenções coletivas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color w:val="000000"/>
          <w:sz w:val="24"/>
          <w:szCs w:val="24"/>
        </w:rPr>
        <w:t>’</w:t>
      </w:r>
      <w:r w:rsidRPr="00935D1D">
        <w:rPr>
          <w:rFonts w:ascii="Open Sans" w:hAnsi="Open Sans" w:cs="Open Sans"/>
          <w:color w:val="000000"/>
          <w:sz w:val="24"/>
          <w:szCs w:val="24"/>
        </w:rPr>
        <w:t>. De acordo com a referida tese, é valida norma coletiva que limita ou restringe direito trabalhista, desde que não assegurados constitucionalmente, ou seja, as cláusulas normativas não podem ferir um patamar civilizatório mínimo. Desse modo, não se tratando a prorrogação de jornada de direito indisponível há de ser privilegiada a autonomia das partes, conforme previsto no art. 7º, XXVI, da Constituição Federal. Na hipótese, a Corte Regional consigna que a norma coletiva, ao dispor sobre a compensação da jornada de trabalho, previu a possibilidade de labor extraordinário aos sábados com pagamento de adicional superior ao legal. Nesse sentido, não se cogita da invalidade do acordo de compensação e o respectivo pagamento do adicional das horas destinadas à compensação.</w:t>
      </w:r>
      <w:r w:rsidRPr="00935D1D">
        <w:rPr>
          <w:rFonts w:ascii="Open Sans" w:hAnsi="Open Sans" w:cs="Open Sans"/>
          <w:bCs/>
          <w:color w:val="000000"/>
          <w:sz w:val="24"/>
          <w:szCs w:val="24"/>
        </w:rPr>
        <w:t xml:space="preserve"> Recurso de revista conhecido</w:t>
      </w:r>
      <w:bookmarkStart w:id="0" w:name="_GoBack"/>
      <w:bookmarkEnd w:id="0"/>
      <w:r w:rsidRPr="00935D1D">
        <w:rPr>
          <w:rFonts w:ascii="Open Sans" w:hAnsi="Open Sans" w:cs="Open Sans"/>
          <w:bCs/>
          <w:color w:val="000000"/>
          <w:sz w:val="24"/>
          <w:szCs w:val="24"/>
        </w:rPr>
        <w:t xml:space="preserve"> e provido.</w:t>
      </w:r>
      <w:r w:rsidRPr="00935D1D">
        <w:rPr>
          <w:rFonts w:ascii="Open Sans" w:hAnsi="Open Sans" w:cs="Open Sans"/>
          <w:sz w:val="24"/>
          <w:szCs w:val="24"/>
        </w:rPr>
        <w:t>” (</w:t>
      </w:r>
      <w:hyperlink r:id="rId20" w:history="1">
        <w:r w:rsidRPr="00935D1D">
          <w:rPr>
            <w:rFonts w:ascii="Open Sans" w:hAnsi="Open Sans" w:cs="Open Sans"/>
            <w:color w:val="0000FF" w:themeColor="hyperlink"/>
            <w:sz w:val="24"/>
            <w:szCs w:val="24"/>
            <w:u w:val="single"/>
          </w:rPr>
          <w:t>TST-RR-2535-77.2020.5.14.0003, 5ª Turma, rel. Min. Breno Medeiros</w:t>
        </w:r>
        <w:r w:rsidRPr="00935D1D">
          <w:rPr>
            <w:rFonts w:ascii="Open Sans" w:hAnsi="Open Sans" w:cs="Open Sans"/>
            <w:bCs/>
            <w:color w:val="0000FF" w:themeColor="hyperlink"/>
            <w:sz w:val="24"/>
            <w:szCs w:val="24"/>
            <w:u w:val="single"/>
          </w:rPr>
          <w:t>, julgado em 24/5/2023</w:t>
        </w:r>
      </w:hyperlink>
      <w:r>
        <w:rPr>
          <w:rFonts w:ascii="Open Sans" w:hAnsi="Open Sans" w:cs="Open Sans"/>
          <w:sz w:val="24"/>
          <w:szCs w:val="24"/>
        </w:rPr>
        <w:t>)</w:t>
      </w:r>
      <w:r w:rsidRPr="00935D1D">
        <w:rPr>
          <w:rFonts w:ascii="Open Sans" w:hAnsi="Open Sans" w:cs="Open Sans"/>
          <w:bCs/>
          <w:sz w:val="24"/>
          <w:szCs w:val="24"/>
        </w:rPr>
        <w:t xml:space="preserve"> </w:t>
      </w:r>
    </w:p>
    <w:p w:rsidR="00E024F6" w:rsidRPr="00935D1D" w:rsidRDefault="00E024F6" w:rsidP="002828C0">
      <w:pPr>
        <w:ind w:left="-227" w:right="369"/>
        <w:jc w:val="both"/>
        <w:rPr>
          <w:rFonts w:ascii="Open Sans" w:hAnsi="Open Sans" w:cs="Open Sans"/>
          <w:bCs/>
          <w:sz w:val="24"/>
          <w:szCs w:val="24"/>
        </w:rPr>
      </w:pPr>
    </w:p>
    <w:p w:rsidR="00B8258C" w:rsidRPr="00935D1D" w:rsidRDefault="00B8258C" w:rsidP="002828C0">
      <w:pPr>
        <w:ind w:left="-227" w:right="369"/>
        <w:jc w:val="both"/>
        <w:rPr>
          <w:rFonts w:ascii="Open Sans" w:hAnsi="Open Sans" w:cs="Open Sans"/>
          <w:sz w:val="24"/>
          <w:szCs w:val="24"/>
        </w:rPr>
      </w:pPr>
      <w:r w:rsidRPr="00935D1D">
        <w:rPr>
          <w:rFonts w:ascii="Open Sans" w:hAnsi="Open Sans" w:cs="Open Sans"/>
          <w:sz w:val="24"/>
          <w:szCs w:val="24"/>
        </w:rPr>
        <w:t xml:space="preserve">“[...] </w:t>
      </w:r>
      <w:r w:rsidRPr="00935D1D">
        <w:rPr>
          <w:rFonts w:ascii="Open Sans" w:hAnsi="Open Sans" w:cs="Open Sans"/>
          <w:bCs/>
          <w:color w:val="000000"/>
          <w:sz w:val="24"/>
          <w:szCs w:val="24"/>
        </w:rPr>
        <w:t>RECURSO DE REVISTA. HORAS EXTRAS. APLICABILIDADE DA NORMA COLETIVA QUE ATRIBUIU AOS TRABALHADORES QUE EXERCEM ATIVIDADE EXTERNA A EXCEÇÃO DO ART. 62, I, DA CLT. TESE VINCULANTE DO SUPREMO TRIBUNAL FEDERAL FIXADA NO TEMA Nº 1.046 DE REPERCUSSÃO GERAL. TRANSCENDÊNCIA POLÍTICA.</w:t>
      </w:r>
      <w:r w:rsidRPr="00935D1D">
        <w:rPr>
          <w:rFonts w:ascii="Open Sans" w:hAnsi="Open Sans" w:cs="Open Sans"/>
          <w:color w:val="000000"/>
          <w:sz w:val="24"/>
          <w:szCs w:val="24"/>
        </w:rPr>
        <w:t xml:space="preserve"> A Suprema Corte fixou a tese vinculante da constitucionalidade das normas coletivas que afastam direitos trabalhistas, independentemente de vantagens compensatórias explícitas, desde que observados os direitos absolutamente indisponíveis. Na presente hipótese, o instru</w:t>
      </w:r>
      <w:r>
        <w:rPr>
          <w:rFonts w:ascii="Open Sans" w:hAnsi="Open Sans" w:cs="Open Sans"/>
          <w:color w:val="000000"/>
          <w:sz w:val="24"/>
          <w:szCs w:val="24"/>
        </w:rPr>
        <w:t>mento coletivo estabeleceu que ‘</w:t>
      </w:r>
      <w:r w:rsidRPr="0056682C">
        <w:rPr>
          <w:rFonts w:ascii="Open Sans" w:hAnsi="Open Sans" w:cs="Open Sans"/>
          <w:iCs/>
          <w:color w:val="000000"/>
          <w:sz w:val="24"/>
          <w:szCs w:val="24"/>
        </w:rPr>
        <w:t>as partes aceitam e reconhecem que os empregados representados pelo SINDICATO acordante, que exercerem função externa e por terem total autonomia para definir seus horários de início e término de trabalho, assim como a forma de cumprimento de seu itinerário, não são subordinados a horário de trabalho, conforme preceitua o inciso I do art. 62 da CLT</w:t>
      </w:r>
      <w:r w:rsidRPr="00935D1D">
        <w:rPr>
          <w:rFonts w:ascii="Open Sans" w:hAnsi="Open Sans" w:cs="Open Sans"/>
          <w:i/>
          <w:iCs/>
          <w:color w:val="000000"/>
          <w:sz w:val="24"/>
          <w:szCs w:val="24"/>
        </w:rPr>
        <w:t>.</w:t>
      </w:r>
      <w:r>
        <w:rPr>
          <w:rFonts w:ascii="Open Sans" w:hAnsi="Open Sans" w:cs="Open Sans"/>
          <w:color w:val="000000"/>
          <w:sz w:val="24"/>
          <w:szCs w:val="24"/>
        </w:rPr>
        <w:t>’</w:t>
      </w:r>
      <w:r w:rsidRPr="00935D1D">
        <w:rPr>
          <w:rFonts w:ascii="Open Sans" w:hAnsi="Open Sans" w:cs="Open Sans"/>
          <w:color w:val="000000"/>
          <w:sz w:val="24"/>
          <w:szCs w:val="24"/>
        </w:rPr>
        <w:t xml:space="preserve"> Tal previsão não está circunscrita a direito absolutamente indisponível, tampouco constitui objeto ilícito, na esteira do rol do art. 611-B da CLT, com redação conferida pela Lei nº 13.467/2017. Nesse sentir, não há como desprestigiar a autonomia da vontade coletiva das partes, passando-se ao exame da exclusão do reclamante da norma pela Corte local. Com a devida vênia do Tribunal Regional, as premissas expressamente consignadas no acórdão que examinou o recurso ordinário do autor não importam na existência de um roteiro preestabelecido que indique a possibilidade de controle da jornada. O fato de a jornada de trabalho iniciar e terminar no estabelecimento do empregador em alguns dias; a existência de metas e de roteiros de visitação, de registros de atendimentos em dispositivos eletrônicos, sem dados objetivos de horários e de duração dos atendimentos; de um aparelho celular que permita uma comunicação entre empregado e empregador, caso necessária; e, por derradeiro, de um sistema de rastreamento de segurança em apenas alguns veículos da empresa, não afastam a autonomia do empregado </w:t>
      </w:r>
      <w:r>
        <w:rPr>
          <w:rFonts w:ascii="Open Sans" w:hAnsi="Open Sans" w:cs="Open Sans"/>
          <w:color w:val="000000"/>
          <w:sz w:val="24"/>
          <w:szCs w:val="24"/>
        </w:rPr>
        <w:t>‘</w:t>
      </w:r>
      <w:r w:rsidRPr="0056682C">
        <w:rPr>
          <w:rFonts w:ascii="Open Sans" w:hAnsi="Open Sans" w:cs="Open Sans"/>
          <w:color w:val="000000"/>
          <w:sz w:val="24"/>
          <w:szCs w:val="24"/>
        </w:rPr>
        <w:t>p</w:t>
      </w:r>
      <w:r w:rsidRPr="0056682C">
        <w:rPr>
          <w:rFonts w:ascii="Open Sans" w:hAnsi="Open Sans" w:cs="Open Sans"/>
          <w:iCs/>
          <w:color w:val="000000"/>
          <w:sz w:val="24"/>
          <w:szCs w:val="24"/>
        </w:rPr>
        <w:t>ara definir seus horários de início e término de trabalho, assim como a forma de cumprimento de seu itinerário</w:t>
      </w:r>
      <w:r>
        <w:rPr>
          <w:rFonts w:ascii="Open Sans" w:hAnsi="Open Sans" w:cs="Open Sans"/>
          <w:color w:val="000000"/>
          <w:sz w:val="24"/>
          <w:szCs w:val="24"/>
        </w:rPr>
        <w:t>’</w:t>
      </w:r>
      <w:r w:rsidRPr="00935D1D">
        <w:rPr>
          <w:rFonts w:ascii="Open Sans" w:hAnsi="Open Sans" w:cs="Open Sans"/>
          <w:color w:val="000000"/>
          <w:sz w:val="24"/>
          <w:szCs w:val="24"/>
        </w:rPr>
        <w:t xml:space="preserve"> expressamente prevista no instrumento coletivo. O Tribunal Regional, ao afastar a </w:t>
      </w:r>
      <w:r w:rsidRPr="00935D1D">
        <w:rPr>
          <w:rFonts w:ascii="Open Sans" w:hAnsi="Open Sans" w:cs="Open Sans"/>
          <w:color w:val="000000"/>
          <w:sz w:val="24"/>
          <w:szCs w:val="24"/>
        </w:rPr>
        <w:lastRenderedPageBreak/>
        <w:t xml:space="preserve">norma coletiva que atribuiu aos trabalhadores que exercem atividade externa a exceção do inciso I do art. 62 da CLT, acabou por desprestigiar a autonomia da vontade coletiva das partes, decidindo de forma contrária à tese vinculante do Supremo Tribunal Federal firmada no Tema nº 1.046 da Tabela de Repercussão Geral, restando configurada a </w:t>
      </w:r>
      <w:r w:rsidRPr="00935D1D">
        <w:rPr>
          <w:rFonts w:ascii="Open Sans" w:hAnsi="Open Sans" w:cs="Open Sans"/>
          <w:bCs/>
          <w:color w:val="000000"/>
          <w:sz w:val="24"/>
          <w:szCs w:val="24"/>
        </w:rPr>
        <w:t>transcendência política</w:t>
      </w:r>
      <w:r w:rsidRPr="00935D1D">
        <w:rPr>
          <w:rFonts w:ascii="Open Sans" w:hAnsi="Open Sans" w:cs="Open Sans"/>
          <w:color w:val="000000"/>
          <w:sz w:val="24"/>
          <w:szCs w:val="24"/>
        </w:rPr>
        <w:t xml:space="preserve"> da matéria. </w:t>
      </w:r>
      <w:r w:rsidRPr="00935D1D">
        <w:rPr>
          <w:rFonts w:ascii="Open Sans" w:hAnsi="Open Sans" w:cs="Open Sans"/>
          <w:bCs/>
          <w:color w:val="000000"/>
          <w:sz w:val="24"/>
          <w:szCs w:val="24"/>
        </w:rPr>
        <w:t>Recurso de revista conhecido e provido.</w:t>
      </w:r>
      <w:r w:rsidRPr="00935D1D">
        <w:rPr>
          <w:rFonts w:ascii="Open Sans" w:hAnsi="Open Sans" w:cs="Open Sans"/>
          <w:sz w:val="24"/>
          <w:szCs w:val="24"/>
        </w:rPr>
        <w:t>” (</w:t>
      </w:r>
      <w:hyperlink r:id="rId21" w:history="1">
        <w:r w:rsidRPr="00935D1D">
          <w:rPr>
            <w:rFonts w:ascii="Open Sans" w:hAnsi="Open Sans" w:cs="Open Sans"/>
            <w:color w:val="0000FF" w:themeColor="hyperlink"/>
            <w:sz w:val="24"/>
            <w:szCs w:val="24"/>
            <w:u w:val="single"/>
          </w:rPr>
          <w:t>TST-RRAg-20364-97.2018.5.04.0010, 5ª Turma, rel. Min. Breno Medeiros</w:t>
        </w:r>
        <w:r w:rsidRPr="00935D1D">
          <w:rPr>
            <w:rFonts w:ascii="Open Sans" w:hAnsi="Open Sans" w:cs="Open Sans"/>
            <w:bCs/>
            <w:color w:val="0000FF" w:themeColor="hyperlink"/>
            <w:sz w:val="24"/>
            <w:szCs w:val="24"/>
            <w:u w:val="single"/>
          </w:rPr>
          <w:t>, julgado em 24/5/2023</w:t>
        </w:r>
      </w:hyperlink>
      <w:r>
        <w:rPr>
          <w:rFonts w:ascii="Open Sans" w:hAnsi="Open Sans" w:cs="Open Sans"/>
          <w:sz w:val="24"/>
          <w:szCs w:val="24"/>
        </w:rPr>
        <w:t>)</w:t>
      </w:r>
      <w:r w:rsidRPr="00935D1D">
        <w:rPr>
          <w:rFonts w:ascii="Open Sans" w:hAnsi="Open Sans" w:cs="Open Sans"/>
          <w:bCs/>
          <w:sz w:val="24"/>
          <w:szCs w:val="24"/>
        </w:rPr>
        <w:t xml:space="preserve"> </w:t>
      </w:r>
    </w:p>
    <w:p w:rsidR="00B8258C" w:rsidRPr="00935D1D" w:rsidRDefault="00B8258C" w:rsidP="002828C0">
      <w:pPr>
        <w:ind w:left="-227" w:right="369"/>
        <w:jc w:val="both"/>
        <w:rPr>
          <w:rFonts w:ascii="Open Sans" w:hAnsi="Open Sans" w:cs="Open Sans"/>
          <w:bCs/>
          <w:sz w:val="24"/>
          <w:szCs w:val="24"/>
        </w:rPr>
      </w:pPr>
    </w:p>
    <w:p w:rsidR="00B8258C" w:rsidRPr="00935D1D" w:rsidRDefault="00B8258C" w:rsidP="002828C0">
      <w:pPr>
        <w:ind w:left="-227" w:right="369"/>
        <w:jc w:val="both"/>
        <w:rPr>
          <w:rFonts w:ascii="Open Sans" w:hAnsi="Open Sans" w:cs="Open Sans"/>
          <w:sz w:val="24"/>
          <w:szCs w:val="24"/>
        </w:rPr>
      </w:pPr>
      <w:r w:rsidRPr="00935D1D">
        <w:rPr>
          <w:rFonts w:ascii="Open Sans" w:hAnsi="Open Sans" w:cs="Open Sans"/>
          <w:sz w:val="24"/>
          <w:szCs w:val="24"/>
        </w:rPr>
        <w:t xml:space="preserve">“[...] </w:t>
      </w:r>
      <w:r w:rsidRPr="00935D1D">
        <w:rPr>
          <w:rFonts w:ascii="Open Sans" w:hAnsi="Open Sans" w:cs="Open Sans"/>
          <w:bCs/>
          <w:color w:val="000000"/>
          <w:sz w:val="24"/>
          <w:szCs w:val="24"/>
        </w:rPr>
        <w:t xml:space="preserve">RECURSO DE REVISTA. ACÓRDÃO PUBLICADO NA VIGÊNCIA DA LEI Nº 13.467/2017. ESTABILIDADE PRÉ-APOSENTADORIA. EXIGÊNCIA DE COMUNICAÇÃO AO EMPREGADOR PREVISTA EM NORMA COLETIVA. TESE VINCULANTE DO SUPREMO TRIBUNAL FEDERAL FIXADA NO TEMA Nº 1.046 DE REPERCUSSÃO GERAL. TRANSCENDÊNCIA POLÍTICA. </w:t>
      </w:r>
      <w:r w:rsidRPr="00935D1D">
        <w:rPr>
          <w:rFonts w:ascii="Open Sans" w:hAnsi="Open Sans" w:cs="Open Sans"/>
          <w:color w:val="000000"/>
          <w:sz w:val="24"/>
          <w:szCs w:val="24"/>
        </w:rPr>
        <w:t xml:space="preserve">O e. TRT, reformando a sentença de origem, reconheceu o direito do reclamante à estabilidade pré-aposentadoria, registrando, quanto ao requisito de comunicação formal previsto na norma coletiva para implementação do referido </w:t>
      </w:r>
      <w:r>
        <w:rPr>
          <w:rFonts w:ascii="Open Sans" w:hAnsi="Open Sans" w:cs="Open Sans"/>
          <w:color w:val="000000"/>
          <w:sz w:val="24"/>
          <w:szCs w:val="24"/>
        </w:rPr>
        <w:t>direito, que ‘</w:t>
      </w:r>
      <w:r w:rsidRPr="0056682C">
        <w:rPr>
          <w:rFonts w:ascii="Open Sans" w:hAnsi="Open Sans" w:cs="Open Sans"/>
          <w:iCs/>
          <w:color w:val="000000"/>
          <w:sz w:val="24"/>
          <w:szCs w:val="24"/>
        </w:rPr>
        <w:t>a ausência de comunicação da aquisição do direito a estabilidade, não impossibilita seu reconhecimento, porquanto, a despedida é conduzida pela empregadora, à qual compete verificar eventuais garantias provisórias de emprego</w:t>
      </w:r>
      <w:r>
        <w:rPr>
          <w:rFonts w:ascii="Open Sans" w:hAnsi="Open Sans" w:cs="Open Sans"/>
          <w:color w:val="000000"/>
          <w:sz w:val="24"/>
          <w:szCs w:val="24"/>
        </w:rPr>
        <w:t>’</w:t>
      </w:r>
      <w:r w:rsidRPr="00935D1D">
        <w:rPr>
          <w:rFonts w:ascii="Open Sans" w:hAnsi="Open Sans" w:cs="Open Sans"/>
          <w:color w:val="000000"/>
          <w:sz w:val="24"/>
          <w:szCs w:val="24"/>
        </w:rPr>
        <w:t>. A jurisprudência desta Corte orientava-se no sentido de que, preenchidos os demais requisitos constantes da norma coletiva, deveria ser reconhecida a estabilidade pré-aposentadoria do empregado, ainda que este tenha inobservado a disposição, também prevista em instrumento normativo, de comunicação formal ao empregador qua</w:t>
      </w:r>
      <w:r>
        <w:rPr>
          <w:rFonts w:ascii="Open Sans" w:hAnsi="Open Sans" w:cs="Open Sans"/>
          <w:color w:val="000000"/>
          <w:sz w:val="24"/>
          <w:szCs w:val="24"/>
        </w:rPr>
        <w:t>nto ao fato de se encontrar em ‘</w:t>
      </w:r>
      <w:r w:rsidRPr="0056682C">
        <w:rPr>
          <w:rFonts w:ascii="Open Sans" w:hAnsi="Open Sans" w:cs="Open Sans"/>
          <w:iCs/>
          <w:color w:val="000000"/>
          <w:sz w:val="24"/>
          <w:szCs w:val="24"/>
        </w:rPr>
        <w:t>período de pré-aposentadoria</w:t>
      </w:r>
      <w:r w:rsidRPr="0056682C">
        <w:rPr>
          <w:rFonts w:ascii="Open Sans" w:hAnsi="Open Sans" w:cs="Open Sans"/>
          <w:color w:val="000000"/>
          <w:sz w:val="24"/>
          <w:szCs w:val="24"/>
        </w:rPr>
        <w:t>’</w:t>
      </w:r>
      <w:r w:rsidRPr="00935D1D">
        <w:rPr>
          <w:rFonts w:ascii="Open Sans" w:hAnsi="Open Sans" w:cs="Open Sans"/>
          <w:color w:val="000000"/>
          <w:sz w:val="24"/>
          <w:szCs w:val="24"/>
        </w:rPr>
        <w:t>. Ocorre que o e. STF, no recente julgamento do Tema 1046 da Repercussão Geral, f</w:t>
      </w:r>
      <w:r>
        <w:rPr>
          <w:rFonts w:ascii="Open Sans" w:hAnsi="Open Sans" w:cs="Open Sans"/>
          <w:color w:val="000000"/>
          <w:sz w:val="24"/>
          <w:szCs w:val="24"/>
        </w:rPr>
        <w:t>ixou a seguinte tese jurídica: ‘</w:t>
      </w:r>
      <w:r w:rsidRPr="00915591">
        <w:rPr>
          <w:rFonts w:ascii="Open Sans" w:hAnsi="Open Sans" w:cs="Open Sans"/>
          <w:iCs/>
          <w:color w:val="000000"/>
          <w:sz w:val="24"/>
          <w:szCs w:val="24"/>
        </w:rPr>
        <w:t>São constitucionais os acordos e as convenções coletivas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color w:val="000000"/>
          <w:sz w:val="24"/>
          <w:szCs w:val="24"/>
        </w:rPr>
        <w:t>’</w:t>
      </w:r>
      <w:r w:rsidRPr="00935D1D">
        <w:rPr>
          <w:rFonts w:ascii="Open Sans" w:hAnsi="Open Sans" w:cs="Open Sans"/>
          <w:color w:val="000000"/>
          <w:sz w:val="24"/>
          <w:szCs w:val="24"/>
        </w:rPr>
        <w:t>. De acordo com a referida tese, é valida norma coletiva que limita ou restringe direito trabalhista, desde que não assegurados constitucionalmente, ou seja, as cláusulas normativas não podem ferir um patamar civilizatório mínimo. Desse modo, não se tratando a estabilidade pré-aposentadoria de direito indisponível há de ser privilegiada a autonomia das partes, conforme previsto no art. 7º, XXVI, da Constituição Federal. Na hipótese, a Corte Regional consigna que a norma coletiva, ao dispor sobre a estabilidade pré-aposentadoria, estabeleceu a necessidade de o trabalhador comprovar o fato de se encontrar a um máximo de 12 (doze) meses da aquisição do direito, em seus prazos mínimos. O Tribunal Regional, ao não aplicar a literalidade do item “a” da Cláusula 38ª da CC</w:t>
      </w:r>
      <w:r>
        <w:rPr>
          <w:rFonts w:ascii="Open Sans" w:hAnsi="Open Sans" w:cs="Open Sans"/>
          <w:color w:val="000000"/>
          <w:sz w:val="24"/>
          <w:szCs w:val="24"/>
        </w:rPr>
        <w:t>T da categoria, concluindo que ‘</w:t>
      </w:r>
      <w:r w:rsidRPr="00915591">
        <w:rPr>
          <w:rFonts w:ascii="Open Sans" w:hAnsi="Open Sans" w:cs="Open Sans"/>
          <w:iCs/>
          <w:color w:val="000000"/>
          <w:sz w:val="24"/>
          <w:szCs w:val="24"/>
        </w:rPr>
        <w:t>a ausência de comunicação da aquisição do direito a estabilidade, não impossibilita seu reconhecimento</w:t>
      </w:r>
      <w:r>
        <w:rPr>
          <w:rFonts w:ascii="Open Sans" w:hAnsi="Open Sans" w:cs="Open Sans"/>
          <w:color w:val="000000"/>
          <w:sz w:val="24"/>
          <w:szCs w:val="24"/>
        </w:rPr>
        <w:t>’</w:t>
      </w:r>
      <w:r w:rsidRPr="00935D1D">
        <w:rPr>
          <w:rFonts w:ascii="Open Sans" w:hAnsi="Open Sans" w:cs="Open Sans"/>
          <w:color w:val="000000"/>
          <w:sz w:val="24"/>
          <w:szCs w:val="24"/>
        </w:rPr>
        <w:t xml:space="preserve">, decidiu de forma contrária à tese vinculante do Supremo Tribunal Federal firmada no Tema nº 1.046 da Tabela de Repercussão Geral, restando configurada a transcendência política da matéria. </w:t>
      </w:r>
      <w:r w:rsidRPr="00935D1D">
        <w:rPr>
          <w:rFonts w:ascii="Open Sans" w:hAnsi="Open Sans" w:cs="Open Sans"/>
          <w:bCs/>
          <w:color w:val="000000"/>
          <w:sz w:val="24"/>
          <w:szCs w:val="24"/>
        </w:rPr>
        <w:t>Recurso de revista conhecido e provido</w:t>
      </w:r>
      <w:r w:rsidRPr="00935D1D">
        <w:rPr>
          <w:rFonts w:ascii="Open Sans" w:hAnsi="Open Sans" w:cs="Open Sans"/>
          <w:sz w:val="24"/>
          <w:szCs w:val="24"/>
        </w:rPr>
        <w:t>.” (</w:t>
      </w:r>
      <w:hyperlink r:id="rId22" w:history="1">
        <w:r w:rsidRPr="00935D1D">
          <w:rPr>
            <w:rFonts w:ascii="Open Sans" w:hAnsi="Open Sans" w:cs="Open Sans"/>
            <w:color w:val="0000FF" w:themeColor="hyperlink"/>
            <w:sz w:val="24"/>
            <w:szCs w:val="24"/>
            <w:u w:val="single"/>
          </w:rPr>
          <w:t>TST-RRAg-1001240-19.2018.5.02.0382, 5ª Turma, rel. Min. Breno Medeiros</w:t>
        </w:r>
        <w:r w:rsidRPr="00935D1D">
          <w:rPr>
            <w:rFonts w:ascii="Open Sans" w:hAnsi="Open Sans" w:cs="Open Sans"/>
            <w:bCs/>
            <w:color w:val="0000FF" w:themeColor="hyperlink"/>
            <w:sz w:val="24"/>
            <w:szCs w:val="24"/>
            <w:u w:val="single"/>
          </w:rPr>
          <w:t>, julgado em 24/5/2023</w:t>
        </w:r>
      </w:hyperlink>
      <w:r>
        <w:rPr>
          <w:rFonts w:ascii="Open Sans" w:hAnsi="Open Sans" w:cs="Open Sans"/>
          <w:sz w:val="24"/>
          <w:szCs w:val="24"/>
        </w:rPr>
        <w:t>)</w:t>
      </w:r>
    </w:p>
    <w:p w:rsidR="00B8258C" w:rsidRPr="00935D1D" w:rsidRDefault="00B8258C" w:rsidP="002828C0">
      <w:pPr>
        <w:ind w:left="-227" w:right="369"/>
        <w:jc w:val="both"/>
        <w:rPr>
          <w:rFonts w:ascii="Open Sans" w:hAnsi="Open Sans" w:cs="Open Sans"/>
          <w:sz w:val="24"/>
          <w:szCs w:val="24"/>
        </w:rPr>
      </w:pPr>
    </w:p>
    <w:p w:rsidR="00B8258C" w:rsidRPr="00935D1D" w:rsidRDefault="00B8258C" w:rsidP="002828C0">
      <w:pPr>
        <w:ind w:left="-227" w:right="369"/>
        <w:jc w:val="both"/>
        <w:rPr>
          <w:rFonts w:ascii="Open Sans" w:hAnsi="Open Sans" w:cs="Open Sans"/>
          <w:sz w:val="24"/>
          <w:szCs w:val="24"/>
        </w:rPr>
      </w:pPr>
      <w:r w:rsidRPr="00935D1D">
        <w:rPr>
          <w:rFonts w:ascii="Open Sans" w:hAnsi="Open Sans" w:cs="Open Sans"/>
          <w:bCs/>
          <w:color w:val="000000"/>
          <w:sz w:val="24"/>
          <w:szCs w:val="24"/>
          <w:shd w:val="clear" w:color="auto" w:fill="FFFFFF"/>
        </w:rPr>
        <w:lastRenderedPageBreak/>
        <w:t>“</w:t>
      </w:r>
      <w:r w:rsidRPr="00915591">
        <w:rPr>
          <w:rFonts w:ascii="Open Sans" w:hAnsi="Open Sans" w:cs="Open Sans"/>
          <w:bCs/>
          <w:color w:val="000000"/>
          <w:sz w:val="24"/>
          <w:szCs w:val="24"/>
        </w:rPr>
        <w:t>RECURSO DE REVISTA ANTERIOR À LEI 13.015/2014. NOTÍCIA SOBRE ADESÃO DO EMPREGADO AO PLANO DE DESLIGAMENTO INCENTIVADO – PDI/2014 - APPA. FATO NOVO. QUITAÇÃO AMPLA E IRRESTRITA DO CONTRATO DE TRABALHO PREVISTA EM NORMA COLETIVA. EXTINÇÃO DO FEITO COM RESOLUÇÃO DE MÉRITO.</w:t>
      </w:r>
      <w:r w:rsidRPr="00935D1D">
        <w:rPr>
          <w:rFonts w:ascii="Open Sans" w:hAnsi="Open Sans" w:cs="Open Sans"/>
          <w:color w:val="000000"/>
          <w:sz w:val="24"/>
          <w:szCs w:val="24"/>
        </w:rPr>
        <w:t xml:space="preserve"> A Administração dos Portos de Paranaguá e Antonina - APPA - apresentou petição, por meio da qual requereu a extinção do feito com resolução de mérito, nos termos do art. 269, III, do CPC de 1973, em razão da existência de transação extrajudicial, consubstanciada na adesão do autor ao plano de desligamento incentivado (PDI/2014) implementado no âmbito da empresa, por meio de acordo coletivo firmado com o SINTRAPORT, oportunidade na qual foi dada quitação ampla e irrestrita às verbas decorrentes do contrato de trabalho. A Subseção I Especializada em Dissídios Individuais do TST, em sua composição plena, no julgamento do E-ARR-693-94.2012.5.09.0322, Relator Ministro Claudio Mascarenhas Brandão, DEJT 31/05/2019, estabeleceu a tese de que só é possível a análise de fato novo por esta Corte, se for conhecido o recurso de revista. Assim, os efeitos da alegada adesão ao PDV pelo reclamante só podem ser objeto de análise se houver conhecimento do recurso de revista. No caso sob análise, tendo em vista o conhecimento do recurso de r</w:t>
      </w:r>
      <w:r>
        <w:rPr>
          <w:rFonts w:ascii="Open Sans" w:hAnsi="Open Sans" w:cs="Open Sans"/>
          <w:color w:val="000000"/>
          <w:sz w:val="24"/>
          <w:szCs w:val="24"/>
        </w:rPr>
        <w:t>evista do reclamante no tópico ‘forma de execução contra a APPA’</w:t>
      </w:r>
      <w:r w:rsidRPr="00935D1D">
        <w:rPr>
          <w:rFonts w:ascii="Open Sans" w:hAnsi="Open Sans" w:cs="Open Sans"/>
          <w:color w:val="000000"/>
          <w:sz w:val="24"/>
          <w:szCs w:val="24"/>
        </w:rPr>
        <w:t>, por contrariedade à OJ nº 87 da SBDI-1 do TST, passa-se à análise da matéria relativa ao fato novo arguido pela reclamada. O recurso de revista da APPA, ainda pendente de apreciação nesta Corte Superior, foi interposto em 21/03/2012, antes, portanto, da implantação do PDI/2014, datado de setembro de 2014. De acordo com a documentação que instrui a petição em exame, a APPA instituiu o programa de desligamento incentivado em setembro de 2014, regulamentando-o por meio do Acordo Coletivo de Trabalho 2014-2016. Na Cláusula 10 do menc</w:t>
      </w:r>
      <w:r>
        <w:rPr>
          <w:rFonts w:ascii="Open Sans" w:hAnsi="Open Sans" w:cs="Open Sans"/>
          <w:color w:val="000000"/>
          <w:sz w:val="24"/>
          <w:szCs w:val="24"/>
        </w:rPr>
        <w:t>ionado acordo coletivo consta: ‘</w:t>
      </w:r>
      <w:r w:rsidRPr="00935D1D">
        <w:rPr>
          <w:rFonts w:ascii="Open Sans" w:hAnsi="Open Sans" w:cs="Open Sans"/>
          <w:color w:val="000000"/>
          <w:sz w:val="24"/>
          <w:szCs w:val="24"/>
        </w:rPr>
        <w:t>O empregado público dará quitação plena, em caráter geral e irrevogável dos direitos oriundos da relação de emprego extintos com esta rescisão contratual</w:t>
      </w:r>
      <w:r>
        <w:rPr>
          <w:rFonts w:ascii="Open Sans" w:hAnsi="Open Sans" w:cs="Open Sans"/>
          <w:color w:val="000000"/>
          <w:sz w:val="24"/>
          <w:szCs w:val="24"/>
        </w:rPr>
        <w:t>’</w:t>
      </w:r>
      <w:r w:rsidRPr="00935D1D">
        <w:rPr>
          <w:rFonts w:ascii="Open Sans" w:hAnsi="Open Sans" w:cs="Open Sans"/>
          <w:color w:val="000000"/>
          <w:sz w:val="24"/>
          <w:szCs w:val="24"/>
        </w:rPr>
        <w:t xml:space="preserve">. Extrai-se, dos documentos juntados, guardar a situação ora em análise sintonia com a apreciada pelo Supremo Tribunal Federal, no </w:t>
      </w:r>
      <w:r w:rsidRPr="00935D1D">
        <w:rPr>
          <w:rFonts w:ascii="Open Sans" w:hAnsi="Open Sans" w:cs="Open Sans"/>
          <w:i/>
          <w:iCs/>
          <w:color w:val="000000"/>
          <w:sz w:val="24"/>
          <w:szCs w:val="24"/>
        </w:rPr>
        <w:t>leading case</w:t>
      </w:r>
      <w:r w:rsidRPr="00935D1D">
        <w:rPr>
          <w:rFonts w:ascii="Open Sans" w:hAnsi="Open Sans" w:cs="Open Sans"/>
          <w:color w:val="000000"/>
          <w:sz w:val="24"/>
          <w:szCs w:val="24"/>
        </w:rPr>
        <w:t xml:space="preserve"> do Tema 152 da Tabela de Repercussão Geral, qual seja, o RE 590.415/SC (DJe de 29/05/2015), de relatoria do Excelentíssimo Ministro Luís Roberto Barroso. O entendimento firmado pelo STF, em sede de repercussão geral, e, portanto, com caráter vinculante, nos termos dos arts. 543-A, e seguintes, do CPC de 1973 (arts. 1.035 e seguintes </w:t>
      </w:r>
      <w:r>
        <w:rPr>
          <w:rFonts w:ascii="Open Sans" w:hAnsi="Open Sans" w:cs="Open Sans"/>
          <w:color w:val="000000"/>
          <w:sz w:val="24"/>
          <w:szCs w:val="24"/>
        </w:rPr>
        <w:t>do CPC), foi no sentido de que ‘</w:t>
      </w:r>
      <w:r w:rsidRPr="00935D1D">
        <w:rPr>
          <w:rFonts w:ascii="Open Sans" w:hAnsi="Open Sans" w:cs="Open Sans"/>
          <w:color w:val="000000"/>
          <w:sz w:val="24"/>
          <w:szCs w:val="24"/>
        </w:rPr>
        <w:t>a transação extrajudicial que importa rescisão do contrato de trabalho, em razão de adesão voluntária do empregado a plano de dispensa incentivada, enseja quitação ampla e irrestrita de todas as parcelas objeto do contrato de emprego, caso essa condição tenha constado expressamente do acordo coletivo que aprovou o plano, bem como dos demais instrume</w:t>
      </w:r>
      <w:r>
        <w:rPr>
          <w:rFonts w:ascii="Open Sans" w:hAnsi="Open Sans" w:cs="Open Sans"/>
          <w:color w:val="000000"/>
          <w:sz w:val="24"/>
          <w:szCs w:val="24"/>
        </w:rPr>
        <w:t>ntos celebrados com o empregado’</w:t>
      </w:r>
      <w:r w:rsidRPr="00935D1D">
        <w:rPr>
          <w:rFonts w:ascii="Open Sans" w:hAnsi="Open Sans" w:cs="Open Sans"/>
          <w:color w:val="000000"/>
          <w:sz w:val="24"/>
          <w:szCs w:val="24"/>
        </w:rPr>
        <w:t xml:space="preserve">. Logo, extrai-se da documentação trazida ao conhecimento desta Corte estarem presentes todos os elementos pontuados pela decisão do Supremo Tribunal Federal, devendo, portanto, ser reconhecida a ocorrência de transação superveniente entre as partes, mediante adesão voluntária do autor ao PDI/2014, com quitação ampla e irrestrita de todas as parcelas objeto do extinto contrato de emprego, inclusive daquelas pleiteadas nos presentes autos. Há precedentes. Defere-se o requerimento contido na petição avulsa trazida pela APPA, para acolher a arguição de fato novo e julgar extinto o processo, com resolução de mérito, nos termos do art. 487, III, </w:t>
      </w:r>
      <w:r>
        <w:rPr>
          <w:rFonts w:ascii="Open Sans" w:hAnsi="Open Sans" w:cs="Open Sans"/>
          <w:color w:val="000000"/>
          <w:sz w:val="24"/>
          <w:szCs w:val="24"/>
        </w:rPr>
        <w:t>“</w:t>
      </w:r>
      <w:r w:rsidRPr="007D71AF">
        <w:rPr>
          <w:rFonts w:ascii="Open Sans" w:hAnsi="Open Sans" w:cs="Open Sans"/>
          <w:iCs/>
          <w:color w:val="000000"/>
          <w:sz w:val="24"/>
          <w:szCs w:val="24"/>
        </w:rPr>
        <w:t>b</w:t>
      </w:r>
      <w:r>
        <w:rPr>
          <w:rFonts w:ascii="Open Sans" w:hAnsi="Open Sans" w:cs="Open Sans"/>
          <w:iCs/>
          <w:color w:val="000000"/>
          <w:sz w:val="24"/>
          <w:szCs w:val="24"/>
        </w:rPr>
        <w:t>”</w:t>
      </w:r>
      <w:r w:rsidRPr="00935D1D">
        <w:rPr>
          <w:rFonts w:ascii="Open Sans" w:hAnsi="Open Sans" w:cs="Open Sans"/>
          <w:color w:val="000000"/>
          <w:sz w:val="24"/>
          <w:szCs w:val="24"/>
        </w:rPr>
        <w:t xml:space="preserve">, do CPC (art. 269, III, do CPC de 1973). Prejudicada a análise </w:t>
      </w:r>
      <w:r w:rsidRPr="00935D1D">
        <w:rPr>
          <w:rFonts w:ascii="Open Sans" w:hAnsi="Open Sans" w:cs="Open Sans"/>
          <w:color w:val="000000"/>
          <w:sz w:val="24"/>
          <w:szCs w:val="24"/>
        </w:rPr>
        <w:lastRenderedPageBreak/>
        <w:t>do agravo de instrumento da reclamada e do mérito do recurso de revista do reclamante.</w:t>
      </w:r>
      <w:r w:rsidRPr="00935D1D">
        <w:rPr>
          <w:rFonts w:ascii="Open Sans" w:hAnsi="Open Sans" w:cs="Open Sans"/>
          <w:bCs/>
          <w:color w:val="000000"/>
          <w:sz w:val="24"/>
          <w:szCs w:val="24"/>
          <w:shd w:val="clear" w:color="auto" w:fill="FFFFFF"/>
        </w:rPr>
        <w:t xml:space="preserve">” </w:t>
      </w:r>
      <w:r w:rsidRPr="00935D1D">
        <w:rPr>
          <w:rFonts w:ascii="Open Sans" w:hAnsi="Open Sans" w:cs="Open Sans"/>
          <w:sz w:val="24"/>
          <w:szCs w:val="24"/>
        </w:rPr>
        <w:t>(</w:t>
      </w:r>
      <w:hyperlink r:id="rId23" w:history="1">
        <w:r w:rsidRPr="00935D1D">
          <w:rPr>
            <w:rFonts w:ascii="Open Sans" w:hAnsi="Open Sans" w:cs="Open Sans"/>
            <w:bCs/>
            <w:color w:val="0000FF" w:themeColor="hyperlink"/>
            <w:sz w:val="24"/>
            <w:szCs w:val="24"/>
            <w:u w:val="single"/>
          </w:rPr>
          <w:t>TST-ARR-592-21.2011.5.09.0022</w:t>
        </w:r>
        <w:r w:rsidRPr="00935D1D">
          <w:rPr>
            <w:rFonts w:ascii="Open Sans" w:hAnsi="Open Sans" w:cs="Open Sans"/>
            <w:color w:val="0000FF" w:themeColor="hyperlink"/>
            <w:sz w:val="24"/>
            <w:szCs w:val="24"/>
            <w:u w:val="single"/>
          </w:rPr>
          <w:t xml:space="preserve">, 6ª Turma, rel. Min. </w:t>
        </w:r>
        <w:r>
          <w:rPr>
            <w:rFonts w:ascii="Open Sans" w:hAnsi="Open Sans" w:cs="Open Sans"/>
            <w:bCs/>
            <w:color w:val="0000FF" w:themeColor="hyperlink"/>
            <w:sz w:val="24"/>
            <w:szCs w:val="24"/>
            <w:u w:val="single"/>
          </w:rPr>
          <w:t>Augusto César Leite d</w:t>
        </w:r>
        <w:r w:rsidRPr="00935D1D">
          <w:rPr>
            <w:rFonts w:ascii="Open Sans" w:hAnsi="Open Sans" w:cs="Open Sans"/>
            <w:bCs/>
            <w:color w:val="0000FF" w:themeColor="hyperlink"/>
            <w:sz w:val="24"/>
            <w:szCs w:val="24"/>
            <w:u w:val="single"/>
          </w:rPr>
          <w:t>e Carvalho, julgado em 17/5/2023</w:t>
        </w:r>
      </w:hyperlink>
      <w:r w:rsidRPr="00935D1D">
        <w:rPr>
          <w:rFonts w:ascii="Open Sans" w:hAnsi="Open Sans" w:cs="Open Sans"/>
          <w:sz w:val="24"/>
          <w:szCs w:val="24"/>
        </w:rPr>
        <w:t>)</w:t>
      </w:r>
    </w:p>
    <w:p w:rsidR="00B8258C" w:rsidRPr="00935D1D" w:rsidRDefault="00B8258C" w:rsidP="002828C0">
      <w:pPr>
        <w:ind w:left="-227" w:right="369"/>
        <w:jc w:val="both"/>
        <w:rPr>
          <w:rFonts w:ascii="Open Sans" w:hAnsi="Open Sans" w:cs="Open Sans"/>
          <w:sz w:val="24"/>
          <w:szCs w:val="24"/>
        </w:rPr>
      </w:pPr>
    </w:p>
    <w:p w:rsidR="00B8258C" w:rsidRPr="00935D1D" w:rsidRDefault="00B8258C" w:rsidP="002828C0">
      <w:pPr>
        <w:ind w:left="-227" w:right="369"/>
        <w:jc w:val="both"/>
        <w:rPr>
          <w:rFonts w:ascii="Open Sans" w:hAnsi="Open Sans" w:cs="Open Sans"/>
          <w:sz w:val="24"/>
          <w:szCs w:val="24"/>
        </w:rPr>
      </w:pPr>
      <w:r w:rsidRPr="000B7C92">
        <w:rPr>
          <w:rFonts w:ascii="Open Sans" w:hAnsi="Open Sans" w:cs="Open Sans"/>
          <w:bCs/>
          <w:color w:val="000000"/>
          <w:sz w:val="24"/>
          <w:szCs w:val="24"/>
          <w:shd w:val="clear" w:color="auto" w:fill="FFFFFF"/>
        </w:rPr>
        <w:t>“</w:t>
      </w:r>
      <w:r w:rsidRPr="000B7C92">
        <w:rPr>
          <w:rFonts w:ascii="Open Sans" w:hAnsi="Open Sans" w:cs="Open Sans"/>
          <w:bCs/>
          <w:color w:val="000000"/>
          <w:sz w:val="24"/>
          <w:szCs w:val="24"/>
        </w:rPr>
        <w:t xml:space="preserve">RECURSO DE REVISTA INTERPOSTO NA VIGÊNCIA DA LEI Nº 13.467/17. DISPENSA COLETIVA. FATO OCORRIDO EM 2016, ANTERIORMENTE À REFORMA TRABALHISTA E À INCLUSÃO DO ART. 477-A DA CLT. DECISÃO DO STF NO RE 999435/SP. REPERCUSSÃO GERAL. TEMA 638. TRANSCENDÊNCIA JURÍDICA CONFIGURADA. </w:t>
      </w:r>
      <w:r w:rsidRPr="000B7C92">
        <w:rPr>
          <w:rFonts w:ascii="Open Sans" w:hAnsi="Open Sans" w:cs="Open Sans"/>
          <w:color w:val="000000"/>
          <w:sz w:val="24"/>
          <w:szCs w:val="24"/>
        </w:rPr>
        <w:t xml:space="preserve">Cinge-se a controvérsia em saber se a dispensa de 5 (cinco) trabalhadoras, quantitativo referente à totalidade dos empregados da empresa na cidade de Porto Alegre/RS, com o consequente fechamento da unidade na Região, sem a tentativa de manutenção dos vínculos de emprego por parte da empresa incorporadora configuraria dispensa coletiva. Diante da controvérsia a respeito da questão, deve ser reconhecida a </w:t>
      </w:r>
      <w:r w:rsidRPr="000B7C92">
        <w:rPr>
          <w:rFonts w:ascii="Open Sans" w:hAnsi="Open Sans" w:cs="Open Sans"/>
          <w:bCs/>
          <w:color w:val="000000"/>
          <w:sz w:val="24"/>
          <w:szCs w:val="24"/>
        </w:rPr>
        <w:t xml:space="preserve">transcendência jurídica. </w:t>
      </w:r>
      <w:r w:rsidRPr="000B7C92">
        <w:rPr>
          <w:rFonts w:ascii="Open Sans" w:hAnsi="Open Sans" w:cs="Open Sans"/>
          <w:color w:val="000000"/>
          <w:sz w:val="24"/>
          <w:szCs w:val="24"/>
        </w:rPr>
        <w:t>Na hipótese,</w:t>
      </w:r>
      <w:r w:rsidRPr="000B7C92">
        <w:rPr>
          <w:rFonts w:ascii="Open Sans" w:hAnsi="Open Sans" w:cs="Open Sans"/>
          <w:bCs/>
          <w:color w:val="000000"/>
          <w:sz w:val="24"/>
          <w:szCs w:val="24"/>
        </w:rPr>
        <w:t xml:space="preserve"> </w:t>
      </w:r>
      <w:r w:rsidRPr="000B7C92">
        <w:rPr>
          <w:rFonts w:ascii="Open Sans" w:hAnsi="Open Sans" w:cs="Open Sans"/>
          <w:color w:val="000000"/>
          <w:sz w:val="24"/>
          <w:szCs w:val="24"/>
        </w:rPr>
        <w:t xml:space="preserve">a premissa envolve a dispensa coletiva sobre as rescisões dos contratos de trabalho que atingiram toda a unidade da reclamada na cidade de Porto Alegre, que contava com 5 (cinco) trabalhadoras, até sua incorporação por outra empresa. A extinção da atividade econômica, com </w:t>
      </w:r>
      <w:r w:rsidRPr="000B7C92">
        <w:rPr>
          <w:rFonts w:ascii="Open Sans" w:hAnsi="Open Sans" w:cs="Open Sans"/>
          <w:bCs/>
          <w:color w:val="000000"/>
          <w:sz w:val="24"/>
          <w:szCs w:val="24"/>
        </w:rPr>
        <w:t>a rescisão dos contratos de trabalho de todos os seus empregados</w:t>
      </w:r>
      <w:r w:rsidRPr="000B7C92">
        <w:rPr>
          <w:rFonts w:ascii="Open Sans" w:hAnsi="Open Sans" w:cs="Open Sans"/>
          <w:color w:val="000000"/>
          <w:sz w:val="24"/>
          <w:szCs w:val="24"/>
        </w:rPr>
        <w:t xml:space="preserve">, afasta eventual dúvida quanto à configuração da dispensa coletiva, tornando inócua, </w:t>
      </w:r>
      <w:r w:rsidRPr="006A609B">
        <w:rPr>
          <w:rFonts w:ascii="Open Sans" w:hAnsi="Open Sans" w:cs="Open Sans"/>
          <w:color w:val="000000"/>
          <w:sz w:val="24"/>
          <w:szCs w:val="24"/>
        </w:rPr>
        <w:t>inclusive</w:t>
      </w:r>
      <w:r w:rsidRPr="000B7C92">
        <w:rPr>
          <w:rFonts w:ascii="Open Sans" w:hAnsi="Open Sans" w:cs="Open Sans"/>
          <w:color w:val="000000"/>
          <w:sz w:val="24"/>
          <w:szCs w:val="24"/>
        </w:rPr>
        <w:t xml:space="preserve">, a discussão sobre o quantitativo de pessoas. De todo modo, como registrado pelo Eg. TRT, não há como afastar o impacto social decorrente da dispensa, sob o fundamento de que inexistente apenas em função da quantidade de trabalhadoras dispensadas, considerando que houve o </w:t>
      </w:r>
      <w:r>
        <w:rPr>
          <w:rFonts w:ascii="Open Sans" w:hAnsi="Open Sans" w:cs="Open Sans"/>
          <w:bCs/>
          <w:color w:val="000000"/>
          <w:sz w:val="24"/>
          <w:szCs w:val="24"/>
        </w:rPr>
        <w:t>‘</w:t>
      </w:r>
      <w:r w:rsidRPr="000B7C92">
        <w:rPr>
          <w:rFonts w:ascii="Open Sans" w:hAnsi="Open Sans" w:cs="Open Sans"/>
          <w:bCs/>
          <w:color w:val="000000"/>
          <w:sz w:val="24"/>
          <w:szCs w:val="24"/>
        </w:rPr>
        <w:t>encerramento das atividades empresariais</w:t>
      </w:r>
      <w:r>
        <w:rPr>
          <w:rFonts w:ascii="Open Sans" w:hAnsi="Open Sans" w:cs="Open Sans"/>
          <w:color w:val="000000"/>
          <w:sz w:val="24"/>
          <w:szCs w:val="24"/>
        </w:rPr>
        <w:t>’</w:t>
      </w:r>
      <w:r w:rsidRPr="000B7C92">
        <w:rPr>
          <w:rFonts w:ascii="Open Sans" w:hAnsi="Open Sans" w:cs="Open Sans"/>
          <w:color w:val="000000"/>
          <w:sz w:val="24"/>
          <w:szCs w:val="24"/>
        </w:rPr>
        <w:t xml:space="preserve"> na cidade de Porto Alegre. Vale registrar, ainda, que o Supremo Tribunal Federal, no julgamento do RE 999.434/SP, em Sistema de Repercussão Geral, com publicação no DJe 15.09.2022, cujo efeito é vinculante e </w:t>
      </w:r>
      <w:r w:rsidRPr="000B7C92">
        <w:rPr>
          <w:rFonts w:ascii="Open Sans" w:hAnsi="Open Sans" w:cs="Open Sans"/>
          <w:i/>
          <w:iCs/>
          <w:color w:val="000000"/>
          <w:sz w:val="24"/>
          <w:szCs w:val="24"/>
        </w:rPr>
        <w:t>erga omnes</w:t>
      </w:r>
      <w:r w:rsidRPr="000B7C92">
        <w:rPr>
          <w:rFonts w:ascii="Open Sans" w:hAnsi="Open Sans" w:cs="Open Sans"/>
          <w:color w:val="000000"/>
          <w:sz w:val="24"/>
          <w:szCs w:val="24"/>
        </w:rPr>
        <w:t xml:space="preserve">, conferiu interpretação conforme a Constituição ao art. 477-A da CLT, ao fixar, por maioria, a seguinte tese sobre a dispensa em massa de trabalhadores: </w:t>
      </w:r>
      <w:r>
        <w:rPr>
          <w:rFonts w:ascii="Open Sans" w:hAnsi="Open Sans" w:cs="Open Sans"/>
          <w:i/>
          <w:iCs/>
          <w:color w:val="000000"/>
          <w:sz w:val="24"/>
          <w:szCs w:val="24"/>
        </w:rPr>
        <w:t>‘</w:t>
      </w:r>
      <w:r w:rsidRPr="006A609B">
        <w:rPr>
          <w:rFonts w:ascii="Open Sans" w:hAnsi="Open Sans" w:cs="Open Sans"/>
          <w:iCs/>
          <w:color w:val="000000"/>
          <w:sz w:val="24"/>
          <w:szCs w:val="24"/>
        </w:rPr>
        <w:t>A intervenção sindical prévia é exigência procedimental imprescindível para a dispensa em massa de trabalhadores, que não se confunde com autorização prévia por parte da entidade sindical, ou celebração de convenção ou acordo coletivo</w:t>
      </w:r>
      <w:r>
        <w:rPr>
          <w:rFonts w:ascii="Open Sans" w:hAnsi="Open Sans" w:cs="Open Sans"/>
          <w:iCs/>
          <w:color w:val="000000"/>
          <w:sz w:val="24"/>
          <w:szCs w:val="24"/>
        </w:rPr>
        <w:t>’</w:t>
      </w:r>
      <w:r w:rsidRPr="000B7C92">
        <w:rPr>
          <w:rFonts w:ascii="Open Sans" w:hAnsi="Open Sans" w:cs="Open Sans"/>
          <w:i/>
          <w:iCs/>
          <w:color w:val="000000"/>
          <w:sz w:val="24"/>
          <w:szCs w:val="24"/>
        </w:rPr>
        <w:t xml:space="preserve">. </w:t>
      </w:r>
      <w:r w:rsidRPr="000B7C92">
        <w:rPr>
          <w:rFonts w:ascii="Open Sans" w:hAnsi="Open Sans" w:cs="Open Sans"/>
          <w:color w:val="000000"/>
          <w:sz w:val="24"/>
          <w:szCs w:val="24"/>
        </w:rPr>
        <w:t xml:space="preserve">Ocorre que, </w:t>
      </w:r>
      <w:r w:rsidRPr="000B7C92">
        <w:rPr>
          <w:rFonts w:ascii="Open Sans" w:hAnsi="Open Sans" w:cs="Open Sans"/>
          <w:i/>
          <w:iCs/>
          <w:color w:val="000000"/>
          <w:sz w:val="24"/>
          <w:szCs w:val="24"/>
        </w:rPr>
        <w:t>in casu</w:t>
      </w:r>
      <w:r w:rsidRPr="000B7C92">
        <w:rPr>
          <w:rFonts w:ascii="Open Sans" w:hAnsi="Open Sans" w:cs="Open Sans"/>
          <w:color w:val="000000"/>
          <w:sz w:val="24"/>
          <w:szCs w:val="24"/>
        </w:rPr>
        <w:t xml:space="preserve">, o art. 477-A da CLT não tem incidência, uma vez que as rescisões contratuais das substituídas </w:t>
      </w:r>
      <w:r w:rsidRPr="000B7C92">
        <w:rPr>
          <w:rFonts w:ascii="Open Sans" w:hAnsi="Open Sans" w:cs="Open Sans"/>
          <w:bCs/>
          <w:color w:val="000000"/>
          <w:sz w:val="24"/>
          <w:szCs w:val="24"/>
        </w:rPr>
        <w:t>(entre</w:t>
      </w:r>
      <w:r w:rsidRPr="000B7C92">
        <w:rPr>
          <w:rFonts w:ascii="Open Sans" w:hAnsi="Open Sans" w:cs="Open Sans"/>
          <w:color w:val="000000"/>
          <w:sz w:val="24"/>
          <w:szCs w:val="24"/>
        </w:rPr>
        <w:t xml:space="preserve"> </w:t>
      </w:r>
      <w:r w:rsidRPr="000B7C92">
        <w:rPr>
          <w:rFonts w:ascii="Open Sans" w:hAnsi="Open Sans" w:cs="Open Sans"/>
          <w:bCs/>
          <w:color w:val="000000"/>
          <w:sz w:val="24"/>
          <w:szCs w:val="24"/>
        </w:rPr>
        <w:t>julho e agosto/2016)</w:t>
      </w:r>
      <w:r w:rsidRPr="000B7C92">
        <w:rPr>
          <w:rFonts w:ascii="Open Sans" w:hAnsi="Open Sans" w:cs="Open Sans"/>
          <w:color w:val="000000"/>
          <w:sz w:val="24"/>
          <w:szCs w:val="24"/>
        </w:rPr>
        <w:t xml:space="preserve"> ocorreram antes da vigência do referido dispositivo legal, inserido pela Lei nº 13.467/2017. Portanto, escorreita a decisão recorrida ao cuidar da necessidade de negociação coletiva para a dispensa das trabalhadoras, consoante entendimento sedimentado no âmbito desta Corte Superior Trabalhista. Precedentes. Ademais, o recurso de revista vem pautado na violação dos arts. 1º e 170, da Constituição Federal, sem a indicação, todavia, do respectivo inciso, o que desatende a diretriz da Súmula nº 221 do TST. Na mesma esteira, não há como reputar violados os arts. 5º, LV e 7º, I, da CF e 17 da LINDB, mas, ao revés, decisão em conformidade com os referidos dispositivos constitucionais/legais. Por sua vez, a violação ao art. 5º, II, da CF, que trata do princípio da reserva legal, não impulsiona, </w:t>
      </w:r>
      <w:r w:rsidRPr="000B7C92">
        <w:rPr>
          <w:rFonts w:ascii="Open Sans" w:hAnsi="Open Sans" w:cs="Open Sans"/>
          <w:i/>
          <w:iCs/>
          <w:color w:val="000000"/>
          <w:sz w:val="24"/>
          <w:szCs w:val="24"/>
        </w:rPr>
        <w:t>in casu</w:t>
      </w:r>
      <w:r w:rsidRPr="000B7C92">
        <w:rPr>
          <w:rFonts w:ascii="Open Sans" w:hAnsi="Open Sans" w:cs="Open Sans"/>
          <w:color w:val="000000"/>
          <w:sz w:val="24"/>
          <w:szCs w:val="24"/>
        </w:rPr>
        <w:t xml:space="preserve">, o recurso de revista. Quanto à divergência jurisprudencial, os arestos trazidos ao cotejo de teses são inespecíficos, a teor da Súmula nº 296, I, do TST. </w:t>
      </w:r>
      <w:r w:rsidRPr="000B7C92">
        <w:rPr>
          <w:rFonts w:ascii="Open Sans" w:hAnsi="Open Sans" w:cs="Open Sans"/>
          <w:bCs/>
          <w:color w:val="000000"/>
          <w:sz w:val="24"/>
          <w:szCs w:val="24"/>
        </w:rPr>
        <w:t>Recurso de revista não conhecido.</w:t>
      </w:r>
      <w:r w:rsidRPr="00935D1D">
        <w:rPr>
          <w:rFonts w:ascii="Open Sans" w:hAnsi="Open Sans" w:cs="Open Sans"/>
          <w:bCs/>
          <w:color w:val="000000"/>
          <w:sz w:val="24"/>
          <w:szCs w:val="24"/>
          <w:shd w:val="clear" w:color="auto" w:fill="FFFFFF"/>
        </w:rPr>
        <w:t>”</w:t>
      </w:r>
      <w:r w:rsidRPr="00935D1D">
        <w:rPr>
          <w:rFonts w:ascii="Open Sans" w:hAnsi="Open Sans" w:cs="Open Sans"/>
          <w:color w:val="000000"/>
          <w:sz w:val="24"/>
          <w:szCs w:val="24"/>
          <w:shd w:val="clear" w:color="auto" w:fill="FFFFFF"/>
        </w:rPr>
        <w:t xml:space="preserve"> </w:t>
      </w:r>
      <w:r w:rsidRPr="00935D1D">
        <w:rPr>
          <w:rFonts w:ascii="Open Sans" w:hAnsi="Open Sans" w:cs="Open Sans"/>
          <w:sz w:val="24"/>
          <w:szCs w:val="24"/>
        </w:rPr>
        <w:t>(</w:t>
      </w:r>
      <w:hyperlink r:id="rId24" w:history="1">
        <w:r w:rsidRPr="00935D1D">
          <w:rPr>
            <w:rFonts w:ascii="Open Sans" w:hAnsi="Open Sans" w:cs="Open Sans"/>
            <w:bCs/>
            <w:color w:val="0000FF" w:themeColor="hyperlink"/>
            <w:sz w:val="24"/>
            <w:szCs w:val="24"/>
            <w:u w:val="single"/>
          </w:rPr>
          <w:t>TST-RR-21529-26.2016.5.04.0019</w:t>
        </w:r>
        <w:r w:rsidRPr="00935D1D">
          <w:rPr>
            <w:rFonts w:ascii="Open Sans" w:hAnsi="Open Sans" w:cs="Open Sans"/>
            <w:color w:val="0000FF" w:themeColor="hyperlink"/>
            <w:sz w:val="24"/>
            <w:szCs w:val="24"/>
            <w:u w:val="single"/>
          </w:rPr>
          <w:t xml:space="preserve">, 6ª Turma, rel. Des. Conv. </w:t>
        </w:r>
        <w:r w:rsidRPr="00935D1D">
          <w:rPr>
            <w:rFonts w:ascii="Open Sans" w:hAnsi="Open Sans" w:cs="Open Sans"/>
            <w:bCs/>
            <w:color w:val="0000FF" w:themeColor="hyperlink"/>
            <w:sz w:val="24"/>
            <w:szCs w:val="24"/>
            <w:u w:val="single"/>
          </w:rPr>
          <w:t>José Pedro de Camargo Rodrigues de Souza, julgado em 17/5/2023</w:t>
        </w:r>
      </w:hyperlink>
      <w:r>
        <w:rPr>
          <w:rFonts w:ascii="Open Sans" w:hAnsi="Open Sans" w:cs="Open Sans"/>
          <w:sz w:val="24"/>
          <w:szCs w:val="24"/>
        </w:rPr>
        <w:t>)</w:t>
      </w:r>
    </w:p>
    <w:p w:rsidR="00B8258C" w:rsidRPr="00935D1D" w:rsidRDefault="00B8258C" w:rsidP="002828C0">
      <w:pPr>
        <w:ind w:left="-227" w:right="369"/>
        <w:jc w:val="both"/>
        <w:rPr>
          <w:rFonts w:ascii="Open Sans" w:hAnsi="Open Sans" w:cs="Open Sans"/>
          <w:sz w:val="24"/>
          <w:szCs w:val="24"/>
        </w:rPr>
      </w:pPr>
    </w:p>
    <w:p w:rsidR="00B8258C" w:rsidRPr="00935D1D" w:rsidRDefault="00B8258C" w:rsidP="002828C0">
      <w:pPr>
        <w:ind w:left="-227" w:right="369"/>
        <w:jc w:val="both"/>
        <w:rPr>
          <w:rFonts w:ascii="Open Sans" w:hAnsi="Open Sans" w:cs="Open Sans"/>
          <w:bCs/>
          <w:sz w:val="24"/>
          <w:szCs w:val="24"/>
        </w:rPr>
      </w:pPr>
      <w:r w:rsidRPr="00935D1D">
        <w:rPr>
          <w:rFonts w:ascii="Open Sans" w:hAnsi="Open Sans" w:cs="Open Sans"/>
          <w:sz w:val="24"/>
          <w:szCs w:val="24"/>
        </w:rPr>
        <w:lastRenderedPageBreak/>
        <w:t xml:space="preserve">“RECURSO DE REVISTA. ACÓRDÃO REGIONAL PUBLICADO NA VIGÊNCIA DA LEI 13.467/2017. MINUTOS RESIDUAIS. NORMA COLETIVA QUE AFASTA A INCIDÊNCIA COMO TEMPO À DISPOSIÇÃO DO EMPREGADOR. VALIDADE. TESE JURÍDICA FIXADA PELA SUPREMA CORTE NOS AUTOS DO ARE 1121633. TEMA 1046 DA TABELA DE REPERCUSSÃO GERAL. TRANSCENDÊNCIA RECONHECIDA. Reconhece-se a transcendência do recurso, quanto ao tema, nos termos do art. 896-A da CLT. Esta Corte superior possuía entendimento pacífico, consubstanciado na Súmula 366, quanto à necessidade de se observar o limite de dez minutos diários nas variações de horário para o registro de ponto que, caso ultrapassado, acarretaria no pagamento, como extra, da totalidade do tempo que exceder a jornada normal. Todavia, em recente decisão sobre o tema de repercussão geral nº 1046, o STF fixou a tese de que </w:t>
      </w:r>
      <w:r>
        <w:rPr>
          <w:rFonts w:ascii="Open Sans" w:hAnsi="Open Sans" w:cs="Open Sans"/>
          <w:sz w:val="24"/>
          <w:szCs w:val="24"/>
        </w:rPr>
        <w:t>‘</w:t>
      </w:r>
      <w:r w:rsidRPr="00935D1D">
        <w:rPr>
          <w:rFonts w:ascii="Open Sans" w:hAnsi="Open Sans" w:cs="Open Sans"/>
          <w:sz w:val="24"/>
          <w:szCs w:val="24"/>
        </w:rPr>
        <w:t>são constitucionais os acordos e as convenções coletivos que, ao consideraram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sz w:val="24"/>
          <w:szCs w:val="24"/>
        </w:rPr>
        <w:t>’</w:t>
      </w:r>
      <w:r w:rsidRPr="00935D1D">
        <w:rPr>
          <w:rFonts w:ascii="Open Sans" w:hAnsi="Open Sans" w:cs="Open Sans"/>
          <w:sz w:val="24"/>
          <w:szCs w:val="24"/>
        </w:rPr>
        <w:t xml:space="preserve"> (destacamos). Sobre o aspecto destacado, importa registrar que, segundo notícia extraída do sítio eletrônico da Suprema Corte, na ocasião do julgamento do ARE 1121633 (Tema 1.046), em que se discutiu a flexibilização do direito às horas </w:t>
      </w:r>
      <w:r w:rsidRPr="00935D1D">
        <w:rPr>
          <w:rFonts w:ascii="Open Sans" w:hAnsi="Open Sans" w:cs="Open Sans"/>
          <w:i/>
          <w:sz w:val="24"/>
          <w:szCs w:val="24"/>
        </w:rPr>
        <w:t>in itinere</w:t>
      </w:r>
      <w:r w:rsidRPr="00935D1D">
        <w:rPr>
          <w:rFonts w:ascii="Open Sans" w:hAnsi="Open Sans" w:cs="Open Sans"/>
          <w:sz w:val="24"/>
          <w:szCs w:val="24"/>
        </w:rPr>
        <w:t xml:space="preserve">, prevaleceu o entendimento do Exmo. Ministro Gilmar Mendes (Relator), no sentido de que, ainda que a questão esteja vinculada ao salário e à jornada de trabalho, a própria Constituição Federal permite a negociação coletiva em relação aos referidos temas, ficando vencidos os Exmos. Ministros Edson Fachin e Rosa Weber, que entendiam que, estando o direito relacionado com horas extras, seria inadmissível a negociação coletiva. A conclusão a que se chega é que, exceto nos casos em que houver afronta a padrão civilizatório mínimo assegurado constitucionalmente ao trabalhador, será sempre prestigiada a autonomia da vontade coletiva consagrada pelo art. 7º, XXVI, da CF. No presente caso, o TRT considerou válida a norma coletiva que afasta como tempo à disposição do empregador o período em que o trabalhador permanece dentro da empresa </w:t>
      </w:r>
      <w:r>
        <w:rPr>
          <w:rFonts w:ascii="Open Sans" w:hAnsi="Open Sans" w:cs="Open Sans"/>
          <w:sz w:val="24"/>
          <w:szCs w:val="24"/>
        </w:rPr>
        <w:t>‘</w:t>
      </w:r>
      <w:r w:rsidRPr="00935D1D">
        <w:rPr>
          <w:rFonts w:ascii="Open Sans" w:hAnsi="Open Sans" w:cs="Open Sans"/>
          <w:sz w:val="24"/>
          <w:szCs w:val="24"/>
        </w:rPr>
        <w:t>fora da efetiva jornada de trabalho, com a finalidade de utilização do tempo para fins particulares, como transações bancárias, serviço de lanche ou café, ou atividade de conveniência do empregado</w:t>
      </w:r>
      <w:r>
        <w:rPr>
          <w:rFonts w:ascii="Open Sans" w:hAnsi="Open Sans" w:cs="Open Sans"/>
          <w:sz w:val="24"/>
          <w:szCs w:val="24"/>
        </w:rPr>
        <w:t>’</w:t>
      </w:r>
      <w:r w:rsidRPr="00935D1D">
        <w:rPr>
          <w:rFonts w:ascii="Open Sans" w:hAnsi="Open Sans" w:cs="Open Sans"/>
          <w:sz w:val="24"/>
          <w:szCs w:val="24"/>
        </w:rPr>
        <w:t xml:space="preserve"> (pág. 751). Assim, tal como proferida, a decisão regional está em conformidade com o precedente vinculante do STF e com a norma constitucional (artigo 7º, XIII, da CF) e legal (artigo 611-A, I, da CLT), que permitem a flexibilização da jornada de trabalho. Recurso de revista não conhecido.” (</w:t>
      </w:r>
      <w:hyperlink r:id="rId25" w:history="1">
        <w:r w:rsidRPr="00935D1D">
          <w:rPr>
            <w:rFonts w:ascii="Open Sans" w:hAnsi="Open Sans" w:cs="Open Sans"/>
            <w:color w:val="0000FF" w:themeColor="hyperlink"/>
            <w:sz w:val="24"/>
            <w:szCs w:val="24"/>
            <w:u w:val="single"/>
          </w:rPr>
          <w:t xml:space="preserve">TST-RR-10228-51.2017.5.03.0027, 7ª Turma, rel. Min. </w:t>
        </w:r>
        <w:r w:rsidRPr="00935D1D">
          <w:rPr>
            <w:rFonts w:ascii="Open Sans" w:hAnsi="Open Sans" w:cs="Open Sans"/>
            <w:bCs/>
            <w:color w:val="0000FF" w:themeColor="hyperlink"/>
            <w:sz w:val="24"/>
            <w:szCs w:val="24"/>
            <w:u w:val="single"/>
          </w:rPr>
          <w:t>Alexandre de Souza Agra Belmonte, julgado em 24/5/2023</w:t>
        </w:r>
      </w:hyperlink>
      <w:r>
        <w:rPr>
          <w:rFonts w:ascii="Open Sans" w:hAnsi="Open Sans" w:cs="Open Sans"/>
          <w:sz w:val="24"/>
          <w:szCs w:val="24"/>
        </w:rPr>
        <w:t>)</w:t>
      </w:r>
    </w:p>
    <w:p w:rsidR="00B8258C" w:rsidRPr="00935D1D" w:rsidRDefault="00B8258C" w:rsidP="002828C0">
      <w:pPr>
        <w:ind w:left="-227" w:right="369"/>
        <w:jc w:val="both"/>
        <w:rPr>
          <w:rFonts w:ascii="Open Sans" w:hAnsi="Open Sans" w:cs="Open Sans"/>
          <w:sz w:val="24"/>
          <w:szCs w:val="24"/>
        </w:rPr>
      </w:pPr>
    </w:p>
    <w:p w:rsidR="00B8258C" w:rsidRPr="00935D1D" w:rsidRDefault="00B8258C" w:rsidP="002828C0">
      <w:pPr>
        <w:ind w:left="-227" w:right="369"/>
        <w:jc w:val="both"/>
        <w:rPr>
          <w:rFonts w:ascii="Open Sans" w:hAnsi="Open Sans" w:cs="Open Sans"/>
          <w:bCs/>
          <w:sz w:val="24"/>
          <w:szCs w:val="24"/>
        </w:rPr>
      </w:pPr>
      <w:r w:rsidRPr="00935D1D">
        <w:rPr>
          <w:rFonts w:ascii="Open Sans" w:hAnsi="Open Sans" w:cs="Open Sans"/>
          <w:sz w:val="24"/>
          <w:szCs w:val="24"/>
        </w:rPr>
        <w:t>“</w:t>
      </w:r>
      <w:r w:rsidRPr="00935D1D">
        <w:rPr>
          <w:rFonts w:ascii="Open Sans" w:hAnsi="Open Sans" w:cs="Open Sans"/>
          <w:bCs/>
          <w:sz w:val="24"/>
          <w:szCs w:val="24"/>
        </w:rPr>
        <w:t xml:space="preserve">AGRAVO DE INSTRUMENTO. RECURSO DE REVISTA. PETROBRAS. ACÓRDÃO REGIONAL. PUBLICAÇÃO NA VIGÊNCIA LEI Nº 13.467/2017. 1. LEGITIMIDADE ATIVA. MINISTÉRIO PÚBLICO DO TRABALHO. AÇÃO CIVIL PÚBLICA. DESCUMPRIMENTO DE OBRIGAÇÕES RELATIVAS A CONTRATOS DE APRENDIZAGEM. DISPENSA DE APRENDIZES SEM O PAGAMENTO DAS RESPECTIVAS VERBAS RESCISÓRIAS. DIREITOS INDIVIDUAIS HOMOGÊNEOS. TRANSCENDÊNCIA. NÃO RECONHECIMENTO. I. As alegações constantes da minuta do agravo de instrumento não permitem que se reconheça a transcendência da causa, seja no seu vetor político - não se detecta contrariedade a súmula, orientação jurisprudencial ou precedente de observância </w:t>
      </w:r>
      <w:r w:rsidRPr="00935D1D">
        <w:rPr>
          <w:rFonts w:ascii="Open Sans" w:hAnsi="Open Sans" w:cs="Open Sans"/>
          <w:bCs/>
          <w:sz w:val="24"/>
          <w:szCs w:val="24"/>
        </w:rPr>
        <w:lastRenderedPageBreak/>
        <w:t>obrigatória; no jurídico - não se requer a interpretação de lei nova ou de questão não</w:t>
      </w:r>
      <w:r>
        <w:rPr>
          <w:rFonts w:ascii="Open Sans" w:hAnsi="Open Sans" w:cs="Open Sans"/>
          <w:bCs/>
          <w:sz w:val="24"/>
          <w:szCs w:val="24"/>
        </w:rPr>
        <w:t xml:space="preserve"> pacificada; </w:t>
      </w:r>
      <w:r w:rsidRPr="00935D1D">
        <w:rPr>
          <w:rFonts w:ascii="Open Sans" w:hAnsi="Open Sans" w:cs="Open Sans"/>
          <w:bCs/>
          <w:sz w:val="24"/>
          <w:szCs w:val="24"/>
        </w:rPr>
        <w:t>no econômico - o valor da causa ou da pretensão recursal não se qualificam como elevados para a caracterização da transcendência por este vetor; ou no social - não se busca a preservação de direitos sociais constitucionais supostamente violados de maneira intolerável. II. Acrescente-se que a decisão regional, ao concluir pela legitimidade ativa do Ministério Público do Trabalho para o ajuizamento de ação civil pública em que se pleiteia o recebimento de verbas rescisórias não pagas aos aprendizes dispensados pela reclamada mostra-se em conformidade com a jurisprudência desta c. Corte Superior, no sentido de que o Ministério Público do Trabalho é parte legítima para o ajuizamento de demandas relacionadas aos contratos de aprendizagem. Precedentes. Por fim, eventual necessidade futura de apuração individual das parcelas devidas a cada aprendiz dispensado pela reclamada não altera a natureza do direito discutido, que permanece sendo individual homogêneo. Precedente da c. SBDI-1. III. Agravo de instrumento de que se conhece e a que se nega provimento. [...]</w:t>
      </w:r>
      <w:r w:rsidRPr="00935D1D">
        <w:rPr>
          <w:rFonts w:ascii="Open Sans" w:hAnsi="Open Sans" w:cs="Open Sans"/>
          <w:sz w:val="24"/>
          <w:szCs w:val="24"/>
        </w:rPr>
        <w:t>” (</w:t>
      </w:r>
      <w:hyperlink r:id="rId26" w:history="1">
        <w:r w:rsidRPr="00935D1D">
          <w:rPr>
            <w:rFonts w:ascii="Open Sans" w:hAnsi="Open Sans" w:cs="Open Sans"/>
            <w:color w:val="0000FF" w:themeColor="hyperlink"/>
            <w:sz w:val="24"/>
            <w:szCs w:val="24"/>
            <w:u w:val="single"/>
          </w:rPr>
          <w:t xml:space="preserve">TST-AIRR-11339-83.2015.5.01.0031, 7ª Turma, rel. Min. </w:t>
        </w:r>
        <w:r w:rsidRPr="00935D1D">
          <w:rPr>
            <w:rFonts w:ascii="Open Sans" w:hAnsi="Open Sans" w:cs="Open Sans"/>
            <w:bCs/>
            <w:color w:val="0000FF" w:themeColor="hyperlink"/>
            <w:sz w:val="24"/>
            <w:szCs w:val="24"/>
            <w:u w:val="single"/>
          </w:rPr>
          <w:t>Evandro Pereira Valadão Lopes, julgado em 24/5/2023</w:t>
        </w:r>
      </w:hyperlink>
      <w:r w:rsidR="00FB2F2D">
        <w:rPr>
          <w:rFonts w:ascii="Open Sans" w:hAnsi="Open Sans" w:cs="Open Sans"/>
          <w:sz w:val="24"/>
          <w:szCs w:val="24"/>
        </w:rPr>
        <w:t>)</w:t>
      </w:r>
    </w:p>
    <w:p w:rsidR="00B8258C" w:rsidRPr="00935D1D" w:rsidRDefault="00B8258C" w:rsidP="002828C0">
      <w:pPr>
        <w:ind w:left="-227" w:right="369"/>
        <w:jc w:val="both"/>
        <w:rPr>
          <w:rFonts w:ascii="Open Sans" w:hAnsi="Open Sans" w:cs="Open Sans"/>
          <w:bCs/>
          <w:sz w:val="24"/>
          <w:szCs w:val="24"/>
        </w:rPr>
      </w:pPr>
    </w:p>
    <w:p w:rsidR="00B8258C" w:rsidRPr="00935D1D" w:rsidRDefault="00B8258C" w:rsidP="002828C0">
      <w:pPr>
        <w:ind w:left="-227" w:right="369"/>
        <w:jc w:val="both"/>
        <w:rPr>
          <w:rFonts w:ascii="Open Sans" w:hAnsi="Open Sans" w:cs="Open Sans"/>
          <w:bCs/>
          <w:sz w:val="24"/>
          <w:szCs w:val="24"/>
        </w:rPr>
      </w:pPr>
      <w:r w:rsidRPr="00935D1D">
        <w:rPr>
          <w:rFonts w:ascii="Open Sans" w:hAnsi="Open Sans" w:cs="Open Sans"/>
          <w:sz w:val="24"/>
          <w:szCs w:val="24"/>
        </w:rPr>
        <w:t xml:space="preserve">“[...] </w:t>
      </w:r>
      <w:r w:rsidRPr="00935D1D">
        <w:rPr>
          <w:rFonts w:ascii="Open Sans" w:hAnsi="Open Sans" w:cs="Open Sans"/>
          <w:bCs/>
          <w:sz w:val="24"/>
          <w:szCs w:val="24"/>
        </w:rPr>
        <w:t xml:space="preserve">6. HORAS EXTRAS – ATIVIDADE INSALUBRE – ACORDO DE COMPENSAÇÃO DE JORNADA PREVISTO EM NORMA COLETIVA – AUSÊNCIA DE AUTORIZAÇÃO DA AUTORIDADE COMPETENTE PREVISTA NO ARTIGO 60 DA CLT - INVALIDADE. TEMA 1046 DA TABELA DE REPERCUSSÃO GERAL DO E. STF. I. A parte reclamante alega que a prestação de horas extras habituais, inclusive aos sábados, e o trabalho insalubre invalidam o regime compensatório. Afirma que não foi comprovada a existência de licença prévia previsão no art. 60 da CLT. II. O Tribunal Regional entendeu que a validade do regime de compensação de horas extras previsto em norma coletiva deve prevalecer, mesmo em se tratando de atividade insalubre e sem a autorização da autoridade competente exigida pelo art. 60 da CLT para a prorrogação da jornada, sob o fundamento de que a combinação dos incisos XIII e XXVI do art. 7º da Constituição da República não convalidam a exigência prevista no dispositivo legal, visto que aqueles incisos prestigiam o princípio da autonomia das vontades coletivas e a compensação da jornada de trabalho. III. Em 3/5/2019, o Plenário Virtual do Supremo Tribunal Federal, analisando o Tema 1046 da Tabela de Repercussão Geral, que trata da </w:t>
      </w:r>
      <w:r>
        <w:rPr>
          <w:rFonts w:ascii="Open Sans" w:hAnsi="Open Sans" w:cs="Open Sans"/>
          <w:bCs/>
          <w:sz w:val="24"/>
          <w:szCs w:val="24"/>
        </w:rPr>
        <w:t>‘</w:t>
      </w:r>
      <w:r w:rsidRPr="00935D1D">
        <w:rPr>
          <w:rFonts w:ascii="Open Sans" w:hAnsi="Open Sans" w:cs="Open Sans"/>
          <w:bCs/>
          <w:sz w:val="24"/>
          <w:szCs w:val="24"/>
        </w:rPr>
        <w:t>validade de norma coletiva de trabalho que limita ou restringe direito trabalhista não assegurado constitucionalmente</w:t>
      </w:r>
      <w:r>
        <w:rPr>
          <w:rFonts w:ascii="Open Sans" w:hAnsi="Open Sans" w:cs="Open Sans"/>
          <w:bCs/>
          <w:sz w:val="24"/>
          <w:szCs w:val="24"/>
        </w:rPr>
        <w:t>’</w:t>
      </w:r>
      <w:r w:rsidRPr="00935D1D">
        <w:rPr>
          <w:rFonts w:ascii="Open Sans" w:hAnsi="Open Sans" w:cs="Open Sans"/>
          <w:bCs/>
          <w:sz w:val="24"/>
          <w:szCs w:val="24"/>
        </w:rPr>
        <w:t>, reconheceu, por unanimidade, a existência de repercussão geral da questão constitucional suscitada e decidiu submeter a matéria a posterior julgamento no Plenário físico (</w:t>
      </w:r>
      <w:r w:rsidRPr="00935D1D">
        <w:rPr>
          <w:rFonts w:ascii="Open Sans" w:hAnsi="Open Sans" w:cs="Open Sans"/>
          <w:bCs/>
          <w:i/>
          <w:sz w:val="24"/>
          <w:szCs w:val="24"/>
        </w:rPr>
        <w:t>leading case</w:t>
      </w:r>
      <w:r w:rsidRPr="00935D1D">
        <w:rPr>
          <w:rFonts w:ascii="Open Sans" w:hAnsi="Open Sans" w:cs="Open Sans"/>
          <w:bCs/>
          <w:sz w:val="24"/>
          <w:szCs w:val="24"/>
        </w:rPr>
        <w:t xml:space="preserve">: ARE-1121633, Relator Ministro Gilmar Mendes, acórdão de repercussão geral publicado no DJe-108 de 23/5/2019). IV. Em 14/06/2022 foi publicada a decisão do e. STF proferida no Tema 1046, fixando a seguinte tese jurídica: </w:t>
      </w:r>
      <w:r>
        <w:rPr>
          <w:rFonts w:ascii="Open Sans" w:hAnsi="Open Sans" w:cs="Open Sans"/>
          <w:bCs/>
          <w:sz w:val="24"/>
          <w:szCs w:val="24"/>
        </w:rPr>
        <w:t>‘</w:t>
      </w:r>
      <w:r w:rsidRPr="00935D1D">
        <w:rPr>
          <w:rFonts w:ascii="Open Sans" w:hAnsi="Open Sans" w:cs="Open Sans"/>
          <w:bC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bCs/>
          <w:sz w:val="24"/>
          <w:szCs w:val="24"/>
        </w:rPr>
        <w:t>’</w:t>
      </w:r>
      <w:r w:rsidRPr="00935D1D">
        <w:rPr>
          <w:rFonts w:ascii="Open Sans" w:hAnsi="Open Sans" w:cs="Open Sans"/>
          <w:bCs/>
          <w:sz w:val="24"/>
          <w:szCs w:val="24"/>
        </w:rPr>
        <w:t xml:space="preserve">. V. Na hipótese vertente, discute-se exclusivamente a possibilidade ou não de a negociação coletiva estipular, sem autorização da autoridade competente, prorrogação e compensação jornada em atividade insalubre. A matéria está abarcada por direito absolutamente indisponível, havendo previsão </w:t>
      </w:r>
      <w:r w:rsidRPr="00935D1D">
        <w:rPr>
          <w:rFonts w:ascii="Open Sans" w:hAnsi="Open Sans" w:cs="Open Sans"/>
          <w:bCs/>
          <w:sz w:val="24"/>
          <w:szCs w:val="24"/>
        </w:rPr>
        <w:lastRenderedPageBreak/>
        <w:t>constitucional e legal que vedam a ampliação da jornada de trabalho em atividade insalubre sem autorização da autoridade competente, nos termos do art. 7º, XXII, da Constituição da República, que assegura ao trabalhador a redução dos riscos inerentes ao trabalho por meio de normas de saúde, higiene e segurança, e do art. 60 da CLT, com a redação anterior à alteração promovida pela Lei nº 13.467/2017, que, sem nenhuma exceção, dispõe ser indispensável a autorização prévia da autoridade competente em matéria de higiene do trabalho para que haja acordo de prorrogação da jornada de trabalho em atividades insalubres. VI. No caso concreto, ao afastar a exigência do art. 60 da CLT para validar negociação coletiva que prorrogou a jornada em atividade insalubre sem a autorização da autoridade competente na matéria, o v. acórdão recorrido violou o mencionado dispositivo legal. Deve, portanto, o recurso de revista ser provido para restabelecer a sentença que condenou a parte reclamada ao pagamento das horas extraordinárias. VII. Recurso de revista de que se conhece e a que se dá provimento.</w:t>
      </w:r>
      <w:r w:rsidRPr="00935D1D">
        <w:rPr>
          <w:rFonts w:ascii="Open Sans" w:hAnsi="Open Sans" w:cs="Open Sans"/>
          <w:sz w:val="24"/>
          <w:szCs w:val="24"/>
        </w:rPr>
        <w:t>” (</w:t>
      </w:r>
      <w:hyperlink r:id="rId27" w:history="1">
        <w:r w:rsidRPr="00935D1D">
          <w:rPr>
            <w:rFonts w:ascii="Open Sans" w:hAnsi="Open Sans" w:cs="Open Sans"/>
            <w:color w:val="0000FF" w:themeColor="hyperlink"/>
            <w:sz w:val="24"/>
            <w:szCs w:val="24"/>
            <w:u w:val="single"/>
          </w:rPr>
          <w:t xml:space="preserve">TST-RR-281-20.2013.5.04.0662, 7ª Turma, rel. Min. </w:t>
        </w:r>
        <w:r w:rsidRPr="00935D1D">
          <w:rPr>
            <w:rFonts w:ascii="Open Sans" w:hAnsi="Open Sans" w:cs="Open Sans"/>
            <w:bCs/>
            <w:color w:val="0000FF" w:themeColor="hyperlink"/>
            <w:sz w:val="24"/>
            <w:szCs w:val="24"/>
            <w:u w:val="single"/>
          </w:rPr>
          <w:t>Evandro Pereira Valadão Lopes, julgado em 24/5/2023</w:t>
        </w:r>
      </w:hyperlink>
      <w:r w:rsidR="00FB2F2D">
        <w:rPr>
          <w:rFonts w:ascii="Open Sans" w:hAnsi="Open Sans" w:cs="Open Sans"/>
          <w:sz w:val="24"/>
          <w:szCs w:val="24"/>
        </w:rPr>
        <w:t>)</w:t>
      </w:r>
    </w:p>
    <w:p w:rsidR="00B8258C" w:rsidRPr="00B8258C" w:rsidRDefault="00B8258C" w:rsidP="00B8258C">
      <w:pPr>
        <w:pStyle w:val="Cabealho"/>
        <w:tabs>
          <w:tab w:val="clear" w:pos="4419"/>
          <w:tab w:val="clear" w:pos="8838"/>
        </w:tabs>
        <w:ind w:left="-142" w:right="368" w:firstLine="142"/>
        <w:jc w:val="both"/>
        <w:rPr>
          <w:rFonts w:ascii="Open Sans" w:hAnsi="Open Sans" w:cs="Open Sans"/>
        </w:rPr>
      </w:pPr>
    </w:p>
    <w:p w:rsidR="00ED73E7" w:rsidRDefault="00ED73E7" w:rsidP="001A7589">
      <w:pPr>
        <w:pStyle w:val="Cabealho"/>
        <w:tabs>
          <w:tab w:val="clear" w:pos="4419"/>
          <w:tab w:val="clear" w:pos="8838"/>
        </w:tabs>
        <w:ind w:left="-142" w:right="368" w:firstLine="142"/>
        <w:jc w:val="center"/>
        <w:rPr>
          <w:rFonts w:ascii="Open Sans" w:hAnsi="Open Sans" w:cs="Open Sans"/>
          <w:i/>
        </w:rPr>
      </w:pPr>
    </w:p>
    <w:p w:rsidR="00ED73E7" w:rsidRDefault="00ED73E7" w:rsidP="001A7589">
      <w:pPr>
        <w:pStyle w:val="Cabealho"/>
        <w:tabs>
          <w:tab w:val="clear" w:pos="4419"/>
          <w:tab w:val="clear" w:pos="8838"/>
        </w:tabs>
        <w:ind w:left="-142" w:right="368" w:firstLine="142"/>
        <w:jc w:val="center"/>
        <w:rPr>
          <w:rFonts w:ascii="Open Sans" w:hAnsi="Open Sans" w:cs="Open Sans"/>
          <w:i/>
        </w:rPr>
      </w:pPr>
    </w:p>
    <w:p w:rsidR="00ED73E7" w:rsidRDefault="00ED73E7" w:rsidP="001A7589">
      <w:pPr>
        <w:pStyle w:val="Cabealho"/>
        <w:tabs>
          <w:tab w:val="clear" w:pos="4419"/>
          <w:tab w:val="clear" w:pos="8838"/>
        </w:tabs>
        <w:ind w:left="-142" w:right="368" w:firstLine="142"/>
        <w:jc w:val="center"/>
        <w:rPr>
          <w:rFonts w:ascii="Open Sans" w:hAnsi="Open Sans" w:cs="Open Sans"/>
          <w:i/>
        </w:rPr>
      </w:pPr>
    </w:p>
    <w:p w:rsidR="00ED73E7" w:rsidRDefault="00ED73E7" w:rsidP="001A7589">
      <w:pPr>
        <w:pStyle w:val="Cabealho"/>
        <w:tabs>
          <w:tab w:val="clear" w:pos="4419"/>
          <w:tab w:val="clear" w:pos="8838"/>
        </w:tabs>
        <w:ind w:left="-142" w:right="368" w:firstLine="142"/>
        <w:jc w:val="center"/>
        <w:rPr>
          <w:rFonts w:ascii="Open Sans" w:hAnsi="Open Sans" w:cs="Open Sans"/>
          <w:i/>
        </w:rPr>
      </w:pPr>
    </w:p>
    <w:p w:rsidR="00ED73E7" w:rsidRDefault="00ED73E7" w:rsidP="001A7589">
      <w:pPr>
        <w:pStyle w:val="Cabealho"/>
        <w:tabs>
          <w:tab w:val="clear" w:pos="4419"/>
          <w:tab w:val="clear" w:pos="8838"/>
        </w:tabs>
        <w:ind w:left="-142" w:right="368" w:firstLine="142"/>
        <w:jc w:val="center"/>
        <w:rPr>
          <w:rFonts w:ascii="Open Sans" w:hAnsi="Open Sans" w:cs="Open Sans"/>
          <w:i/>
        </w:rPr>
      </w:pPr>
    </w:p>
    <w:p w:rsidR="001A7589"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5807AB"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Pr>
          <w:rFonts w:ascii="Open Sans" w:hAnsi="Open Sans" w:cs="Open Sans"/>
          <w:snapToGrid w:val="0"/>
          <w:sz w:val="24"/>
          <w:szCs w:val="24"/>
        </w:rPr>
        <w:t>Informações, sugestões ou c</w:t>
      </w:r>
      <w:r w:rsidR="001A7589" w:rsidRPr="003509A3">
        <w:rPr>
          <w:rFonts w:ascii="Open Sans" w:hAnsi="Open Sans" w:cs="Open Sans"/>
          <w:snapToGrid w:val="0"/>
          <w:sz w:val="24"/>
          <w:szCs w:val="24"/>
        </w:rPr>
        <w:t xml:space="preserve">ríticas: (61)3043-4612 ou </w:t>
      </w:r>
      <w:hyperlink r:id="rId28" w:history="1">
        <w:r w:rsidR="001A7589"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9"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30" w:history="1">
        <w:r w:rsidRPr="003509A3">
          <w:rPr>
            <w:rStyle w:val="Hyperlink"/>
            <w:rFonts w:ascii="Open Sans" w:hAnsi="Open Sans" w:cs="Open Sans"/>
            <w:snapToGrid w:val="0"/>
            <w:sz w:val="24"/>
            <w:szCs w:val="24"/>
          </w:rPr>
          <w:t>http://www.tst.jus.br/push</w:t>
        </w:r>
      </w:hyperlink>
    </w:p>
    <w:p w:rsidR="00577BB7" w:rsidRDefault="001A7589" w:rsidP="001A7589">
      <w:pPr>
        <w:ind w:left="-284"/>
      </w:pPr>
      <w:r>
        <w:tab/>
      </w:r>
    </w:p>
    <w:p w:rsidR="001A7589" w:rsidRDefault="001A7589" w:rsidP="001A7589">
      <w:pPr>
        <w:ind w:left="-284"/>
      </w:pPr>
    </w:p>
    <w:p w:rsidR="001A7589" w:rsidRDefault="001A7589" w:rsidP="001A7589">
      <w:pPr>
        <w:ind w:left="-284"/>
      </w:pPr>
    </w:p>
    <w:p w:rsidR="001A7589" w:rsidRDefault="001A7589" w:rsidP="001A7589">
      <w:pPr>
        <w:ind w:left="-284"/>
      </w:pPr>
    </w:p>
    <w:p w:rsidR="001A7589" w:rsidRDefault="001A7589" w:rsidP="001A7589">
      <w:pPr>
        <w:ind w:left="-284"/>
      </w:pPr>
    </w:p>
    <w:p w:rsidR="001A7589" w:rsidRDefault="001A7589" w:rsidP="001A7589">
      <w:pPr>
        <w:ind w:left="-284"/>
      </w:pPr>
    </w:p>
    <w:p w:rsidR="00ED73E7" w:rsidRDefault="00ED73E7" w:rsidP="001A7589">
      <w:pPr>
        <w:ind w:left="-284"/>
      </w:pPr>
    </w:p>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Pr="00ED73E7" w:rsidRDefault="00ED73E7" w:rsidP="00ED73E7">
      <w:pPr>
        <w:tabs>
          <w:tab w:val="left" w:pos="8955"/>
        </w:tabs>
      </w:pPr>
    </w:p>
    <w:sectPr w:rsidR="00ED73E7" w:rsidRPr="00ED73E7" w:rsidSect="009F61FA">
      <w:footerReference w:type="default" r:id="rId31"/>
      <w:headerReference w:type="first" r:id="rId32"/>
      <w:footerReference w:type="first" r:id="rId33"/>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153471">
              <w:rPr>
                <w:noProof/>
              </w:rPr>
              <w:t>8</w:t>
            </w:r>
            <w:r>
              <w:fldChar w:fldCharType="end"/>
            </w:r>
          </w:p>
        </w:sdtContent>
      </w:sdt>
      <w:p w:rsidR="00ED73E7" w:rsidRDefault="00153471"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153471">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35E15CBB" wp14:editId="21AF3F09">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5B121296" wp14:editId="5F5FE7EC">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7D5123FE" wp14:editId="2CDED09E">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B8258C">
      <w:rPr>
        <w:rFonts w:ascii="Open Sans" w:hAnsi="Open Sans" w:cs="Open Sans"/>
        <w:b/>
        <w:color w:val="005DA2"/>
        <w:sz w:val="32"/>
        <w:szCs w:val="32"/>
      </w:rPr>
      <w:t>273</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B8258C">
      <w:rPr>
        <w:rFonts w:ascii="Open Sans" w:hAnsi="Open Sans" w:cs="Open Sans"/>
        <w:i/>
        <w:iCs/>
        <w:color w:val="005DA2"/>
        <w:sz w:val="22"/>
        <w:szCs w:val="22"/>
      </w:rPr>
      <w:t>15</w:t>
    </w:r>
    <w:r>
      <w:rPr>
        <w:rFonts w:ascii="Open Sans" w:hAnsi="Open Sans" w:cs="Open Sans"/>
        <w:i/>
        <w:iCs/>
        <w:color w:val="005DA2"/>
        <w:sz w:val="22"/>
        <w:szCs w:val="22"/>
      </w:rPr>
      <w:t xml:space="preserve"> a </w:t>
    </w:r>
    <w:r w:rsidR="00B8258C">
      <w:rPr>
        <w:rFonts w:ascii="Open Sans" w:hAnsi="Open Sans" w:cs="Open Sans"/>
        <w:i/>
        <w:iCs/>
        <w:color w:val="005DA2"/>
        <w:sz w:val="22"/>
        <w:szCs w:val="22"/>
      </w:rPr>
      <w:t>26</w:t>
    </w:r>
    <w:r>
      <w:rPr>
        <w:rFonts w:ascii="Open Sans" w:hAnsi="Open Sans" w:cs="Open Sans"/>
        <w:i/>
        <w:iCs/>
        <w:color w:val="005DA2"/>
        <w:sz w:val="22"/>
        <w:szCs w:val="22"/>
      </w:rPr>
      <w:t xml:space="preserve"> de </w:t>
    </w:r>
    <w:r w:rsidR="00B8258C">
      <w:rPr>
        <w:rFonts w:ascii="Open Sans" w:hAnsi="Open Sans" w:cs="Open Sans"/>
        <w:i/>
        <w:iCs/>
        <w:color w:val="005DA2"/>
        <w:sz w:val="22"/>
        <w:szCs w:val="22"/>
      </w:rPr>
      <w:t>maio</w:t>
    </w:r>
    <w:r w:rsidR="00FC7F9A">
      <w:rPr>
        <w:rFonts w:ascii="Open Sans" w:hAnsi="Open Sans" w:cs="Open Sans"/>
        <w:i/>
        <w:iCs/>
        <w:color w:val="005DA2"/>
        <w:sz w:val="22"/>
        <w:szCs w:val="22"/>
      </w:rPr>
      <w:t xml:space="preserve"> de 202</w:t>
    </w:r>
    <w:r w:rsidR="00B256F9">
      <w:rPr>
        <w:rFonts w:ascii="Open Sans" w:hAnsi="Open Sans" w:cs="Open Sans"/>
        <w:i/>
        <w:iCs/>
        <w:color w:val="005DA2"/>
        <w:sz w:val="22"/>
        <w:szCs w:val="22"/>
      </w:rPr>
      <w:t>3</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955C9"/>
    <w:rsid w:val="0010138E"/>
    <w:rsid w:val="00143857"/>
    <w:rsid w:val="00153471"/>
    <w:rsid w:val="001A176F"/>
    <w:rsid w:val="001A7589"/>
    <w:rsid w:val="00215C92"/>
    <w:rsid w:val="002828C0"/>
    <w:rsid w:val="00331A92"/>
    <w:rsid w:val="0034642F"/>
    <w:rsid w:val="004403E2"/>
    <w:rsid w:val="004A48AD"/>
    <w:rsid w:val="004B476A"/>
    <w:rsid w:val="00577BB7"/>
    <w:rsid w:val="005807AB"/>
    <w:rsid w:val="00585786"/>
    <w:rsid w:val="006138BD"/>
    <w:rsid w:val="007E13EF"/>
    <w:rsid w:val="009F61FA"/>
    <w:rsid w:val="00A3374D"/>
    <w:rsid w:val="00B256F9"/>
    <w:rsid w:val="00B633EE"/>
    <w:rsid w:val="00B8258C"/>
    <w:rsid w:val="00BD5566"/>
    <w:rsid w:val="00D663E7"/>
    <w:rsid w:val="00DF3168"/>
    <w:rsid w:val="00E024F6"/>
    <w:rsid w:val="00ED73E7"/>
    <w:rsid w:val="00FB2F2D"/>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841&amp;digitoTst=08&amp;anoTst=2011&amp;orgaoTst=5&amp;tribunalTst=15&amp;varaTst=0000&amp;submit=Consultar" TargetMode="External"/><Relationship Id="rId13" Type="http://schemas.openxmlformats.org/officeDocument/2006/relationships/hyperlink" Target="https://consultaprocessual.tst.jus.br/consultaProcessual/consultaTstNumUnica.do?consulta=Consultar&amp;conscsjt=&amp;numeroTst=302&amp;digitoTst=07&amp;anoTst=2018&amp;orgaoTst=5&amp;tribunalTst=&amp;varaTst=&amp;submit=Consultar" TargetMode="External"/><Relationship Id="rId18" Type="http://schemas.openxmlformats.org/officeDocument/2006/relationships/hyperlink" Target="https://consultaprocessual.tst.jus.br/consultaProcessual/consultaTstNumUnica.do?consulta=Consultar&amp;conscsjt=&amp;numeroTst=45&amp;digitoTst=27&amp;anoTst=2020&amp;orgaoTst=5&amp;tribunalTst=11&amp;varaTst=0501&amp;submit=Consultar" TargetMode="External"/><Relationship Id="rId26" Type="http://schemas.openxmlformats.org/officeDocument/2006/relationships/hyperlink" Target="https://consultaprocessual.tst.jus.br/consultaProcessual/consultaTstNumUnica.do?consulta=Consultar&amp;conscsjt=&amp;numeroTst=11339&amp;digitoTst=83&amp;anoTst=2015&amp;orgaoTst=5&amp;tribunalTst=01&amp;varaTst=0031&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20364&amp;digitoTst=97&amp;anoTst=2018&amp;orgaoTst=5&amp;tribunalTst=04&amp;varaTst=0010&amp;submit=Consulta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703&amp;digitoTst=96&amp;anoTst=2022&amp;orgaoTst=5&amp;tribunalTst=05&amp;varaTst=0000&amp;submit=Consultar" TargetMode="External"/><Relationship Id="rId17" Type="http://schemas.openxmlformats.org/officeDocument/2006/relationships/hyperlink" Target="https://consultaprocessual.tst.jus.br/consultaProcessual/consultaTstNumUnica.do?consulta=Consultar&amp;conscsjt=&amp;numeroTst=11160&amp;digitoTst=98&amp;anoTst=2020&amp;orgaoTst=5&amp;tribunalTst=&amp;varaTst=&amp;submit=Consultar" TargetMode="External"/><Relationship Id="rId25" Type="http://schemas.openxmlformats.org/officeDocument/2006/relationships/hyperlink" Target="https://consultaprocessual.tst.jus.br/consultaProcessual/consultaTstNumUnica.do?consulta=Consultar&amp;conscsjt=&amp;numeroTst=10228&amp;digitoTst=51&amp;anoTst=2017&amp;orgaoTst=5&amp;tribunalTst=03&amp;varaTst=0027&amp;submit=Consultar"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nsultaprocessual.tst.jus.br/consultaProcessual/resumoForm.do?consulta=1&amp;numeroInt=275588&amp;anoInt=2021" TargetMode="External"/><Relationship Id="rId20" Type="http://schemas.openxmlformats.org/officeDocument/2006/relationships/hyperlink" Target="https://consultaprocessual.tst.jus.br/consultaProcessual/consultaTstNumUnica.do?consulta=Consultar&amp;conscsjt=&amp;numeroTst=2535&amp;digitoTst=77&amp;anoTst=2020&amp;orgaoTst=5&amp;tribunalTst=14&amp;varaTst=0003&amp;submit=Consultar" TargetMode="External"/><Relationship Id="rId29"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1130&amp;digitoTst=56&amp;anoTst=2015&amp;orgaoTst=5&amp;tribunalTst=03&amp;varaTst=0000&amp;submit=Consultar" TargetMode="External"/><Relationship Id="rId24" Type="http://schemas.openxmlformats.org/officeDocument/2006/relationships/hyperlink" Target="https://consultaprocessual.tst.jus.br/consultaProcessual/consultaTstNumUnica.do?consulta=Consultar&amp;conscsjt=&amp;numeroTst=21529&amp;digitoTst=26&amp;anoTst=2016&amp;orgaoTst=5&amp;tribunalTst=04&amp;varaTst=0019&amp;submit=Consulta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0377&amp;digitoTst=02&amp;anoTst=2021&amp;orgaoTst=5&amp;tribunalTst=03&amp;varaTst=0029&amp;submit=Consultar" TargetMode="External"/><Relationship Id="rId23" Type="http://schemas.openxmlformats.org/officeDocument/2006/relationships/hyperlink" Target="https://consultaprocessual.tst.jus.br/consultaProcessual/consultaTstNumUnica.do?consulta=Consultar&amp;conscsjt=&amp;numeroTst=592&amp;digitoTst=21&amp;anoTst=2011&amp;orgaoTst=5&amp;tribunalTst=09&amp;varaTst=0022&amp;submit=Consultar" TargetMode="External"/><Relationship Id="rId28" Type="http://schemas.openxmlformats.org/officeDocument/2006/relationships/hyperlink" Target="mailto:cjur@tst.jus.br" TargetMode="External"/><Relationship Id="rId10" Type="http://schemas.openxmlformats.org/officeDocument/2006/relationships/hyperlink" Target="https://consultaprocessual.tst.jus.br/consultaProcessual/consultaTstNumUnica.do?consulta=Consultar&amp;conscsjt=&amp;numeroTst=58200&amp;digitoTst=04&amp;anoTst=2009&amp;orgaoTst=5&amp;tribunalTst=04&amp;varaTst=0016&amp;submit=Consultar" TargetMode="External"/><Relationship Id="rId19" Type="http://schemas.openxmlformats.org/officeDocument/2006/relationships/hyperlink" Target="https://consultaprocessual.tst.jus.br/consultaProcessual/consultaTstNumUnica.do?consulta=Consultar&amp;conscsjt=&amp;numeroTst=1001731&amp;digitoTst=77&amp;anoTst=2019&amp;orgaoTst=5&amp;tribunalTst=02&amp;varaTst=0386&amp;submit=Consulta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129&amp;digitoTst=04&amp;anoTst=2016&amp;orgaoTst=5&amp;tribunalTst=08&amp;varaTst=0011&amp;submit=Consultar" TargetMode="External"/><Relationship Id="rId14" Type="http://schemas.openxmlformats.org/officeDocument/2006/relationships/hyperlink" Target="https://consultaprocessual.tst.jus.br/consultaProcessual/consultaTstNumUnica.do?consulta=Consultar&amp;conscsjt=&amp;numeroTst=24238&amp;digitoTst=76&amp;anoTst=2020&amp;orgaoTst=5&amp;tribunalTst=24&amp;varaTst=0006&amp;submit=Consultar" TargetMode="External"/><Relationship Id="rId22" Type="http://schemas.openxmlformats.org/officeDocument/2006/relationships/hyperlink" Target="https://consultaprocessual.tst.jus.br/consultaProcessual/consultaTstNumUnica.do?consulta=Consultar&amp;conscsjt=&amp;numeroTst=1001240&amp;digitoTst=19&amp;anoTst=2018&amp;orgaoTst=5&amp;tribunalTst=02&amp;varaTst=0382&amp;submit=Consultar" TargetMode="External"/><Relationship Id="rId27" Type="http://schemas.openxmlformats.org/officeDocument/2006/relationships/hyperlink" Target="https://consultaprocessual.tst.jus.br/consultaProcessual/consultaTstNumUnica.do?consulta=Consultar&amp;conscsjt=&amp;numeroTst=281&amp;digitoTst=20&amp;anoTst=2013&amp;orgaoTst=5&amp;tribunalTst=04&amp;varaTst=0662&amp;submit=Consultar" TargetMode="External"/><Relationship Id="rId30" Type="http://schemas.openxmlformats.org/officeDocument/2006/relationships/hyperlink" Target="http://www.tst.jus.br/pus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B6F7-DD2D-4FC0-921B-0C826D34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7753</Words>
  <Characters>41872</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Lanna Lucia Viana Pinto</cp:lastModifiedBy>
  <cp:revision>18</cp:revision>
  <dcterms:created xsi:type="dcterms:W3CDTF">2023-04-18T15:26:00Z</dcterms:created>
  <dcterms:modified xsi:type="dcterms:W3CDTF">2023-06-01T16:43:00Z</dcterms:modified>
</cp:coreProperties>
</file>