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30087">
        <w:trPr>
          <w:trHeight w:val="537"/>
        </w:trPr>
        <w:tc>
          <w:tcPr>
            <w:tcW w:w="9782" w:type="dxa"/>
            <w:tcBorders>
              <w:top w:val="single" w:sz="4" w:space="0" w:color="auto"/>
            </w:tcBorders>
          </w:tcPr>
          <w:p w:rsidR="001A7589" w:rsidRPr="003509A3" w:rsidRDefault="001A7589" w:rsidP="00430087">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1A7589" w:rsidRPr="003509A3" w:rsidRDefault="001A7589" w:rsidP="001A7589">
      <w:pPr>
        <w:ind w:left="-142" w:right="368" w:firstLine="142"/>
        <w:jc w:val="both"/>
        <w:rPr>
          <w:rFonts w:ascii="Open Sans" w:eastAsiaTheme="minorHAnsi" w:hAnsi="Open Sans" w:cs="Open Sans"/>
          <w:sz w:val="24"/>
          <w:szCs w:val="24"/>
          <w:lang w:eastAsia="en-US"/>
        </w:rPr>
      </w:pPr>
    </w:p>
    <w:p w:rsidR="001A7589" w:rsidRPr="003509A3" w:rsidRDefault="001A7589" w:rsidP="001A7589">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Pr>
          <w:rFonts w:ascii="Open Sans" w:hAnsi="Open Sans" w:cs="Open Sans"/>
          <w:b/>
          <w:bCs/>
          <w:iCs/>
          <w:sz w:val="28"/>
          <w:szCs w:val="28"/>
          <w:lang w:val="pt-BR"/>
        </w:rPr>
        <w:t>TRIBUNAL PLENO</w:t>
      </w:r>
    </w:p>
    <w:p w:rsidR="007C1D4F" w:rsidRDefault="007C1D4F" w:rsidP="007C1D4F">
      <w:pPr>
        <w:jc w:val="both"/>
        <w:rPr>
          <w:rFonts w:ascii="Open Sans" w:eastAsiaTheme="minorEastAsia" w:hAnsi="Open Sans" w:cs="Open Sans"/>
          <w:b/>
          <w:bCs/>
          <w:i/>
          <w:iCs/>
          <w:color w:val="000000"/>
          <w:sz w:val="24"/>
          <w:szCs w:val="24"/>
        </w:rPr>
      </w:pPr>
    </w:p>
    <w:p w:rsidR="007C1D4F" w:rsidRPr="00B410DE" w:rsidRDefault="007C1D4F" w:rsidP="007C1D4F">
      <w:pPr>
        <w:ind w:left="-284" w:right="367"/>
        <w:jc w:val="both"/>
        <w:rPr>
          <w:rFonts w:ascii="Open Sans" w:eastAsiaTheme="minorEastAsia" w:hAnsi="Open Sans" w:cs="Open Sans"/>
          <w:b/>
          <w:bCs/>
          <w:i/>
          <w:iCs/>
          <w:color w:val="000000"/>
          <w:sz w:val="24"/>
          <w:szCs w:val="24"/>
        </w:rPr>
      </w:pPr>
      <w:r w:rsidRPr="00B410DE">
        <w:rPr>
          <w:rFonts w:ascii="Open Sans" w:eastAsiaTheme="minorEastAsia" w:hAnsi="Open Sans" w:cs="Open Sans"/>
          <w:b/>
          <w:bCs/>
          <w:i/>
          <w:iCs/>
          <w:color w:val="000000"/>
          <w:sz w:val="24"/>
          <w:szCs w:val="24"/>
        </w:rPr>
        <w:t xml:space="preserve">Arguição de inconstitucionalidade. Art. 702, I, alínea “f”, e § 3°, da CLT. Dispositivos que disciplinam exigências para o estabelecimento e alteração de súmulas e outros enunciados de jurisprudência uniforme. Declaração de inconstitucionalidade. Violação ao princípio da separação dos Poderes. Afronta à autonomia administrativa dos tribunais. </w:t>
      </w:r>
    </w:p>
    <w:p w:rsidR="007C1D4F" w:rsidRPr="00B410DE" w:rsidRDefault="007C1D4F" w:rsidP="007C1D4F">
      <w:pPr>
        <w:ind w:left="-284" w:right="367"/>
        <w:jc w:val="both"/>
        <w:rPr>
          <w:rFonts w:ascii="Open Sans" w:eastAsiaTheme="minorEastAsia" w:hAnsi="Open Sans" w:cs="Open Sans"/>
          <w:bCs/>
          <w:iCs/>
          <w:color w:val="000000"/>
          <w:sz w:val="24"/>
          <w:szCs w:val="24"/>
          <w:u w:val="single"/>
        </w:rPr>
      </w:pPr>
      <w:r w:rsidRPr="00B410DE">
        <w:rPr>
          <w:rFonts w:ascii="Open Sans" w:eastAsiaTheme="minorEastAsia" w:hAnsi="Open Sans" w:cs="Open Sans"/>
          <w:bCs/>
          <w:iCs/>
          <w:color w:val="000000"/>
          <w:sz w:val="24"/>
          <w:szCs w:val="24"/>
        </w:rPr>
        <w:t xml:space="preserve">É inconstitucional o art. 702, I, alínea “f” e § 3º da CLT, pois o estabelecimento de exigências legais, por parte do Poder Legislativo, acerca da forma e dos requisitos para a edição e alteração de súmulas e outros enunciados de jurisprudência uniforme no âmbito da Justiça do Trabalho, importa em violação ao princípio da separação dos Poderes (art. 2º da CF) e afronta a autonomia administrativa dos tribunais (art. 96, I, e 99, “caput”, da CF). Sob esse fundamento, o Tribunal Pleno decidiu: I - por unanimidade, admitir o Incidente de Arguição de Inconstitucionalidade em relação ao art. 702, I, alínea "f", e § 3º, da CLT; II - por maioria, não admitir o Incidente de Arguição de Inconstitucionalidade em relação ao § 4° do art. 702 da CLT, vencidos os Ministros Renato de Lacerda Paiva, Dora Maria da Costa, Kátia Magalhães Arruda, José Roberto Freire Pimenta, Hugo Carlos </w:t>
      </w:r>
      <w:proofErr w:type="spellStart"/>
      <w:r w:rsidRPr="00B410DE">
        <w:rPr>
          <w:rFonts w:ascii="Open Sans" w:eastAsiaTheme="minorEastAsia" w:hAnsi="Open Sans" w:cs="Open Sans"/>
          <w:bCs/>
          <w:iCs/>
          <w:color w:val="000000"/>
          <w:sz w:val="24"/>
          <w:szCs w:val="24"/>
        </w:rPr>
        <w:t>Scheuermann</w:t>
      </w:r>
      <w:proofErr w:type="spellEnd"/>
      <w:r w:rsidRPr="00B410DE">
        <w:rPr>
          <w:rFonts w:ascii="Open Sans" w:eastAsiaTheme="minorEastAsia" w:hAnsi="Open Sans" w:cs="Open Sans"/>
          <w:bCs/>
          <w:iCs/>
          <w:color w:val="000000"/>
          <w:sz w:val="24"/>
          <w:szCs w:val="24"/>
        </w:rPr>
        <w:t xml:space="preserve">, Alexandre de Souza Agra Belmonte, Maria Helena </w:t>
      </w:r>
      <w:proofErr w:type="spellStart"/>
      <w:r w:rsidRPr="00B410DE">
        <w:rPr>
          <w:rFonts w:ascii="Open Sans" w:eastAsiaTheme="minorEastAsia" w:hAnsi="Open Sans" w:cs="Open Sans"/>
          <w:bCs/>
          <w:iCs/>
          <w:color w:val="000000"/>
          <w:sz w:val="24"/>
          <w:szCs w:val="24"/>
        </w:rPr>
        <w:t>Mallmann</w:t>
      </w:r>
      <w:proofErr w:type="spellEnd"/>
      <w:r w:rsidRPr="00B410DE">
        <w:rPr>
          <w:rFonts w:ascii="Open Sans" w:eastAsiaTheme="minorEastAsia" w:hAnsi="Open Sans" w:cs="Open Sans"/>
          <w:bCs/>
          <w:iCs/>
          <w:color w:val="000000"/>
          <w:sz w:val="24"/>
          <w:szCs w:val="24"/>
        </w:rPr>
        <w:t xml:space="preserve">, Alexandre Luiz Ramos e Alberto Bastos </w:t>
      </w:r>
      <w:proofErr w:type="spellStart"/>
      <w:r w:rsidRPr="00B410DE">
        <w:rPr>
          <w:rFonts w:ascii="Open Sans" w:eastAsiaTheme="minorEastAsia" w:hAnsi="Open Sans" w:cs="Open Sans"/>
          <w:bCs/>
          <w:iCs/>
          <w:color w:val="000000"/>
          <w:sz w:val="24"/>
          <w:szCs w:val="24"/>
        </w:rPr>
        <w:t>Balazeiro</w:t>
      </w:r>
      <w:proofErr w:type="spellEnd"/>
      <w:r w:rsidRPr="00B410DE">
        <w:rPr>
          <w:rFonts w:ascii="Open Sans" w:eastAsiaTheme="minorEastAsia" w:hAnsi="Open Sans" w:cs="Open Sans"/>
          <w:bCs/>
          <w:iCs/>
          <w:color w:val="000000"/>
          <w:sz w:val="24"/>
          <w:szCs w:val="24"/>
        </w:rPr>
        <w:t>; III - no mérito, por maioria, julgar procedente a arguição para declarar a inconstitucionalidade do art. 702, I, alínea "f", e § 3º, da CLT, vencidos os Ministros Ives Gandra da Silva Martins Filho e Breno Medeiros, que votaram no sentido da constitucionalidade do art. 702, I, alínea "f", e §§ 3º e 4º; IV - por maioria, não prosseguir na apreciação da Súm</w:t>
      </w:r>
      <w:r w:rsidR="00280F6F">
        <w:rPr>
          <w:rFonts w:ascii="Open Sans" w:eastAsiaTheme="minorEastAsia" w:hAnsi="Open Sans" w:cs="Open Sans"/>
          <w:bCs/>
          <w:iCs/>
          <w:color w:val="000000"/>
          <w:sz w:val="24"/>
          <w:szCs w:val="24"/>
        </w:rPr>
        <w:t xml:space="preserve">ula n° 254 do TST, vencidos os </w:t>
      </w:r>
      <w:r w:rsidRPr="00B410DE">
        <w:rPr>
          <w:rFonts w:ascii="Open Sans" w:eastAsiaTheme="minorEastAsia" w:hAnsi="Open Sans" w:cs="Open Sans"/>
          <w:bCs/>
          <w:iCs/>
          <w:color w:val="000000"/>
          <w:sz w:val="24"/>
          <w:szCs w:val="24"/>
        </w:rPr>
        <w:t>Ministros Aloysio Silva Corrêa da Veiga e Alexandre de Souza Agra Belmonte; V - por unanimidade, determinar o encaminhamento de cópia do acórdão à Comissão de Regimento Interno, para que avalie a conveniência e oportunidade de elaborar Proposta de Emenda Regimental (RITST, 58 c/c 352, I) a ser deliberada pelo Tribunal Pleno (RITST, 68, §1º), a respeito da edição e revogação de súmulas e</w:t>
      </w:r>
      <w:r>
        <w:rPr>
          <w:rFonts w:ascii="Open Sans" w:eastAsiaTheme="minorEastAsia" w:hAnsi="Open Sans" w:cs="Open Sans"/>
          <w:bCs/>
          <w:iCs/>
          <w:color w:val="000000"/>
          <w:sz w:val="24"/>
          <w:szCs w:val="24"/>
        </w:rPr>
        <w:t xml:space="preserve"> </w:t>
      </w:r>
      <w:r>
        <w:rPr>
          <w:rFonts w:ascii="Open Sans" w:eastAsiaTheme="minorEastAsia" w:hAnsi="Open Sans" w:cs="Open Sans"/>
          <w:bCs/>
          <w:iCs/>
          <w:color w:val="000000"/>
          <w:sz w:val="24"/>
          <w:szCs w:val="24"/>
        </w:rPr>
        <w:lastRenderedPageBreak/>
        <w:t xml:space="preserve">orientações jurisprudenciais. </w:t>
      </w:r>
      <w:hyperlink r:id="rId8" w:history="1">
        <w:r w:rsidRPr="00B410DE">
          <w:rPr>
            <w:rFonts w:ascii="Open Sans" w:eastAsiaTheme="minorEastAsia" w:hAnsi="Open Sans" w:cs="Open Sans"/>
            <w:bCs/>
            <w:iCs/>
            <w:color w:val="0000FF" w:themeColor="hyperlink"/>
            <w:sz w:val="24"/>
            <w:szCs w:val="24"/>
            <w:u w:val="single"/>
          </w:rPr>
          <w:t>TST-ArgInc-696-25.2012.5.05.0463</w:t>
        </w:r>
      </w:hyperlink>
      <w:r w:rsidRPr="00B410DE">
        <w:rPr>
          <w:rFonts w:ascii="Open Sans" w:eastAsiaTheme="minorEastAsia" w:hAnsi="Open Sans" w:cs="Open Sans"/>
          <w:bCs/>
          <w:iCs/>
          <w:color w:val="000000"/>
          <w:sz w:val="24"/>
          <w:szCs w:val="24"/>
          <w:u w:val="single"/>
        </w:rPr>
        <w:t>, Tribunal Pleno, rel. Ministro Ama</w:t>
      </w:r>
      <w:r>
        <w:rPr>
          <w:rFonts w:ascii="Open Sans" w:eastAsiaTheme="minorEastAsia" w:hAnsi="Open Sans" w:cs="Open Sans"/>
          <w:bCs/>
          <w:iCs/>
          <w:color w:val="000000"/>
          <w:sz w:val="24"/>
          <w:szCs w:val="24"/>
          <w:u w:val="single"/>
        </w:rPr>
        <w:t>ury Rodrigues Pinto Junior, 16/</w:t>
      </w:r>
      <w:r w:rsidRPr="00B410DE">
        <w:rPr>
          <w:rFonts w:ascii="Open Sans" w:eastAsiaTheme="minorEastAsia" w:hAnsi="Open Sans" w:cs="Open Sans"/>
          <w:bCs/>
          <w:iCs/>
          <w:color w:val="000000"/>
          <w:sz w:val="24"/>
          <w:szCs w:val="24"/>
          <w:u w:val="single"/>
        </w:rPr>
        <w:t>5/2022.</w:t>
      </w:r>
    </w:p>
    <w:p w:rsidR="001A7589" w:rsidRPr="003E0231" w:rsidRDefault="001A7589" w:rsidP="001A7589">
      <w:pPr>
        <w:pStyle w:val="Identificao"/>
        <w:rPr>
          <w:rFonts w:ascii="Open Sans" w:hAnsi="Open Sans" w:cs="Open Sans"/>
          <w:lang w:val="pt-BR"/>
        </w:rPr>
      </w:pPr>
    </w:p>
    <w:p w:rsidR="001A7589" w:rsidRPr="003E0231" w:rsidRDefault="001A7589" w:rsidP="001A7589">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I ESPECIALIZADA EM DISSÍDIOS INDIVIDUAIS</w:t>
      </w:r>
    </w:p>
    <w:p w:rsidR="007C1D4F" w:rsidRDefault="007C1D4F" w:rsidP="007C1D4F">
      <w:pPr>
        <w:ind w:right="-1"/>
        <w:jc w:val="both"/>
        <w:rPr>
          <w:rFonts w:ascii="Open Sans" w:hAnsi="Open Sans" w:cs="Open Sans"/>
          <w:b/>
          <w:i/>
          <w:sz w:val="24"/>
          <w:szCs w:val="24"/>
        </w:rPr>
      </w:pPr>
    </w:p>
    <w:p w:rsidR="007C1D4F" w:rsidRDefault="007C1D4F" w:rsidP="007C1D4F">
      <w:pPr>
        <w:ind w:left="-284" w:right="367"/>
        <w:jc w:val="both"/>
        <w:rPr>
          <w:rFonts w:ascii="Open Sans" w:hAnsi="Open Sans" w:cs="Open Sans"/>
          <w:b/>
          <w:i/>
          <w:sz w:val="24"/>
          <w:szCs w:val="24"/>
        </w:rPr>
      </w:pPr>
      <w:r w:rsidRPr="00F94703">
        <w:rPr>
          <w:rFonts w:ascii="Open Sans" w:hAnsi="Open Sans" w:cs="Open Sans"/>
          <w:b/>
          <w:i/>
          <w:sz w:val="24"/>
          <w:szCs w:val="24"/>
        </w:rPr>
        <w:t>Cerceamento de defesa.</w:t>
      </w:r>
      <w:r>
        <w:rPr>
          <w:rFonts w:ascii="Open Sans" w:hAnsi="Open Sans" w:cs="Open Sans"/>
          <w:b/>
          <w:i/>
          <w:sz w:val="24"/>
          <w:szCs w:val="24"/>
        </w:rPr>
        <w:t xml:space="preserve"> Não ocorrência. </w:t>
      </w:r>
      <w:r w:rsidRPr="00F94703">
        <w:rPr>
          <w:rFonts w:ascii="Open Sans" w:hAnsi="Open Sans" w:cs="Open Sans"/>
          <w:b/>
          <w:i/>
          <w:sz w:val="24"/>
          <w:szCs w:val="24"/>
        </w:rPr>
        <w:t>Alegação de impossibilidade de sustentaçã</w:t>
      </w:r>
      <w:r>
        <w:rPr>
          <w:rFonts w:ascii="Open Sans" w:hAnsi="Open Sans" w:cs="Open Sans"/>
          <w:b/>
          <w:i/>
          <w:sz w:val="24"/>
          <w:szCs w:val="24"/>
        </w:rPr>
        <w:t xml:space="preserve">o oral em sessão </w:t>
      </w:r>
      <w:proofErr w:type="spellStart"/>
      <w:r>
        <w:rPr>
          <w:rFonts w:ascii="Open Sans" w:hAnsi="Open Sans" w:cs="Open Sans"/>
          <w:b/>
          <w:i/>
          <w:sz w:val="24"/>
          <w:szCs w:val="24"/>
        </w:rPr>
        <w:t>telepresencial</w:t>
      </w:r>
      <w:proofErr w:type="spellEnd"/>
      <w:r>
        <w:rPr>
          <w:rFonts w:ascii="Open Sans" w:hAnsi="Open Sans" w:cs="Open Sans"/>
          <w:b/>
          <w:i/>
          <w:sz w:val="24"/>
          <w:szCs w:val="24"/>
        </w:rPr>
        <w:t xml:space="preserve"> decorrente de</w:t>
      </w:r>
      <w:r w:rsidRPr="00F94703">
        <w:rPr>
          <w:rFonts w:ascii="Open Sans" w:hAnsi="Open Sans" w:cs="Open Sans"/>
          <w:b/>
          <w:i/>
          <w:sz w:val="24"/>
          <w:szCs w:val="24"/>
        </w:rPr>
        <w:t xml:space="preserve"> </w:t>
      </w:r>
      <w:r>
        <w:rPr>
          <w:rFonts w:ascii="Open Sans" w:hAnsi="Open Sans" w:cs="Open Sans"/>
          <w:b/>
          <w:i/>
          <w:sz w:val="24"/>
          <w:szCs w:val="24"/>
        </w:rPr>
        <w:t xml:space="preserve">instabilidade na </w:t>
      </w:r>
      <w:r w:rsidRPr="00F94703">
        <w:rPr>
          <w:rFonts w:ascii="Open Sans" w:hAnsi="Open Sans" w:cs="Open Sans"/>
          <w:b/>
          <w:i/>
          <w:sz w:val="24"/>
          <w:szCs w:val="24"/>
        </w:rPr>
        <w:t xml:space="preserve">conexão à internet </w:t>
      </w:r>
      <w:r>
        <w:rPr>
          <w:rFonts w:ascii="Open Sans" w:hAnsi="Open Sans" w:cs="Open Sans"/>
          <w:b/>
          <w:i/>
          <w:sz w:val="24"/>
          <w:szCs w:val="24"/>
        </w:rPr>
        <w:t xml:space="preserve">de advogado. Óbice alheio à atuação do Tribunal Regional. Responsabilidade exclusiva do causídico. </w:t>
      </w:r>
    </w:p>
    <w:p w:rsidR="007C1D4F" w:rsidRDefault="007C1D4F" w:rsidP="007C1D4F">
      <w:pPr>
        <w:ind w:left="-284" w:right="367"/>
        <w:jc w:val="both"/>
        <w:rPr>
          <w:rFonts w:ascii="Open Sans" w:hAnsi="Open Sans" w:cs="Open Sans"/>
          <w:sz w:val="24"/>
          <w:szCs w:val="24"/>
          <w:u w:val="single"/>
        </w:rPr>
      </w:pPr>
      <w:r w:rsidRPr="00724329">
        <w:rPr>
          <w:rFonts w:ascii="Open Sans" w:hAnsi="Open Sans" w:cs="Open Sans"/>
          <w:sz w:val="24"/>
          <w:szCs w:val="24"/>
        </w:rPr>
        <w:t>Não configura</w:t>
      </w:r>
      <w:r>
        <w:rPr>
          <w:rFonts w:ascii="Open Sans" w:hAnsi="Open Sans" w:cs="Open Sans"/>
          <w:sz w:val="24"/>
          <w:szCs w:val="24"/>
        </w:rPr>
        <w:t xml:space="preserve"> cerceamento de defesa a impossibilidade de sustentação oral em sessão </w:t>
      </w:r>
      <w:proofErr w:type="spellStart"/>
      <w:r>
        <w:rPr>
          <w:rFonts w:ascii="Open Sans" w:hAnsi="Open Sans" w:cs="Open Sans"/>
          <w:sz w:val="24"/>
          <w:szCs w:val="24"/>
        </w:rPr>
        <w:t>telepresencial</w:t>
      </w:r>
      <w:proofErr w:type="spellEnd"/>
      <w:r>
        <w:rPr>
          <w:rFonts w:ascii="Open Sans" w:hAnsi="Open Sans" w:cs="Open Sans"/>
          <w:sz w:val="24"/>
          <w:szCs w:val="24"/>
        </w:rPr>
        <w:t xml:space="preserve"> decorrente de instabilidade na conexão à internet de advogado, a quem cabia exclusivamente a responsabilidade pelo adequado acesso à rede mundial, de acordo com regulamento do Tribunal Regional de origem. Consignou-se</w:t>
      </w:r>
      <w:r w:rsidR="001134A7">
        <w:rPr>
          <w:rFonts w:ascii="Open Sans" w:hAnsi="Open Sans" w:cs="Open Sans"/>
          <w:sz w:val="24"/>
          <w:szCs w:val="24"/>
        </w:rPr>
        <w:t xml:space="preserve"> ainda</w:t>
      </w:r>
      <w:r>
        <w:rPr>
          <w:rFonts w:ascii="Open Sans" w:hAnsi="Open Sans" w:cs="Open Sans"/>
          <w:sz w:val="24"/>
          <w:szCs w:val="24"/>
        </w:rPr>
        <w:t xml:space="preserve"> que, na hipótese, não houve qualquer tentativa prévia de contato com a secretaria do órgão judicante com o objetivo de solicitar o adiamento ou retirada do processo da pauta do julgamento, o que somente ocorreu após a apreciação do feito. </w:t>
      </w:r>
      <w:r w:rsidRPr="00FB4150">
        <w:rPr>
          <w:rFonts w:ascii="Open Sans" w:hAnsi="Open Sans" w:cs="Open Sans"/>
          <w:sz w:val="24"/>
          <w:szCs w:val="24"/>
        </w:rPr>
        <w:t>So</w:t>
      </w:r>
      <w:r>
        <w:rPr>
          <w:rFonts w:ascii="Open Sans" w:hAnsi="Open Sans" w:cs="Open Sans"/>
          <w:sz w:val="24"/>
          <w:szCs w:val="24"/>
        </w:rPr>
        <w:t>b</w:t>
      </w:r>
      <w:r w:rsidRPr="00FB4150">
        <w:rPr>
          <w:rFonts w:ascii="Open Sans" w:hAnsi="Open Sans" w:cs="Open Sans"/>
          <w:sz w:val="24"/>
          <w:szCs w:val="24"/>
        </w:rPr>
        <w:t xml:space="preserve"> esses fundamento</w:t>
      </w:r>
      <w:r>
        <w:rPr>
          <w:rFonts w:ascii="Open Sans" w:hAnsi="Open Sans" w:cs="Open Sans"/>
          <w:sz w:val="24"/>
          <w:szCs w:val="24"/>
        </w:rPr>
        <w:t xml:space="preserve">s, a SBDI-II, por unanimidade, rejeitou a preliminar de nulidade processual por cerceamento de defesa suscitada nas razões do recurso ordinário. </w:t>
      </w:r>
      <w:hyperlink r:id="rId9" w:history="1">
        <w:r w:rsidRPr="00F9705C">
          <w:rPr>
            <w:rStyle w:val="Hyperlink"/>
            <w:rFonts w:ascii="Open Sans" w:hAnsi="Open Sans" w:cs="Open Sans"/>
            <w:sz w:val="24"/>
            <w:szCs w:val="24"/>
          </w:rPr>
          <w:t>TST-ROT-930-57.2020.5.05.0000</w:t>
        </w:r>
      </w:hyperlink>
      <w:r>
        <w:rPr>
          <w:rFonts w:ascii="Open Sans" w:hAnsi="Open Sans" w:cs="Open Sans"/>
          <w:sz w:val="24"/>
          <w:szCs w:val="24"/>
          <w:u w:val="single"/>
        </w:rPr>
        <w:t>, SBDI-II, rel. Min. Douglas Alencar Rodrigues, julgado em 17/5/2022.</w:t>
      </w:r>
    </w:p>
    <w:p w:rsidR="007C1D4F" w:rsidRDefault="007C1D4F" w:rsidP="007C1D4F">
      <w:pPr>
        <w:ind w:left="-284" w:right="367"/>
        <w:jc w:val="both"/>
        <w:rPr>
          <w:rFonts w:ascii="Open Sans" w:hAnsi="Open Sans" w:cs="Open Sans"/>
          <w:b/>
          <w:i/>
          <w:sz w:val="24"/>
          <w:szCs w:val="24"/>
        </w:rPr>
      </w:pPr>
    </w:p>
    <w:p w:rsidR="007C1D4F" w:rsidRPr="00B410DE" w:rsidRDefault="007C1D4F" w:rsidP="007C1D4F">
      <w:pPr>
        <w:ind w:left="-284" w:right="367"/>
        <w:jc w:val="both"/>
        <w:rPr>
          <w:rFonts w:ascii="Open Sans" w:hAnsi="Open Sans" w:cs="Open Sans"/>
          <w:b/>
          <w:i/>
          <w:sz w:val="24"/>
          <w:szCs w:val="24"/>
        </w:rPr>
      </w:pPr>
      <w:r w:rsidRPr="00B410DE">
        <w:rPr>
          <w:rFonts w:ascii="Open Sans" w:hAnsi="Open Sans" w:cs="Open Sans"/>
          <w:b/>
          <w:i/>
          <w:sz w:val="24"/>
          <w:szCs w:val="24"/>
        </w:rPr>
        <w:t>Recurso ordinário em Mandado de Segurança. Indeferimento do pedido de tutela de urgência no processo matriz pelo juízo de 1º grau. Concessão da segurança pelo TRT. Suspensão do termo de interdição lavrado pela Secretaria Regional do Trabalho que estabelecia a vedação de transporte de trabalhadores envolvidos na coleta de lixo até a adequação dos veículos utilizados. Inviabilização de toda a atividade. Prolação da sentença na ação originária. Perda superveniente do interesse de agi</w:t>
      </w:r>
      <w:r>
        <w:rPr>
          <w:rFonts w:ascii="Open Sans" w:hAnsi="Open Sans" w:cs="Open Sans"/>
          <w:b/>
          <w:i/>
          <w:sz w:val="24"/>
          <w:szCs w:val="24"/>
        </w:rPr>
        <w:t xml:space="preserve">r. Súmula nº 414, III, do TST. </w:t>
      </w:r>
    </w:p>
    <w:p w:rsidR="007C1D4F" w:rsidRPr="00B410DE" w:rsidRDefault="007C1D4F" w:rsidP="007C1D4F">
      <w:pPr>
        <w:ind w:left="-284" w:right="367"/>
        <w:jc w:val="both"/>
        <w:rPr>
          <w:rFonts w:ascii="Open Sans" w:hAnsi="Open Sans" w:cs="Open Sans"/>
          <w:sz w:val="24"/>
          <w:szCs w:val="24"/>
        </w:rPr>
      </w:pPr>
      <w:r w:rsidRPr="00B410DE">
        <w:rPr>
          <w:rFonts w:ascii="Open Sans" w:hAnsi="Open Sans" w:cs="Open Sans"/>
          <w:sz w:val="24"/>
          <w:szCs w:val="24"/>
        </w:rPr>
        <w:t>O termo de interdição lavrado pela Superintendência Regional do Trabalho, no qual se estabeleceu condições para o transporte de trabalhadores</w:t>
      </w:r>
      <w:r w:rsidR="006B5C5F">
        <w:rPr>
          <w:rFonts w:ascii="Open Sans" w:hAnsi="Open Sans" w:cs="Open Sans"/>
          <w:sz w:val="24"/>
          <w:szCs w:val="24"/>
        </w:rPr>
        <w:t xml:space="preserve"> envolvidos na coleta de lixo em</w:t>
      </w:r>
      <w:r w:rsidRPr="00B410DE">
        <w:rPr>
          <w:rFonts w:ascii="Open Sans" w:hAnsi="Open Sans" w:cs="Open Sans"/>
          <w:sz w:val="24"/>
          <w:szCs w:val="24"/>
        </w:rPr>
        <w:t xml:space="preserve"> município, acarreta a paralisação da própria atividade ante a impossibilidade de uso dos veículos utilizados e de adequação imediata da frota às medidas estipuladas no referido termo. Desse modo, ante o preenchimento dos requisitos do art. 300 do CPC de 2015, justific</w:t>
      </w:r>
      <w:r w:rsidR="006B5C5F">
        <w:rPr>
          <w:rFonts w:ascii="Open Sans" w:hAnsi="Open Sans" w:cs="Open Sans"/>
          <w:sz w:val="24"/>
          <w:szCs w:val="24"/>
        </w:rPr>
        <w:t xml:space="preserve">ar-se-ia a manutenção do acórdão </w:t>
      </w:r>
      <w:r w:rsidRPr="00B410DE">
        <w:rPr>
          <w:rFonts w:ascii="Open Sans" w:hAnsi="Open Sans" w:cs="Open Sans"/>
          <w:sz w:val="24"/>
          <w:szCs w:val="24"/>
        </w:rPr>
        <w:t>do Tribunal Regional que,</w:t>
      </w:r>
      <w:r w:rsidRPr="00B410DE">
        <w:rPr>
          <w:sz w:val="24"/>
          <w:szCs w:val="24"/>
        </w:rPr>
        <w:t xml:space="preserve"> </w:t>
      </w:r>
      <w:r w:rsidR="006B5C5F">
        <w:rPr>
          <w:rFonts w:ascii="Open Sans" w:hAnsi="Open Sans" w:cs="Open Sans"/>
          <w:sz w:val="24"/>
          <w:szCs w:val="24"/>
        </w:rPr>
        <w:t xml:space="preserve">cassando a </w:t>
      </w:r>
      <w:r w:rsidRPr="00B410DE">
        <w:rPr>
          <w:rFonts w:ascii="Open Sans" w:hAnsi="Open Sans" w:cs="Open Sans"/>
          <w:sz w:val="24"/>
          <w:szCs w:val="24"/>
        </w:rPr>
        <w:t xml:space="preserve">decisão que indeferiu o pedido de tutela de urgência, concedeu a segurança e suspendeu o termo de interdição. Contudo, constatada a superveniência de sentença no processo matriz (Súmula nº 414, III, do TST), a SBDI-II, por unanimidade, conheceu do recurso ordinário e, no mérito, de ofício, ante a perda superveniente do interesse jurídico da impetrante, julgou extinto o processo, sem resolução do mérito, com base no art. 485, VI, do CPC, ficando denegada a segurança, nos termos do art. 6º, § 5º, da Lei nº 12.016/2009. </w:t>
      </w:r>
      <w:hyperlink r:id="rId10" w:history="1">
        <w:r w:rsidRPr="00B410DE">
          <w:rPr>
            <w:rFonts w:ascii="Open Sans" w:hAnsi="Open Sans" w:cs="Open Sans"/>
            <w:color w:val="0000FF" w:themeColor="hyperlink"/>
            <w:sz w:val="24"/>
            <w:szCs w:val="24"/>
            <w:u w:val="single"/>
          </w:rPr>
          <w:t>TST-RO-796-08.2017.5.06.0000</w:t>
        </w:r>
      </w:hyperlink>
      <w:r w:rsidRPr="00B410DE">
        <w:rPr>
          <w:rFonts w:ascii="Open Sans" w:hAnsi="Open Sans" w:cs="Open Sans"/>
          <w:sz w:val="24"/>
          <w:szCs w:val="24"/>
          <w:u w:val="single"/>
        </w:rPr>
        <w:t>, SBDI-II, rel. Min. Luiz José Dezena da Silva, julgado em 17/5/2022.</w:t>
      </w:r>
    </w:p>
    <w:p w:rsidR="007C1D4F" w:rsidRPr="008178A4" w:rsidRDefault="007C1D4F" w:rsidP="007C1D4F">
      <w:pPr>
        <w:ind w:right="509"/>
        <w:jc w:val="both"/>
        <w:rPr>
          <w:rFonts w:ascii="Open Sans" w:hAnsi="Open Sans" w:cs="Open Sans"/>
          <w:sz w:val="24"/>
          <w:szCs w:val="24"/>
          <w:u w:val="single"/>
        </w:rPr>
      </w:pPr>
    </w:p>
    <w:p w:rsidR="001A7589" w:rsidRPr="003509A3" w:rsidRDefault="001A7589" w:rsidP="001A7589">
      <w:pPr>
        <w:pStyle w:val="Corpo"/>
        <w:pBdr>
          <w:top w:val="single" w:sz="4" w:space="1" w:color="auto"/>
          <w:left w:val="single" w:sz="4" w:space="4" w:color="auto"/>
          <w:bottom w:val="single" w:sz="4" w:space="1" w:color="auto"/>
          <w:right w:val="single" w:sz="4" w:space="0" w:color="auto"/>
        </w:pBdr>
        <w:shd w:val="solid" w:color="B8CCE4" w:fill="B8CCE4"/>
        <w:tabs>
          <w:tab w:val="center" w:pos="4819"/>
          <w:tab w:val="left" w:pos="6759"/>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TURMAS</w:t>
      </w:r>
    </w:p>
    <w:p w:rsidR="001A7589" w:rsidRDefault="001A7589" w:rsidP="001A7589">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7C1D4F" w:rsidRPr="007C1D4F" w:rsidRDefault="007C1D4F" w:rsidP="007C1D4F">
      <w:pPr>
        <w:autoSpaceDE/>
        <w:autoSpaceDN/>
        <w:jc w:val="both"/>
        <w:rPr>
          <w:rFonts w:ascii="Open Sans" w:eastAsiaTheme="minorHAnsi" w:hAnsi="Open Sans" w:cs="Open Sans"/>
          <w:sz w:val="24"/>
          <w:szCs w:val="24"/>
          <w:lang w:eastAsia="en-US"/>
        </w:rPr>
      </w:pPr>
    </w:p>
    <w:p w:rsidR="007C1D4F" w:rsidRPr="007C1D4F" w:rsidRDefault="007C1D4F" w:rsidP="007C1D4F">
      <w:pPr>
        <w:autoSpaceDE/>
        <w:autoSpaceDN/>
        <w:ind w:left="-284" w:right="367"/>
        <w:jc w:val="both"/>
        <w:rPr>
          <w:rFonts w:ascii="Open Sans" w:eastAsiaTheme="minorHAnsi" w:hAnsi="Open Sans" w:cs="Open Sans"/>
          <w:sz w:val="24"/>
          <w:szCs w:val="24"/>
          <w:u w:val="single"/>
          <w:lang w:eastAsia="en-US"/>
        </w:rPr>
      </w:pPr>
      <w:r w:rsidRPr="007C1D4F">
        <w:rPr>
          <w:rFonts w:ascii="Open Sans" w:eastAsiaTheme="minorHAnsi" w:hAnsi="Open Sans" w:cs="Open Sans"/>
          <w:sz w:val="24"/>
          <w:szCs w:val="24"/>
          <w:lang w:eastAsia="en-US"/>
        </w:rPr>
        <w:t>“[...] RECURSO DE REVISTA. AÇÃO CIVIL PÚBLICA. TRANSCENDÊNCIA RECONHECIDA. TRABALHO EM CONDIÇÕES ANÁLOGAS ÀS DE ESCRAVO. LABOR EM CONDIÇÕES DEGRADANTES. CARACTERIZAÇÃO. DESNECESSIDADE DE RESTRIÇÃO À LIBERDADE DE LOCOMOÇÃO. 1. Hipótese em que a Corte de origem, a despeito de constatar “o trabalho em condições degradantes, consistentes na precariedade da moradia, higiene e segurança oferecidas aos trabalhadores encontrados pelo grupo especial de fiscalização, destacando-se a falta de instalações sanitárias e dormitórios adequados no alojamento, bem como o não fornecimento de água potável”, afasta a caracterização do trabalho em condições análogas às de escravo, ao entendimento de que, “para a caracterização da figura do trabalho em condições análogas a de escravo, além da violação do bem jurídico ‘dignidade’, é imprescindível ofensa à ‘liberdade’, consubstanciada na restrição da autonomia dos trabalhadores, quer seja para dar início ao contrato laboral, quer seja para findá-lo quando bem entender”. 2. Todavia, o art. 149 do Código Penal, com a redação dada pela Lei nº 10.803/2003, não exige o concurso da restrição à liberdade de locomoção para a caracterização do trabalho em condições análogas às de escravo, mas elenca condutas alternativas que, isoladamente, são suficientes à configuração do tipo penal – dentre as quais “sujeitar alguém a condições degradantes de trabalho”. 3. A matéria já foi examinada pelo Plenário do STF: “PENAL. REDUÇÃO A CONDIÇÃO ANÁLOGA A DE ESCRAVO. ESCRAVIDÃO MODERNA. DESNECESSIDADE DE COAÇÃO DIRETA CONTRA A LIBERDADE DE IR E VIR. DENÚNCIA RECEBIDA. Para a configuração do crime do art. 149 do Código Penal, não é necessário que se prove a coação física da liberdade de ir e vir ou mesmo o cerceamento da liberdade de locomoção, bastando a submissão da vítima 'a trabalhos forçados ou a jornada exaustiva' ou 'a condições degradantes de trabalho', condutas alternativas previstas no tipo penal.” (</w:t>
      </w:r>
      <w:proofErr w:type="spellStart"/>
      <w:r w:rsidRPr="007C1D4F">
        <w:rPr>
          <w:rFonts w:ascii="Open Sans" w:eastAsiaTheme="minorHAnsi" w:hAnsi="Open Sans" w:cs="Open Sans"/>
          <w:sz w:val="24"/>
          <w:szCs w:val="24"/>
          <w:lang w:eastAsia="en-US"/>
        </w:rPr>
        <w:t>Inq</w:t>
      </w:r>
      <w:proofErr w:type="spellEnd"/>
      <w:r w:rsidRPr="007C1D4F">
        <w:rPr>
          <w:rFonts w:ascii="Open Sans" w:eastAsiaTheme="minorHAnsi" w:hAnsi="Open Sans" w:cs="Open Sans"/>
          <w:sz w:val="24"/>
          <w:szCs w:val="24"/>
          <w:lang w:eastAsia="en-US"/>
        </w:rPr>
        <w:t>. 3.412/AL, Plenário, Redatora Ministra. Rosa Weber, julgado em 29/3/2012) Há também precedente desta Corte e reiterados julgados do STJ nesse mesmo sentido. 4. No caso, delineado o trabalho em condições degradantes, a descaracterização do trabalho em condições análogas a de escravo viola o art. 149 do Código Penal. Recurso de revista conhecido e provido.” (</w:t>
      </w:r>
      <w:hyperlink r:id="rId11" w:history="1">
        <w:r w:rsidRPr="007C1D4F">
          <w:rPr>
            <w:rFonts w:ascii="Open Sans" w:eastAsiaTheme="minorHAnsi" w:hAnsi="Open Sans" w:cs="Open Sans"/>
            <w:color w:val="0000FF" w:themeColor="hyperlink"/>
            <w:sz w:val="24"/>
            <w:szCs w:val="24"/>
            <w:u w:val="single"/>
            <w:lang w:eastAsia="en-US"/>
          </w:rPr>
          <w:t>TST-RR-450-57.2017.5.23.0041</w:t>
        </w:r>
      </w:hyperlink>
      <w:r w:rsidRPr="007C1D4F">
        <w:rPr>
          <w:rFonts w:ascii="Open Sans" w:eastAsiaTheme="minorHAnsi" w:hAnsi="Open Sans" w:cs="Open Sans"/>
          <w:sz w:val="24"/>
          <w:szCs w:val="24"/>
          <w:lang w:eastAsia="en-US"/>
        </w:rPr>
        <w:t xml:space="preserve">, 1ª Turma, rel. Min. Hugo Carlos </w:t>
      </w:r>
      <w:proofErr w:type="spellStart"/>
      <w:r w:rsidRPr="007C1D4F">
        <w:rPr>
          <w:rFonts w:ascii="Open Sans" w:eastAsiaTheme="minorHAnsi" w:hAnsi="Open Sans" w:cs="Open Sans"/>
          <w:sz w:val="24"/>
          <w:szCs w:val="24"/>
          <w:lang w:eastAsia="en-US"/>
        </w:rPr>
        <w:t>Scheuermann</w:t>
      </w:r>
      <w:proofErr w:type="spellEnd"/>
      <w:r w:rsidRPr="007C1D4F">
        <w:rPr>
          <w:rFonts w:ascii="Open Sans" w:eastAsiaTheme="minorHAnsi" w:hAnsi="Open Sans" w:cs="Open Sans"/>
          <w:sz w:val="24"/>
          <w:szCs w:val="24"/>
          <w:lang w:eastAsia="en-US"/>
        </w:rPr>
        <w:t>, Julgado em 27/4/2022)</w:t>
      </w:r>
    </w:p>
    <w:p w:rsidR="007C1D4F" w:rsidRPr="007C1D4F" w:rsidRDefault="007C1D4F" w:rsidP="007C1D4F">
      <w:pPr>
        <w:ind w:left="-284" w:right="367"/>
        <w:jc w:val="both"/>
        <w:outlineLvl w:val="0"/>
        <w:rPr>
          <w:rFonts w:ascii="Open Sans" w:eastAsiaTheme="minorHAnsi" w:hAnsi="Open Sans" w:cs="Open Sans"/>
          <w:color w:val="FF0000"/>
          <w:sz w:val="24"/>
          <w:szCs w:val="24"/>
          <w:u w:val="single"/>
          <w:lang w:eastAsia="en-US"/>
        </w:rPr>
      </w:pPr>
    </w:p>
    <w:p w:rsidR="007C1D4F" w:rsidRPr="007C1D4F" w:rsidRDefault="007C1D4F" w:rsidP="007C1D4F">
      <w:pPr>
        <w:autoSpaceDE/>
        <w:autoSpaceDN/>
        <w:ind w:left="-284" w:right="367"/>
        <w:jc w:val="both"/>
        <w:rPr>
          <w:rFonts w:ascii="Open Sans" w:eastAsiaTheme="minorHAnsi" w:hAnsi="Open Sans" w:cs="Open Sans"/>
          <w:sz w:val="24"/>
          <w:szCs w:val="24"/>
          <w:u w:val="single"/>
          <w:lang w:eastAsia="en-US"/>
        </w:rPr>
      </w:pPr>
      <w:r w:rsidRPr="007C1D4F">
        <w:rPr>
          <w:rFonts w:ascii="Open Sans" w:eastAsiaTheme="minorHAnsi" w:hAnsi="Open Sans" w:cs="Open Sans"/>
          <w:sz w:val="24"/>
          <w:szCs w:val="24"/>
          <w:lang w:eastAsia="en-US"/>
        </w:rPr>
        <w:t xml:space="preserve">“[...] AÇÃO COLETIVA. SENTENÇA GENÉRICA. INDIVIDUALIZAÇÃO DOS BENEFICIÁRIOS APÓS O TRÂNSITO EM JULGADO. POSSIBILIDADE DE ALEGAÇÃO DE SITUAÇÕES INDIVIDUAIS QUE REPRESENTAM CAUSAS IMPEDITIVAS, MODIFICATIVAS OU EXTINTIVAS DO DIREITO RECONHECIDO NO TÍTULO EXECUTIVO COLETIVO. PRESCRIÇÃO. INAPLICABILIDADE DA SÚMULA Nº 153 DO TST. 1. Nas ações coletivas em que não há </w:t>
      </w:r>
      <w:r w:rsidRPr="007C1D4F">
        <w:rPr>
          <w:rFonts w:ascii="Open Sans" w:eastAsiaTheme="minorHAnsi" w:hAnsi="Open Sans" w:cs="Open Sans"/>
          <w:sz w:val="24"/>
          <w:szCs w:val="24"/>
          <w:lang w:eastAsia="en-US"/>
        </w:rPr>
        <w:lastRenderedPageBreak/>
        <w:t xml:space="preserve">individualização ou identificação precisa dos possíveis beneficiários, a sentença será, por natureza, genérica, cabendo a individualização dos substituídos apenas por ocasião da liquidação, momento em que a ré poderá alegar situações individuais que possam representar causas impeditivas, modificativas ou extintivas do direito reconhecido na sentença coletiva transitada em julgado, não sendo possível falar em preclusão ou ofensa à coisa julgada. 2. O cumprimento da sentença genérica exige atividade cognitiva complementar, pois, como explica </w:t>
      </w:r>
      <w:proofErr w:type="spellStart"/>
      <w:r w:rsidRPr="007C1D4F">
        <w:rPr>
          <w:rFonts w:ascii="Open Sans" w:eastAsiaTheme="minorHAnsi" w:hAnsi="Open Sans" w:cs="Open Sans"/>
          <w:sz w:val="24"/>
          <w:szCs w:val="24"/>
          <w:lang w:eastAsia="en-US"/>
        </w:rPr>
        <w:t>Teori</w:t>
      </w:r>
      <w:proofErr w:type="spellEnd"/>
      <w:r w:rsidRPr="007C1D4F">
        <w:rPr>
          <w:rFonts w:ascii="Open Sans" w:eastAsiaTheme="minorHAnsi" w:hAnsi="Open Sans" w:cs="Open Sans"/>
          <w:sz w:val="24"/>
          <w:szCs w:val="24"/>
          <w:lang w:eastAsia="en-US"/>
        </w:rPr>
        <w:t xml:space="preserve"> Zavascki, “o juízo da sentença primitiva foi limitado quanto à cognição, que ficou restrita ao núcleo de homogeneidade dos direitos. A especificação da matéria, a sua individualização em situações concretas, dar-se-á, na verdade, justamente nessa segunda etapa da atividade cognitiva”. 3. Assim, a consumação da prescrição bienal total, por dizer respeito à situação particular de determinado indivíduo, escapa do núcleo homogêneo disciplinado pela sentença genérica, o que justifica a possibilidade de sua invocação na fase de liquidação, não incidindo o óbice da Súmula nº 153 do TST. 4. No caso concreto, é de se confirmar a decisão do Tribunal Regional que afastou, em razão da prescrição, a incidência da disciplina da sentença genérica decorrente de ação coletiva ajuizada em outubro/2017 em um contrato de trabalho extinto em fevereiro de 2012. Agravo de instrumento a que se nega provimento.” (</w:t>
      </w:r>
      <w:hyperlink r:id="rId12" w:history="1">
        <w:r w:rsidRPr="007C1D4F">
          <w:rPr>
            <w:rFonts w:ascii="Open Sans" w:eastAsiaTheme="minorHAnsi" w:hAnsi="Open Sans" w:cs="Open Sans"/>
            <w:color w:val="0000FF" w:themeColor="hyperlink"/>
            <w:sz w:val="24"/>
            <w:szCs w:val="24"/>
            <w:u w:val="single"/>
            <w:lang w:eastAsia="en-US"/>
          </w:rPr>
          <w:t>TST-AIRR-399-97.2020.5.21.0008</w:t>
        </w:r>
      </w:hyperlink>
      <w:r w:rsidRPr="007C1D4F">
        <w:rPr>
          <w:rFonts w:ascii="Open Sans" w:eastAsiaTheme="minorHAnsi" w:hAnsi="Open Sans" w:cs="Open Sans"/>
          <w:sz w:val="24"/>
          <w:szCs w:val="24"/>
          <w:lang w:eastAsia="en-US"/>
        </w:rPr>
        <w:t>, 1ª Turma, rel. Min. Amaury Rodrigues Pinto Júnior, Julgado em 4/5/2022)</w:t>
      </w:r>
    </w:p>
    <w:p w:rsidR="007C1D4F" w:rsidRPr="007C1D4F" w:rsidRDefault="007C1D4F" w:rsidP="007C1D4F">
      <w:pPr>
        <w:ind w:left="-284" w:right="367"/>
        <w:jc w:val="both"/>
        <w:rPr>
          <w:rFonts w:ascii="Open Sans" w:eastAsiaTheme="minorHAnsi" w:hAnsi="Open Sans" w:cs="Open Sans"/>
          <w:sz w:val="24"/>
          <w:szCs w:val="24"/>
          <w:lang w:eastAsia="en-US"/>
        </w:rPr>
      </w:pPr>
    </w:p>
    <w:p w:rsidR="007C1D4F" w:rsidRPr="007C1D4F" w:rsidRDefault="007C1D4F" w:rsidP="007C1D4F">
      <w:pPr>
        <w:ind w:left="-284" w:right="367"/>
        <w:jc w:val="both"/>
        <w:rPr>
          <w:rFonts w:ascii="Open Sans" w:eastAsiaTheme="minorEastAsia" w:hAnsi="Open Sans" w:cs="Open Sans"/>
          <w:color w:val="000000"/>
          <w:sz w:val="24"/>
          <w:szCs w:val="24"/>
        </w:rPr>
      </w:pPr>
      <w:r w:rsidRPr="007C1D4F">
        <w:rPr>
          <w:rFonts w:ascii="Open Sans" w:eastAsiaTheme="minorEastAsia" w:hAnsi="Open Sans" w:cs="Open Sans"/>
          <w:color w:val="000000"/>
          <w:sz w:val="24"/>
          <w:szCs w:val="24"/>
        </w:rPr>
        <w:t xml:space="preserve">“[...] INDENIZAÇÃO POR DANO MORAL. CONDUTA DISCRIMINATÓRIA. No âmbito da relação de trabalho, sempre que o empregador promover tratamento diferenciado de seus empregados, sem motivo justificável ou razoável, seja para impedir o desenvolvimento de suas atividades seja para estabelecer desigualdades quanto à forma de promoção, ficará caraterizada a conduta discriminatória que atenta contra a dignidade e personalidade do trabalhador, apta a ensejar a reparação por dano moral. No caso, o </w:t>
      </w:r>
      <w:proofErr w:type="spellStart"/>
      <w:r w:rsidRPr="007C1D4F">
        <w:rPr>
          <w:rFonts w:ascii="Open Sans" w:eastAsiaTheme="minorEastAsia" w:hAnsi="Open Sans" w:cs="Open Sans"/>
          <w:color w:val="000000"/>
          <w:sz w:val="24"/>
          <w:szCs w:val="24"/>
        </w:rPr>
        <w:t>eg</w:t>
      </w:r>
      <w:proofErr w:type="spellEnd"/>
      <w:r w:rsidRPr="007C1D4F">
        <w:rPr>
          <w:rFonts w:ascii="Open Sans" w:eastAsiaTheme="minorEastAsia" w:hAnsi="Open Sans" w:cs="Open Sans"/>
          <w:color w:val="000000"/>
          <w:sz w:val="24"/>
          <w:szCs w:val="24"/>
        </w:rPr>
        <w:t>. Tribunal Regional, com base na valoração da prova, concluiu pela existência de conduta discriminatória praticada pelo banco reclamado, por ter deixado de promover o reclamante para o cargo de gerente durante o contrato do trabalho, não obstante outros empregados, em idêntica situação, tivessem sido designados para a função. Registrou que o reclamante, não obstante tivesse participado do programa “Novos Gestores” (concurso interno de Gestores) e ter concluído todas as etapas desse programa, não foi alçado à função de gerente, sendo que “</w:t>
      </w:r>
      <w:r w:rsidRPr="007C1D4F">
        <w:rPr>
          <w:rFonts w:ascii="Open Sans" w:eastAsiaTheme="minorEastAsia" w:hAnsi="Open Sans" w:cs="Open Sans"/>
          <w:i/>
          <w:color w:val="000000"/>
          <w:sz w:val="24"/>
          <w:szCs w:val="24"/>
        </w:rPr>
        <w:t>os demais empregados que participaram e foram selecionados pelo programa em referência alcançaram o objetivo e foram alçados à função de gerência</w:t>
      </w:r>
      <w:r w:rsidRPr="007C1D4F">
        <w:rPr>
          <w:rFonts w:ascii="Open Sans" w:eastAsiaTheme="minorEastAsia" w:hAnsi="Open Sans" w:cs="Open Sans"/>
          <w:color w:val="000000"/>
          <w:sz w:val="24"/>
          <w:szCs w:val="24"/>
        </w:rPr>
        <w:t>”; que, pelo programa, “</w:t>
      </w:r>
      <w:r w:rsidRPr="007C1D4F">
        <w:rPr>
          <w:rFonts w:ascii="Open Sans" w:eastAsiaTheme="minorEastAsia" w:hAnsi="Open Sans" w:cs="Open Sans"/>
          <w:i/>
          <w:color w:val="000000"/>
          <w:sz w:val="24"/>
          <w:szCs w:val="24"/>
        </w:rPr>
        <w:t>se houvessem vagas, todos os aprovados, em igualdade de condições deveriam assumi-las”</w:t>
      </w:r>
      <w:r w:rsidRPr="007C1D4F">
        <w:rPr>
          <w:rFonts w:ascii="Open Sans" w:eastAsiaTheme="minorEastAsia" w:hAnsi="Open Sans" w:cs="Open Sans"/>
          <w:color w:val="000000"/>
          <w:sz w:val="24"/>
          <w:szCs w:val="24"/>
        </w:rPr>
        <w:t xml:space="preserve"> e que o </w:t>
      </w:r>
      <w:r w:rsidRPr="007C1D4F">
        <w:rPr>
          <w:rFonts w:ascii="Open Sans" w:eastAsiaTheme="minorEastAsia" w:hAnsi="Open Sans" w:cs="Open Sans"/>
          <w:i/>
          <w:color w:val="000000"/>
          <w:sz w:val="24"/>
          <w:szCs w:val="24"/>
        </w:rPr>
        <w:t>“autor foi preterido no Banco em face de outros empregados para ocupar a função de gerente, sem justificativa</w:t>
      </w:r>
      <w:r w:rsidRPr="007C1D4F">
        <w:rPr>
          <w:rFonts w:ascii="Open Sans" w:eastAsiaTheme="minorEastAsia" w:hAnsi="Open Sans" w:cs="Open Sans"/>
          <w:i/>
          <w:color w:val="000000"/>
          <w:sz w:val="24"/>
          <w:szCs w:val="24"/>
          <w:u w:val="single"/>
        </w:rPr>
        <w:t xml:space="preserve"> </w:t>
      </w:r>
      <w:r w:rsidRPr="007C1D4F">
        <w:rPr>
          <w:rFonts w:ascii="Open Sans" w:eastAsiaTheme="minorEastAsia" w:hAnsi="Open Sans" w:cs="Open Sans"/>
          <w:i/>
          <w:color w:val="000000"/>
          <w:sz w:val="24"/>
          <w:szCs w:val="24"/>
        </w:rPr>
        <w:t xml:space="preserve">razoável”. </w:t>
      </w:r>
      <w:r w:rsidRPr="007C1D4F">
        <w:rPr>
          <w:rFonts w:ascii="Open Sans" w:eastAsiaTheme="minorEastAsia" w:hAnsi="Open Sans" w:cs="Open Sans"/>
          <w:color w:val="000000"/>
          <w:sz w:val="24"/>
          <w:szCs w:val="24"/>
        </w:rPr>
        <w:t xml:space="preserve">Diante desse cenário, insuscetível de reexame por esta Corte Superior (Súmula 126/TST), em que foi evidenciada a conduta discriminatória praticada pelo reclamado e, portanto, o ato ilícito para amparar a reparação pleiteada, não se verifica a alegada ofensa aos artigos 186 do CCB e 5º, V e X, da CR. Ressalte-se que o poder </w:t>
      </w:r>
      <w:r w:rsidRPr="007C1D4F">
        <w:rPr>
          <w:rFonts w:ascii="Open Sans" w:eastAsiaTheme="minorEastAsia" w:hAnsi="Open Sans" w:cs="Open Sans"/>
          <w:color w:val="000000"/>
          <w:sz w:val="24"/>
          <w:szCs w:val="24"/>
        </w:rPr>
        <w:lastRenderedPageBreak/>
        <w:t>diretivo do empregador encontra limites na dignidade da pessoa humana e dos direitos da personalidade do empregado e, por esse motivo, desautoriza a prática de discriminação injustificada no ambiente de trabalho. Agravo conhecido e desprovido.” (</w:t>
      </w:r>
      <w:hyperlink r:id="rId13" w:history="1">
        <w:r w:rsidRPr="007C1D4F">
          <w:rPr>
            <w:rFonts w:ascii="Open Sans" w:eastAsiaTheme="minorEastAsia" w:hAnsi="Open Sans" w:cs="Open Sans"/>
            <w:color w:val="0000FF" w:themeColor="hyperlink"/>
            <w:sz w:val="24"/>
            <w:szCs w:val="24"/>
            <w:u w:val="single"/>
          </w:rPr>
          <w:t>TST-Ag-ARR-277-87.2014.5.09.0668</w:t>
        </w:r>
      </w:hyperlink>
      <w:r w:rsidRPr="007C1D4F">
        <w:rPr>
          <w:rFonts w:ascii="Open Sans" w:eastAsiaTheme="minorEastAsia" w:hAnsi="Open Sans" w:cs="Open Sans"/>
          <w:color w:val="000000"/>
          <w:sz w:val="24"/>
          <w:szCs w:val="24"/>
        </w:rPr>
        <w:t xml:space="preserve">, 3ª Turma, rel. Min. Alberto Bastos </w:t>
      </w:r>
      <w:proofErr w:type="spellStart"/>
      <w:r w:rsidRPr="007C1D4F">
        <w:rPr>
          <w:rFonts w:ascii="Open Sans" w:eastAsiaTheme="minorEastAsia" w:hAnsi="Open Sans" w:cs="Open Sans"/>
          <w:color w:val="000000"/>
          <w:sz w:val="24"/>
          <w:szCs w:val="24"/>
        </w:rPr>
        <w:t>Balazeiro</w:t>
      </w:r>
      <w:proofErr w:type="spellEnd"/>
      <w:r w:rsidRPr="007C1D4F">
        <w:rPr>
          <w:rFonts w:ascii="Open Sans" w:eastAsiaTheme="minorEastAsia" w:hAnsi="Open Sans" w:cs="Open Sans"/>
          <w:color w:val="000000"/>
          <w:sz w:val="24"/>
          <w:szCs w:val="24"/>
        </w:rPr>
        <w:t>, julgado em 2/5/2022)</w:t>
      </w:r>
    </w:p>
    <w:p w:rsidR="007C1D4F" w:rsidRPr="007C1D4F" w:rsidRDefault="007C1D4F" w:rsidP="007C1D4F">
      <w:pPr>
        <w:autoSpaceDE/>
        <w:autoSpaceDN/>
        <w:ind w:left="-284" w:right="367"/>
        <w:jc w:val="both"/>
        <w:rPr>
          <w:rFonts w:ascii="Open Sans" w:eastAsiaTheme="minorHAnsi" w:hAnsi="Open Sans" w:cs="Open Sans"/>
          <w:sz w:val="24"/>
          <w:szCs w:val="24"/>
          <w:lang w:eastAsia="en-US"/>
        </w:rPr>
      </w:pPr>
    </w:p>
    <w:p w:rsidR="007C1D4F" w:rsidRPr="007C1D4F" w:rsidRDefault="007C1D4F" w:rsidP="007C1D4F">
      <w:pPr>
        <w:ind w:left="-284" w:right="367"/>
        <w:jc w:val="both"/>
        <w:rPr>
          <w:rFonts w:ascii="Open Sans" w:eastAsiaTheme="minorEastAsia" w:hAnsi="Open Sans" w:cs="Open Sans"/>
          <w:color w:val="000000"/>
          <w:sz w:val="24"/>
          <w:szCs w:val="24"/>
        </w:rPr>
      </w:pPr>
      <w:r w:rsidRPr="007C1D4F">
        <w:rPr>
          <w:rFonts w:ascii="Open Sans" w:hAnsi="Open Sans" w:cs="Open Sans"/>
          <w:color w:val="000000"/>
          <w:sz w:val="24"/>
          <w:szCs w:val="24"/>
        </w:rPr>
        <w:t xml:space="preserve">“[...] III - </w:t>
      </w:r>
      <w:r w:rsidRPr="007C1D4F">
        <w:rPr>
          <w:rFonts w:ascii="Open Sans" w:eastAsiaTheme="minorEastAsia" w:hAnsi="Open Sans" w:cs="Open Sans"/>
          <w:bCs/>
          <w:color w:val="000000"/>
          <w:sz w:val="24"/>
          <w:szCs w:val="24"/>
        </w:rPr>
        <w:t xml:space="preserve">RECURSO DE REVISTA. ACÓRDÃO DO REGIONAL PUBLICADO SOB A ÉGIDE DA LEI 13.467/2017. </w:t>
      </w:r>
      <w:r w:rsidRPr="007C1D4F">
        <w:rPr>
          <w:rFonts w:ascii="Open Sans" w:hAnsi="Open Sans" w:cs="Open Sans"/>
          <w:color w:val="000000"/>
          <w:sz w:val="24"/>
          <w:szCs w:val="24"/>
        </w:rPr>
        <w:t>AÇÃO DE INDENIZAÇÃO POR DANOS EXTRAPATRIMONIAIS E PATRIMONIAIS DECORRENTES DA CONTRATAÇÃO IRREGULAR DE EMPREGADOS TERCEIRIZADOS EM DETRIMENTO DE TRABALHADORES CONCURSA</w:t>
      </w:r>
      <w:r>
        <w:rPr>
          <w:rFonts w:ascii="Open Sans" w:hAnsi="Open Sans" w:cs="Open Sans"/>
          <w:color w:val="000000"/>
          <w:sz w:val="24"/>
          <w:szCs w:val="24"/>
        </w:rPr>
        <w:t>DOS. PRESCRIÇÃO. MARCO INICIAL.</w:t>
      </w:r>
      <w:r w:rsidRPr="007C1D4F">
        <w:rPr>
          <w:rFonts w:ascii="Open Sans" w:hAnsi="Open Sans" w:cs="Open Sans"/>
          <w:color w:val="000000"/>
          <w:sz w:val="24"/>
          <w:szCs w:val="24"/>
        </w:rPr>
        <w:t xml:space="preserve"> </w:t>
      </w:r>
      <w:r w:rsidRPr="007C1D4F">
        <w:rPr>
          <w:rFonts w:ascii="Open Sans" w:eastAsiaTheme="minorEastAsia" w:hAnsi="Open Sans" w:cs="Open Sans"/>
          <w:color w:val="000000"/>
          <w:sz w:val="24"/>
          <w:szCs w:val="24"/>
        </w:rPr>
        <w:t xml:space="preserve">A controvérsia se assenta na definição do início do prazo prescricional da ação de indenização por danos extrapatrimoniais e patrimoniais decorrentes da ilicitude da contratação de empregados terceirizados em detrimento de trabalhadores concursados. A Corte Regional manteve a pronúncia da prescrição da pretensão constante da presente ação, ao fundamento de que o início da contagem do prazo prescricional, a </w:t>
      </w:r>
      <w:proofErr w:type="spellStart"/>
      <w:r w:rsidRPr="007C1D4F">
        <w:rPr>
          <w:rFonts w:ascii="Open Sans" w:eastAsiaTheme="minorEastAsia" w:hAnsi="Open Sans" w:cs="Open Sans"/>
          <w:i/>
          <w:color w:val="000000"/>
          <w:sz w:val="24"/>
          <w:szCs w:val="24"/>
        </w:rPr>
        <w:t>actio</w:t>
      </w:r>
      <w:proofErr w:type="spellEnd"/>
      <w:r w:rsidRPr="007C1D4F">
        <w:rPr>
          <w:rFonts w:ascii="Open Sans" w:eastAsiaTheme="minorEastAsia" w:hAnsi="Open Sans" w:cs="Open Sans"/>
          <w:i/>
          <w:color w:val="000000"/>
          <w:sz w:val="24"/>
          <w:szCs w:val="24"/>
        </w:rPr>
        <w:t xml:space="preserve"> nata</w:t>
      </w:r>
      <w:r w:rsidRPr="007C1D4F">
        <w:rPr>
          <w:rFonts w:ascii="Open Sans" w:eastAsiaTheme="minorEastAsia" w:hAnsi="Open Sans" w:cs="Open Sans"/>
          <w:color w:val="000000"/>
          <w:sz w:val="24"/>
          <w:szCs w:val="24"/>
        </w:rPr>
        <w:t xml:space="preserve">, ocorreu com o fim da validade do certame, em 17/01/2008, sem que os substituídos tivessem sido contratados, não sendo intentada a ação no prazo quinquenal. Por outro lado, entendeu, também, que a ação civil pública anteriormente intentada, que reconheceu a ilicitude da terceirização, não teve o condão de interromper o prazo prescricional, na medida em que dela não </w:t>
      </w:r>
      <w:r>
        <w:rPr>
          <w:rFonts w:ascii="Open Sans" w:eastAsiaTheme="minorEastAsia" w:hAnsi="Open Sans" w:cs="Open Sans"/>
          <w:color w:val="000000"/>
          <w:sz w:val="24"/>
          <w:szCs w:val="24"/>
        </w:rPr>
        <w:t>constava pedido de indenização.</w:t>
      </w:r>
      <w:r w:rsidRPr="007C1D4F">
        <w:rPr>
          <w:rFonts w:ascii="Open Sans" w:eastAsiaTheme="minorEastAsia" w:hAnsi="Open Sans" w:cs="Open Sans"/>
          <w:color w:val="000000"/>
          <w:sz w:val="24"/>
          <w:szCs w:val="24"/>
        </w:rPr>
        <w:t xml:space="preserve"> Conforme se depreende dos autos, da ação civil pública intentada pelo Sindicato autor, em que foi reconhecida a ilicitude da terceirização, não constou pedido de indenização por danos extrapatrimoniais e patrimoniais decorrentes da ilicitude do ato. O pleito indenizatório somente foi ajuizado após o reconhecimento </w:t>
      </w:r>
      <w:r w:rsidRPr="007C1D4F">
        <w:rPr>
          <w:rFonts w:ascii="Open Sans" w:hAnsi="Open Sans" w:cs="Open Sans"/>
          <w:color w:val="000000"/>
          <w:sz w:val="24"/>
          <w:szCs w:val="24"/>
        </w:rPr>
        <w:t xml:space="preserve">do direito à nomeação pela primeira ação (ACP), que transitou em julgado em março de 2016, </w:t>
      </w:r>
      <w:r w:rsidRPr="007C1D4F">
        <w:rPr>
          <w:rFonts w:ascii="Open Sans" w:eastAsiaTheme="minorEastAsia" w:hAnsi="Open Sans" w:cs="Open Sans"/>
          <w:color w:val="000000"/>
          <w:sz w:val="24"/>
          <w:szCs w:val="24"/>
        </w:rPr>
        <w:t xml:space="preserve">quando foi reconhecido o ato ilícito e definido o real número de substituídos que foram preteridos com a contratação irregular dos terceirizados. Ou seja, antes do trânsito em julgado dessa decisão, sequer tinha-se a subjetivação dos sujeitos passíveis de indenização. Saliente-se que a nomeação ocorrida em 2009 se deu por decisão passível de ser modificada em sede recursal. Assim, apenas com o trânsito em julgado da sentença que reconheceu o ato Ilícito ocorreu o reconhecimento inequívoco da lesão ao direito dos substituídos, causadora dos danos extrapatrimoniais e patrimoniais. </w:t>
      </w:r>
      <w:r w:rsidRPr="007C1D4F">
        <w:rPr>
          <w:rFonts w:ascii="Open Sans" w:hAnsi="Open Sans" w:cs="Open Sans"/>
          <w:color w:val="000000"/>
          <w:sz w:val="24"/>
          <w:szCs w:val="24"/>
        </w:rPr>
        <w:t xml:space="preserve">Com estas razões, entende-se que a </w:t>
      </w:r>
      <w:proofErr w:type="spellStart"/>
      <w:r w:rsidRPr="007C1D4F">
        <w:rPr>
          <w:rFonts w:ascii="Open Sans" w:hAnsi="Open Sans" w:cs="Open Sans"/>
          <w:i/>
          <w:color w:val="000000"/>
          <w:sz w:val="24"/>
          <w:szCs w:val="24"/>
        </w:rPr>
        <w:t>actio</w:t>
      </w:r>
      <w:proofErr w:type="spellEnd"/>
      <w:r w:rsidRPr="007C1D4F">
        <w:rPr>
          <w:rFonts w:ascii="Open Sans" w:hAnsi="Open Sans" w:cs="Open Sans"/>
          <w:i/>
          <w:color w:val="000000"/>
          <w:sz w:val="24"/>
          <w:szCs w:val="24"/>
        </w:rPr>
        <w:t xml:space="preserve"> nata</w:t>
      </w:r>
      <w:r w:rsidRPr="007C1D4F">
        <w:rPr>
          <w:rFonts w:ascii="Open Sans" w:hAnsi="Open Sans" w:cs="Open Sans"/>
          <w:color w:val="000000"/>
          <w:sz w:val="24"/>
          <w:szCs w:val="24"/>
        </w:rPr>
        <w:t xml:space="preserve"> para a ação de reparação por danos morais e materiais somente ocorreu com o trânsito em julgado da ação civil pública, com o reconhecimento inequí</w:t>
      </w:r>
      <w:r>
        <w:rPr>
          <w:rFonts w:ascii="Open Sans" w:hAnsi="Open Sans" w:cs="Open Sans"/>
          <w:color w:val="000000"/>
          <w:sz w:val="24"/>
          <w:szCs w:val="24"/>
        </w:rPr>
        <w:t>voco da lesão aos substituídos.</w:t>
      </w:r>
      <w:r w:rsidRPr="007C1D4F">
        <w:rPr>
          <w:rFonts w:ascii="Open Sans" w:hAnsi="Open Sans" w:cs="Open Sans"/>
          <w:color w:val="000000"/>
          <w:sz w:val="24"/>
          <w:szCs w:val="24"/>
        </w:rPr>
        <w:t xml:space="preserve"> Logo, o Regional mal aplicou o art. 202, I, do CCB, ao entender que no caso não se tratava de interrupção da prescrição, corroborando a sua incidência, sem atentar para a </w:t>
      </w:r>
      <w:proofErr w:type="spellStart"/>
      <w:r w:rsidRPr="007C1D4F">
        <w:rPr>
          <w:rFonts w:ascii="Open Sans" w:hAnsi="Open Sans" w:cs="Open Sans"/>
          <w:i/>
          <w:color w:val="000000"/>
          <w:sz w:val="24"/>
          <w:szCs w:val="24"/>
        </w:rPr>
        <w:t>actio</w:t>
      </w:r>
      <w:proofErr w:type="spellEnd"/>
      <w:r w:rsidRPr="007C1D4F">
        <w:rPr>
          <w:rFonts w:ascii="Open Sans" w:hAnsi="Open Sans" w:cs="Open Sans"/>
          <w:i/>
          <w:color w:val="000000"/>
          <w:sz w:val="24"/>
          <w:szCs w:val="24"/>
        </w:rPr>
        <w:t xml:space="preserve"> nata</w:t>
      </w:r>
      <w:r w:rsidRPr="007C1D4F">
        <w:rPr>
          <w:rFonts w:ascii="Open Sans" w:hAnsi="Open Sans" w:cs="Open Sans"/>
          <w:color w:val="000000"/>
          <w:sz w:val="24"/>
          <w:szCs w:val="24"/>
        </w:rPr>
        <w:t xml:space="preserve">, não se havendo cogitar de interrupção ou não da prescrição. Nesse sentido, precedentes do STJ. </w:t>
      </w:r>
      <w:r w:rsidRPr="007C1D4F">
        <w:rPr>
          <w:rFonts w:ascii="Open Sans" w:eastAsiaTheme="minorEastAsia" w:hAnsi="Open Sans" w:cs="Open Sans"/>
          <w:color w:val="000000"/>
          <w:sz w:val="24"/>
          <w:szCs w:val="24"/>
        </w:rPr>
        <w:t xml:space="preserve">Acrescente-se, ainda, como reforço de fundamentação, que a situação dos autos é semelhante àquela prevista na OJ 401 da SBDI- 1 do TST, que preceitua: </w:t>
      </w:r>
      <w:r w:rsidRPr="007C1D4F">
        <w:rPr>
          <w:rFonts w:ascii="Open Sans" w:eastAsiaTheme="minorEastAsia" w:hAnsi="Open Sans" w:cs="Open Sans"/>
          <w:i/>
          <w:color w:val="000000"/>
          <w:sz w:val="24"/>
          <w:szCs w:val="24"/>
        </w:rPr>
        <w:t xml:space="preserve">“O marco inicial da contagem do prazo prescricional para o </w:t>
      </w:r>
      <w:r w:rsidRPr="007C1D4F">
        <w:rPr>
          <w:rFonts w:ascii="Open Sans" w:eastAsiaTheme="minorEastAsia" w:hAnsi="Open Sans" w:cs="Open Sans"/>
          <w:i/>
          <w:color w:val="000000"/>
          <w:sz w:val="24"/>
          <w:szCs w:val="24"/>
        </w:rPr>
        <w:lastRenderedPageBreak/>
        <w:t>ajuizamento de ação condenatória, quando advém a dispensa do empregado no curso de ação declaratória que possua a mesma causa de pedir remota, é o trânsito em julgado da decisão proferida na ação declaratória e não a data da extinção do contrato de trabalho.</w:t>
      </w:r>
      <w:r w:rsidRPr="007C1D4F">
        <w:rPr>
          <w:rFonts w:ascii="Open Sans" w:eastAsiaTheme="minorEastAsia" w:hAnsi="Open Sans" w:cs="Open Sans"/>
          <w:color w:val="000000"/>
          <w:sz w:val="24"/>
          <w:szCs w:val="24"/>
        </w:rPr>
        <w:t>” Pondera-se que no caso dos autos a ação civil pública mencionada não contém carga meramente declaratória, porém em relação ao reconhecimento do ato ilícito, sustentáculo para a presente ação de indenização por danos morais e materiais, a carga declaratória do comando sentencial é que dá subsídio para a ação indenizatória. Conforme os fundamentos expostos, o marco inicial do prazo prescricional deve ocorrer com o trânsito em julgado da Ação Civil Pública, ocorrido em 17/3/2016. Dessa forma, ajuizada a presente reclamação em 10/11/2017, dentro do quinquênio prescricional, não há que se falar em prescriç</w:t>
      </w:r>
      <w:r>
        <w:rPr>
          <w:rFonts w:ascii="Open Sans" w:eastAsiaTheme="minorEastAsia" w:hAnsi="Open Sans" w:cs="Open Sans"/>
          <w:color w:val="000000"/>
          <w:sz w:val="24"/>
          <w:szCs w:val="24"/>
        </w:rPr>
        <w:t xml:space="preserve">ão. </w:t>
      </w:r>
      <w:r w:rsidRPr="007C1D4F">
        <w:rPr>
          <w:rFonts w:ascii="Open Sans" w:eastAsiaTheme="minorEastAsia" w:hAnsi="Open Sans" w:cs="Open Sans"/>
          <w:color w:val="000000"/>
          <w:sz w:val="24"/>
          <w:szCs w:val="24"/>
        </w:rPr>
        <w:t>Recurso de revista conhecido por má-aplicação do art. 202, I, do CCB e provido.” (</w:t>
      </w:r>
      <w:hyperlink r:id="rId14" w:history="1">
        <w:r w:rsidRPr="007C1D4F">
          <w:rPr>
            <w:rFonts w:ascii="Open Sans" w:eastAsiaTheme="minorEastAsia" w:hAnsi="Open Sans" w:cs="Open Sans"/>
            <w:color w:val="0000FF" w:themeColor="hyperlink"/>
            <w:sz w:val="24"/>
            <w:szCs w:val="24"/>
            <w:u w:val="single"/>
          </w:rPr>
          <w:t>TST-RR-1861-30.2017.5.20.0006</w:t>
        </w:r>
      </w:hyperlink>
      <w:r w:rsidRPr="007C1D4F">
        <w:rPr>
          <w:rFonts w:ascii="Open Sans" w:eastAsiaTheme="minorEastAsia" w:hAnsi="Open Sans" w:cs="Open Sans"/>
          <w:color w:val="000000"/>
          <w:sz w:val="24"/>
          <w:szCs w:val="24"/>
        </w:rPr>
        <w:t xml:space="preserve">, 3ª Turma, rel. Min. Alberto Bastos </w:t>
      </w:r>
      <w:proofErr w:type="spellStart"/>
      <w:r w:rsidRPr="007C1D4F">
        <w:rPr>
          <w:rFonts w:ascii="Open Sans" w:eastAsiaTheme="minorEastAsia" w:hAnsi="Open Sans" w:cs="Open Sans"/>
          <w:color w:val="000000"/>
          <w:sz w:val="24"/>
          <w:szCs w:val="24"/>
        </w:rPr>
        <w:t>Balazeiro</w:t>
      </w:r>
      <w:proofErr w:type="spellEnd"/>
      <w:r w:rsidRPr="007C1D4F">
        <w:rPr>
          <w:rFonts w:ascii="Open Sans" w:eastAsiaTheme="minorEastAsia" w:hAnsi="Open Sans" w:cs="Open Sans"/>
          <w:color w:val="000000"/>
          <w:sz w:val="24"/>
          <w:szCs w:val="24"/>
        </w:rPr>
        <w:t>, julgado em 2/5/2022)</w:t>
      </w:r>
    </w:p>
    <w:p w:rsidR="007C1D4F" w:rsidRPr="007C1D4F" w:rsidRDefault="007C1D4F" w:rsidP="007C1D4F">
      <w:pPr>
        <w:autoSpaceDE/>
        <w:autoSpaceDN/>
        <w:ind w:left="-284" w:right="367"/>
        <w:jc w:val="both"/>
        <w:rPr>
          <w:rFonts w:ascii="Open Sans" w:eastAsiaTheme="minorHAnsi" w:hAnsi="Open Sans" w:cs="Open Sans"/>
          <w:sz w:val="24"/>
          <w:szCs w:val="24"/>
          <w:lang w:eastAsia="en-US"/>
        </w:rPr>
      </w:pPr>
    </w:p>
    <w:p w:rsidR="007C1D4F" w:rsidRPr="007C1D4F" w:rsidRDefault="007C1D4F" w:rsidP="007C1D4F">
      <w:pPr>
        <w:autoSpaceDE/>
        <w:autoSpaceDN/>
        <w:ind w:left="-284" w:right="367"/>
        <w:jc w:val="both"/>
        <w:rPr>
          <w:rFonts w:ascii="Open Sans" w:eastAsiaTheme="minorHAnsi" w:hAnsi="Open Sans" w:cs="Open Sans"/>
          <w:bCs/>
          <w:sz w:val="24"/>
          <w:szCs w:val="24"/>
          <w:lang w:eastAsia="en-US"/>
        </w:rPr>
      </w:pPr>
      <w:r w:rsidRPr="007C1D4F">
        <w:rPr>
          <w:rFonts w:ascii="Open Sans" w:eastAsiaTheme="minorHAnsi" w:hAnsi="Open Sans" w:cs="Open Sans"/>
          <w:bCs/>
          <w:sz w:val="24"/>
          <w:szCs w:val="24"/>
          <w:lang w:eastAsia="en-US"/>
        </w:rPr>
        <w:t>“AGRAVO. RECURSO DE REVISTA. ACÓRDÃO PUBLICADO NA VIGÊNCIA DA LEI Nº 13.467/2017. PRESCRIÇÃO. PRETENSÃO DE INDENIZAÇÃO SUBSTITUTIVA DECORRENTE NÃO INCLUSÃO DA PARCELA "CTVA" NO CÁLCULO DO SALÁRIO DE CONTRIBUIÇÃO UTILIZADO COMO BASE DE CÁLCULO DO BENEFÍCIO DE COMPLEMENTAÇÃO DE APOSENTADORIA. TRANSCENDÊNCIA JURÍDICA RECONHECIDA. Extrai-se do v. acórdão regional que, na hipótese, a pretensão da reclamante é indenizatória e consiste no pedido de condenação da reclamada ao pagamento de indenização pelas perdas e danos advindas da não inclusão da parcela salarial de CTVA, paga no contracheque de agosto/2006, na operação do “</w:t>
      </w:r>
      <w:proofErr w:type="spellStart"/>
      <w:r w:rsidRPr="007C1D4F">
        <w:rPr>
          <w:rFonts w:ascii="Open Sans" w:eastAsiaTheme="minorHAnsi" w:hAnsi="Open Sans" w:cs="Open Sans"/>
          <w:bCs/>
          <w:sz w:val="24"/>
          <w:szCs w:val="24"/>
          <w:lang w:eastAsia="en-US"/>
        </w:rPr>
        <w:t>saldamento</w:t>
      </w:r>
      <w:proofErr w:type="spellEnd"/>
      <w:r w:rsidRPr="007C1D4F">
        <w:rPr>
          <w:rFonts w:ascii="Open Sans" w:eastAsiaTheme="minorHAnsi" w:hAnsi="Open Sans" w:cs="Open Sans"/>
          <w:bCs/>
          <w:sz w:val="24"/>
          <w:szCs w:val="24"/>
          <w:lang w:eastAsia="en-US"/>
        </w:rPr>
        <w:t>” do REG-REPLAN, correspondente à diferença entre a reserva matemática atualmente calculada pela FUNCEF e a reserva que seria encontrada caso o CTVA tivesse s</w:t>
      </w:r>
      <w:r>
        <w:rPr>
          <w:rFonts w:ascii="Open Sans" w:eastAsiaTheme="minorHAnsi" w:hAnsi="Open Sans" w:cs="Open Sans"/>
          <w:bCs/>
          <w:sz w:val="24"/>
          <w:szCs w:val="24"/>
          <w:lang w:eastAsia="en-US"/>
        </w:rPr>
        <w:t xml:space="preserve">ido incluído naquela operação. </w:t>
      </w:r>
      <w:r w:rsidRPr="007C1D4F">
        <w:rPr>
          <w:rFonts w:ascii="Open Sans" w:eastAsiaTheme="minorHAnsi" w:hAnsi="Open Sans" w:cs="Open Sans"/>
          <w:bCs/>
          <w:sz w:val="24"/>
          <w:szCs w:val="24"/>
          <w:lang w:eastAsia="en-US"/>
        </w:rPr>
        <w:t xml:space="preserve">A premissa fática extraída do acórdão regional, insuscetível de reexame nesta fase recursal (Súmula nº 126), é no sentido de que a apontada lesão, decorrente da exclusão da CTVA no cômputo do </w:t>
      </w:r>
      <w:proofErr w:type="spellStart"/>
      <w:r w:rsidRPr="007C1D4F">
        <w:rPr>
          <w:rFonts w:ascii="Open Sans" w:eastAsiaTheme="minorHAnsi" w:hAnsi="Open Sans" w:cs="Open Sans"/>
          <w:bCs/>
          <w:sz w:val="24"/>
          <w:szCs w:val="24"/>
          <w:lang w:eastAsia="en-US"/>
        </w:rPr>
        <w:t>saldamento</w:t>
      </w:r>
      <w:proofErr w:type="spellEnd"/>
      <w:r w:rsidRPr="007C1D4F">
        <w:rPr>
          <w:rFonts w:ascii="Open Sans" w:eastAsiaTheme="minorHAnsi" w:hAnsi="Open Sans" w:cs="Open Sans"/>
          <w:bCs/>
          <w:sz w:val="24"/>
          <w:szCs w:val="24"/>
          <w:lang w:eastAsia="en-US"/>
        </w:rPr>
        <w:t xml:space="preserve">, ocorreu em 2006, e de que a parte autora, em agosto de 2008, assinou o “Termo de Adesão às Regras de </w:t>
      </w:r>
      <w:proofErr w:type="spellStart"/>
      <w:r w:rsidRPr="007C1D4F">
        <w:rPr>
          <w:rFonts w:ascii="Open Sans" w:eastAsiaTheme="minorHAnsi" w:hAnsi="Open Sans" w:cs="Open Sans"/>
          <w:bCs/>
          <w:sz w:val="24"/>
          <w:szCs w:val="24"/>
          <w:lang w:eastAsia="en-US"/>
        </w:rPr>
        <w:t>Saldamento</w:t>
      </w:r>
      <w:proofErr w:type="spellEnd"/>
      <w:r w:rsidRPr="007C1D4F">
        <w:rPr>
          <w:rFonts w:ascii="Open Sans" w:eastAsiaTheme="minorHAnsi" w:hAnsi="Open Sans" w:cs="Open Sans"/>
          <w:bCs/>
          <w:sz w:val="24"/>
          <w:szCs w:val="24"/>
          <w:lang w:eastAsia="en-US"/>
        </w:rPr>
        <w:t>”, concordando com o valor apurado naquele ano (2006). Diante de tal contexto, constata-se que o suposto dano (praticado em 2006 e consolidado em 2008), decorre de ato único do empregador e diz respeito a direito não previsto em lei, o que desafia a aplicação da prescrição total em conformidade com a primeira parte da Súmula nº 294 deste TST. Assim, considerando que a presente demanda foi ajuizada somente em 2019, ou seja, há mais de cinco anos do ato lesivo denunciado pela autora, deve ser provido o agravo para reestabelecer o acórdão regional que declarou a prescrição total da pretensão inicial. Agravo provido.” (</w:t>
      </w:r>
      <w:hyperlink r:id="rId15" w:history="1">
        <w:r w:rsidRPr="007C1D4F">
          <w:rPr>
            <w:rFonts w:ascii="Open Sans" w:eastAsiaTheme="minorHAnsi" w:hAnsi="Open Sans" w:cs="Open Sans"/>
            <w:bCs/>
            <w:color w:val="0000FF" w:themeColor="hyperlink"/>
            <w:sz w:val="24"/>
            <w:szCs w:val="24"/>
            <w:u w:val="single"/>
            <w:lang w:eastAsia="en-US"/>
          </w:rPr>
          <w:t>TST-Ag-RR-553-22.2019.5.17.0151</w:t>
        </w:r>
      </w:hyperlink>
      <w:r w:rsidRPr="007C1D4F">
        <w:rPr>
          <w:rFonts w:ascii="Open Sans" w:eastAsiaTheme="minorHAnsi" w:hAnsi="Open Sans" w:cs="Open Sans"/>
          <w:bCs/>
          <w:sz w:val="24"/>
          <w:szCs w:val="24"/>
          <w:lang w:eastAsia="en-US"/>
        </w:rPr>
        <w:t>, 5ª Turma, rel. Min. Breno Medeiros, julgado em 27/4/2022)</w:t>
      </w:r>
    </w:p>
    <w:p w:rsidR="007C1D4F" w:rsidRPr="007C1D4F" w:rsidRDefault="007C1D4F" w:rsidP="00AA28BD">
      <w:pPr>
        <w:autoSpaceDE/>
        <w:autoSpaceDN/>
        <w:ind w:right="367"/>
        <w:jc w:val="both"/>
        <w:rPr>
          <w:rFonts w:ascii="Open Sans" w:eastAsiaTheme="minorHAnsi" w:hAnsi="Open Sans" w:cs="Open Sans"/>
          <w:bCs/>
          <w:sz w:val="24"/>
          <w:szCs w:val="24"/>
          <w:lang w:eastAsia="en-US"/>
        </w:rPr>
      </w:pPr>
    </w:p>
    <w:p w:rsidR="007C1D4F" w:rsidRPr="007C1D4F" w:rsidRDefault="007C1D4F" w:rsidP="007C1D4F">
      <w:pPr>
        <w:ind w:left="-284" w:right="367"/>
        <w:jc w:val="both"/>
        <w:rPr>
          <w:rFonts w:ascii="Open Sans" w:hAnsi="Open Sans" w:cs="Open Sans"/>
          <w:sz w:val="24"/>
          <w:szCs w:val="24"/>
        </w:rPr>
      </w:pPr>
      <w:r w:rsidRPr="007C1D4F">
        <w:rPr>
          <w:rFonts w:ascii="Open Sans" w:hAnsi="Open Sans" w:cs="Open Sans"/>
          <w:bCs/>
          <w:sz w:val="24"/>
          <w:szCs w:val="24"/>
        </w:rPr>
        <w:t xml:space="preserve">“AGRAVO DE INSTRUMENTO. RECURSO DE REVISTA SOB A ÉGIDE DA LEI 13.467/2017. TRANSCENDÊNCIA NÃO RECONHECIDA. DISPENSA DISCRIMINATÓRIA. DOENÇA </w:t>
      </w:r>
      <w:r w:rsidRPr="007C1D4F">
        <w:rPr>
          <w:rFonts w:ascii="Open Sans" w:hAnsi="Open Sans" w:cs="Open Sans"/>
          <w:bCs/>
          <w:sz w:val="24"/>
          <w:szCs w:val="24"/>
        </w:rPr>
        <w:lastRenderedPageBreak/>
        <w:t xml:space="preserve">ESTIGMATIZANTE. DEPENDÊNCIA QUÍMICA. INDENIZAÇÃO POR DANO MORAL. VALOR ARBITRADO. Trata-se de controvérsia sobre o caráter </w:t>
      </w:r>
      <w:proofErr w:type="spellStart"/>
      <w:r w:rsidRPr="007C1D4F">
        <w:rPr>
          <w:rFonts w:ascii="Open Sans" w:hAnsi="Open Sans" w:cs="Open Sans"/>
          <w:bCs/>
          <w:sz w:val="24"/>
          <w:szCs w:val="24"/>
        </w:rPr>
        <w:t>estigmatizante</w:t>
      </w:r>
      <w:proofErr w:type="spellEnd"/>
      <w:r w:rsidRPr="007C1D4F">
        <w:rPr>
          <w:rFonts w:ascii="Open Sans" w:hAnsi="Open Sans" w:cs="Open Sans"/>
          <w:bCs/>
          <w:sz w:val="24"/>
          <w:szCs w:val="24"/>
        </w:rPr>
        <w:t xml:space="preserve"> da dependência química, capaz de gerar presunção de dispensa discriminatória, nos termos da Súmula 443 do TST, bem como sobre o valor da indenização por danos morais decorrentes da dispensa discriminatória. No caso, o Regional entendeu que a dependência química é uma doença </w:t>
      </w:r>
      <w:proofErr w:type="spellStart"/>
      <w:r w:rsidRPr="007C1D4F">
        <w:rPr>
          <w:rFonts w:ascii="Open Sans" w:hAnsi="Open Sans" w:cs="Open Sans"/>
          <w:bCs/>
          <w:sz w:val="24"/>
          <w:szCs w:val="24"/>
        </w:rPr>
        <w:t>estigmatizante</w:t>
      </w:r>
      <w:proofErr w:type="spellEnd"/>
      <w:r w:rsidRPr="007C1D4F">
        <w:rPr>
          <w:rFonts w:ascii="Open Sans" w:hAnsi="Open Sans" w:cs="Open Sans"/>
          <w:bCs/>
          <w:sz w:val="24"/>
          <w:szCs w:val="24"/>
        </w:rPr>
        <w:t xml:space="preserve"> e concluiu ter sido discriminatória a dispensa do reclamante, ante a ausência de prova em sentido contrário. Assim, o TRT manteve o deferimento da remuneração do período de afastamento, em dobro, bem como de indenização por danos morais no valor de R$ 10.000,00. </w:t>
      </w:r>
      <w:r w:rsidRPr="007C1D4F">
        <w:rPr>
          <w:rFonts w:ascii="Open Sans" w:hAnsi="Open Sans" w:cs="Open Sans"/>
          <w:sz w:val="24"/>
          <w:szCs w:val="24"/>
        </w:rPr>
        <w:t>O exame prévio dos critérios de transcendência do recurso de revista revela a inexistência de qualquer deles a possibilitar o exame do apelo no TST. A par disso, irrelevante perquirir a respeito do acerto ou desacerto da decisão agravada, dada a inviabilidade de processamento, por motivo diverso, do apelo anteriormente obstaculizado. Agravo de instrumento não provido.” (</w:t>
      </w:r>
      <w:hyperlink r:id="rId16" w:history="1">
        <w:r w:rsidRPr="007C1D4F">
          <w:rPr>
            <w:rFonts w:ascii="Open Sans" w:hAnsi="Open Sans" w:cs="Open Sans"/>
            <w:bCs/>
            <w:color w:val="0000FF"/>
            <w:sz w:val="24"/>
            <w:szCs w:val="24"/>
            <w:u w:val="single"/>
          </w:rPr>
          <w:t>TST-AIRR-645-42.2019.5.10.0006</w:t>
        </w:r>
      </w:hyperlink>
      <w:r w:rsidRPr="007C1D4F">
        <w:rPr>
          <w:rFonts w:ascii="Open Sans" w:hAnsi="Open Sans" w:cs="Open Sans"/>
          <w:sz w:val="24"/>
          <w:szCs w:val="24"/>
        </w:rPr>
        <w:t>, 6ª Turma, rel. Min. Augusto César Leite de Carvalho, julgado em 27/4/2022)</w:t>
      </w:r>
    </w:p>
    <w:p w:rsidR="007C1D4F" w:rsidRPr="007C1D4F" w:rsidRDefault="007C1D4F" w:rsidP="007C1D4F">
      <w:pPr>
        <w:autoSpaceDE/>
        <w:autoSpaceDN/>
        <w:ind w:left="-284" w:right="367"/>
        <w:jc w:val="both"/>
        <w:rPr>
          <w:rFonts w:ascii="Open Sans" w:eastAsiaTheme="minorHAnsi" w:hAnsi="Open Sans" w:cs="Open Sans"/>
          <w:sz w:val="24"/>
          <w:szCs w:val="24"/>
          <w:lang w:eastAsia="en-US"/>
        </w:rPr>
      </w:pPr>
    </w:p>
    <w:p w:rsidR="007C1D4F" w:rsidRPr="007C1D4F" w:rsidRDefault="007C1D4F" w:rsidP="007C1D4F">
      <w:pPr>
        <w:ind w:left="-284" w:right="367"/>
        <w:jc w:val="both"/>
        <w:rPr>
          <w:rFonts w:ascii="Open Sans" w:hAnsi="Open Sans" w:cs="Open Sans"/>
          <w:color w:val="000000"/>
          <w:sz w:val="24"/>
          <w:szCs w:val="24"/>
        </w:rPr>
      </w:pPr>
      <w:r w:rsidRPr="007C1D4F">
        <w:rPr>
          <w:rFonts w:ascii="Open Sans" w:hAnsi="Open Sans" w:cs="Open Sans"/>
          <w:color w:val="000000"/>
          <w:sz w:val="24"/>
          <w:szCs w:val="24"/>
        </w:rPr>
        <w:t xml:space="preserve">“RECURSO DE REVISTA SOB A ÉGIDE DA LEI 13.467/2017. AÇÃO CIVIL PÚBLICA. DANO MORAL COLETIVO. ATO ILÍCITO. DESCUMPRIMENTO DE REQUISITOS DE CONTRATAÇÃO DE EMPRESAS PRESTADORAS DE SERVIÇOS. DEVER DE INDENIZAR. TRANSCENDÊNCIA POLÍTICA. No caso em tela, o debate acerca do dano moral coletivo, sob a ótica do dever de indenização decorrente da prática de atos ilícitos, detém transcendência política, nos termos do art. 896-A, § 1º, II, da CLT. Transcendência reconhecida. AÇÃO CIVIL PÚBLICA. DANO MORAL COLETIVO. ATO ILÍCITO. DESCUMPRIMENTO DE REQUISITOS DE CONTRATAÇÃO DE EMPRESAS PRESTADORAS DE SERVIÇOS. DEVER DE INDENIZAR. O reconhecimento do dano moral coletivo não se vincula ao sentimento de dor ou indignação no plano individual de cada pessoa a qual integra a coletividade, mas, ao contrário, relaciona-se à transgressão do sentimento coletivo, consubstanciado em sofrimento e indignação da comunidade, grupo social, ou determinada coletividade, diante da lesão coletiva decorrente do descumprimento de preceitos legais e princípios constitucionais. Dessa forma, a lesão a direitos </w:t>
      </w:r>
      <w:proofErr w:type="spellStart"/>
      <w:r w:rsidRPr="007C1D4F">
        <w:rPr>
          <w:rFonts w:ascii="Open Sans" w:hAnsi="Open Sans" w:cs="Open Sans"/>
          <w:color w:val="000000"/>
          <w:sz w:val="24"/>
          <w:szCs w:val="24"/>
        </w:rPr>
        <w:t>transindividuais</w:t>
      </w:r>
      <w:proofErr w:type="spellEnd"/>
      <w:r w:rsidRPr="007C1D4F">
        <w:rPr>
          <w:rFonts w:ascii="Open Sans" w:hAnsi="Open Sans" w:cs="Open Sans"/>
          <w:color w:val="000000"/>
          <w:sz w:val="24"/>
          <w:szCs w:val="24"/>
        </w:rPr>
        <w:t xml:space="preserve">, objetivamente, traduz-se em ofensa ao patrimônio jurídico da coletividade, que precisa ser recomposto. A caracterização do dano moral coletivo, pois, independe de lesão subjetiva a cada um dos componentes da coletividade, mas sim à repulsa social a que alude o art. 6º do CDC. E mesmo em casos de ato tolerado socialmente – por tradições culturais ou costumes regionais, por exemplo –, é possível verificar a ocorrência do dano moral coletivo, decorrente de lesão intolerável à ordem jurídica. Assim, seja pela ótica da repulsa social, seja no âmbito da afronta à ordem jurídica, a caracterização do dano moral coletivo prescinde da análise de lesão a direitos individuais dos componentes da respectiva comunidade. No caso dos autos, o objeto da demanda diz respeito à contratação, por parte das rés, de empresas prestadoras de serviços com capital social incompatível com o número de empregados, o que ensejou desrespeito </w:t>
      </w:r>
      <w:r w:rsidRPr="007C1D4F">
        <w:rPr>
          <w:rFonts w:ascii="Open Sans" w:hAnsi="Open Sans" w:cs="Open Sans"/>
          <w:color w:val="000000"/>
          <w:sz w:val="24"/>
          <w:szCs w:val="24"/>
        </w:rPr>
        <w:lastRenderedPageBreak/>
        <w:t xml:space="preserve">não só à própria determinação legal em si, mas aos fundamentos constantes do ordenamento jurídico que subsidiam tal cautela legal, como a segurança dos trabalhadores e a boa-fé. Afinal, o objetivo da regra revolvida é não apenas de garantir a solvência das obrigações trabalhistas, mas, também, e principalmente, de garantir a segurança dos trabalhadores no ambiente laboral, de modo que todos tenham acesso efetivo às ações, instruções e equipamentos destinados à prevenção de acidentes e doenças decorrentes do trabalho. Ademais, as empresas que perpetram violações à legislação trabalhista, ao não serem apenadas pelos respectivos atos, obtêm vantagem injusta sobre empresas concorrentes do mercado que cumpram as mesmas disposições legais. Trata-se do chamado </w:t>
      </w:r>
      <w:r w:rsidRPr="007C1D4F">
        <w:rPr>
          <w:rFonts w:ascii="Open Sans" w:hAnsi="Open Sans" w:cs="Open Sans"/>
          <w:i/>
          <w:color w:val="000000"/>
          <w:sz w:val="24"/>
          <w:szCs w:val="24"/>
        </w:rPr>
        <w:t>dumping</w:t>
      </w:r>
      <w:r w:rsidRPr="007C1D4F">
        <w:rPr>
          <w:rFonts w:ascii="Open Sans" w:hAnsi="Open Sans" w:cs="Open Sans"/>
          <w:color w:val="000000"/>
          <w:sz w:val="24"/>
          <w:szCs w:val="24"/>
        </w:rPr>
        <w:t xml:space="preserve"> social, fenômeno responsável pela alavancagem de poderes econômicos em prejuízo do desenvolvimento social e da efetividade dos direitos fundamentais. Portanto, fica claro o dano moral coletivo, em face do descumprimento dos </w:t>
      </w:r>
      <w:proofErr w:type="spellStart"/>
      <w:r w:rsidRPr="007C1D4F">
        <w:rPr>
          <w:rFonts w:ascii="Open Sans" w:hAnsi="Open Sans" w:cs="Open Sans"/>
          <w:color w:val="000000"/>
          <w:sz w:val="24"/>
          <w:szCs w:val="24"/>
        </w:rPr>
        <w:t>arts</w:t>
      </w:r>
      <w:proofErr w:type="spellEnd"/>
      <w:r w:rsidRPr="007C1D4F">
        <w:rPr>
          <w:rFonts w:ascii="Open Sans" w:hAnsi="Open Sans" w:cs="Open Sans"/>
          <w:color w:val="000000"/>
          <w:sz w:val="24"/>
          <w:szCs w:val="24"/>
        </w:rPr>
        <w:t>. 4°-A e 4°-B da Lei n° 6.019/1974, em flagrante fraude aos direitos trabalhistas. Precedentes. Fixada indenização por danos morais coletivos no importe de R$ 200.000,00 (duzentos mil reais). Recurso de revista conhecido e provido.” (</w:t>
      </w:r>
      <w:hyperlink r:id="rId17" w:history="1">
        <w:r w:rsidRPr="007C1D4F">
          <w:rPr>
            <w:rFonts w:ascii="Open Sans" w:hAnsi="Open Sans" w:cs="Open Sans"/>
            <w:color w:val="0000FF"/>
            <w:sz w:val="24"/>
            <w:szCs w:val="24"/>
            <w:u w:val="single"/>
          </w:rPr>
          <w:t>TST-RR-10709-83.2018.5.03.0025</w:t>
        </w:r>
      </w:hyperlink>
      <w:r w:rsidRPr="007C1D4F">
        <w:rPr>
          <w:rFonts w:ascii="Open Sans" w:hAnsi="Open Sans" w:cs="Open Sans"/>
          <w:color w:val="000000"/>
          <w:sz w:val="24"/>
          <w:szCs w:val="24"/>
        </w:rPr>
        <w:t>, 6ª Turma, rel. Min. Augusto César Leite de Carvalho, julgado em 27/4/2022)</w:t>
      </w:r>
    </w:p>
    <w:p w:rsidR="007C1D4F" w:rsidRPr="007C1D4F" w:rsidRDefault="007C1D4F" w:rsidP="007C1D4F">
      <w:pPr>
        <w:autoSpaceDE/>
        <w:autoSpaceDN/>
        <w:ind w:left="-284" w:right="367"/>
        <w:jc w:val="both"/>
        <w:rPr>
          <w:rFonts w:ascii="Open Sans" w:eastAsiaTheme="minorHAnsi" w:hAnsi="Open Sans" w:cs="Open Sans"/>
          <w:sz w:val="24"/>
          <w:szCs w:val="24"/>
          <w:lang w:eastAsia="en-US"/>
        </w:rPr>
      </w:pPr>
    </w:p>
    <w:p w:rsidR="007C1D4F" w:rsidRPr="007C1D4F" w:rsidRDefault="007C1D4F" w:rsidP="007C1D4F">
      <w:pPr>
        <w:ind w:left="-284" w:right="367"/>
        <w:jc w:val="both"/>
        <w:rPr>
          <w:rFonts w:ascii="Open Sans" w:hAnsi="Open Sans" w:cs="Open Sans"/>
          <w:color w:val="000000"/>
          <w:sz w:val="24"/>
          <w:szCs w:val="24"/>
        </w:rPr>
      </w:pPr>
      <w:r w:rsidRPr="007C1D4F">
        <w:rPr>
          <w:rFonts w:ascii="Open Sans" w:hAnsi="Open Sans" w:cs="Open Sans"/>
          <w:color w:val="000000"/>
          <w:sz w:val="24"/>
          <w:szCs w:val="24"/>
        </w:rPr>
        <w:t xml:space="preserve">“RECURSO DE REVISTA DO RECLAMANTE SOB A ÉGIDE DA LEI 13.467/2017. INDENIZAÇÃO POR DANOS MORAIS. DESCUMPRIMENTO DOS QUANTITATIVOS MÍNIMOS DE EMPREGADOS COM DEFICIÊNCIA OU REABILITADOS DA PREVIDÊNCIA SOCIAL. TRABALHADOR INDIVIDUALMENTE PREJUDICADO. DANO </w:t>
      </w:r>
      <w:r w:rsidRPr="007C1D4F">
        <w:rPr>
          <w:rFonts w:ascii="Open Sans" w:hAnsi="Open Sans" w:cs="Open Sans"/>
          <w:i/>
          <w:color w:val="000000"/>
          <w:sz w:val="24"/>
          <w:szCs w:val="24"/>
        </w:rPr>
        <w:t>IN RE IPSA</w:t>
      </w:r>
      <w:r w:rsidRPr="007C1D4F">
        <w:rPr>
          <w:rFonts w:ascii="Open Sans" w:hAnsi="Open Sans" w:cs="Open Sans"/>
          <w:color w:val="000000"/>
          <w:sz w:val="24"/>
          <w:szCs w:val="24"/>
        </w:rPr>
        <w:t xml:space="preserve">. TRANSCENDÊNCIA POLÍTICA E SOCIAL. No caso em tela, o debate acerca da configuração de danos morais em razão do descumprimento das disposições legais pertinentes ao quantitativo mínimo de empregados na condição de pessoa com deficiência ou reabilitado da Previdência Social, quando o reclamante é dispensado, detém transcendência social e política, nos termos do art. 896-A, § 1º, II e III, da CLT. Transcendência reconhecida. INDENIZAÇÃO POR DANOS MORAIS. DESCUMPRIMENTO DOS QUANTITATIVOS MÍNIMOS DE EMPREGADOS COM DEFICIÊNCIA OU REABILITADOS DA PREVIDÊNCIA SOCIAL. TRABALHADOR INDIVIDUALMENTE PREJUDICADO. DANO </w:t>
      </w:r>
      <w:r w:rsidRPr="007C1D4F">
        <w:rPr>
          <w:rFonts w:ascii="Open Sans" w:hAnsi="Open Sans" w:cs="Open Sans"/>
          <w:i/>
          <w:color w:val="000000"/>
          <w:sz w:val="24"/>
          <w:szCs w:val="24"/>
        </w:rPr>
        <w:t>IN RE IPSA</w:t>
      </w:r>
      <w:r w:rsidRPr="007C1D4F">
        <w:rPr>
          <w:rFonts w:ascii="Open Sans" w:hAnsi="Open Sans" w:cs="Open Sans"/>
          <w:color w:val="000000"/>
          <w:sz w:val="24"/>
          <w:szCs w:val="24"/>
        </w:rPr>
        <w:t xml:space="preserve">. Embora a questão relativa à exigibilidade de indenização por danos morais em caso de ausência de cumprimento da quota legal mínima de empregados com deficiência ou reabilitados da Previdência Social seja mais comumente enfrentada sob a ótica coletiva, a </w:t>
      </w:r>
      <w:proofErr w:type="spellStart"/>
      <w:r w:rsidRPr="007C1D4F">
        <w:rPr>
          <w:rFonts w:ascii="Open Sans" w:hAnsi="Open Sans" w:cs="Open Sans"/>
          <w:i/>
          <w:color w:val="000000"/>
          <w:sz w:val="24"/>
          <w:szCs w:val="24"/>
        </w:rPr>
        <w:t>ratio</w:t>
      </w:r>
      <w:proofErr w:type="spellEnd"/>
      <w:r w:rsidRPr="007C1D4F">
        <w:rPr>
          <w:rFonts w:ascii="Open Sans" w:hAnsi="Open Sans" w:cs="Open Sans"/>
          <w:i/>
          <w:color w:val="000000"/>
          <w:sz w:val="24"/>
          <w:szCs w:val="24"/>
        </w:rPr>
        <w:t xml:space="preserve"> </w:t>
      </w:r>
      <w:proofErr w:type="spellStart"/>
      <w:r w:rsidRPr="007C1D4F">
        <w:rPr>
          <w:rFonts w:ascii="Open Sans" w:hAnsi="Open Sans" w:cs="Open Sans"/>
          <w:i/>
          <w:color w:val="000000"/>
          <w:sz w:val="24"/>
          <w:szCs w:val="24"/>
        </w:rPr>
        <w:t>decidendi</w:t>
      </w:r>
      <w:proofErr w:type="spellEnd"/>
      <w:r w:rsidRPr="007C1D4F">
        <w:rPr>
          <w:rFonts w:ascii="Open Sans" w:hAnsi="Open Sans" w:cs="Open Sans"/>
          <w:color w:val="000000"/>
          <w:sz w:val="24"/>
          <w:szCs w:val="24"/>
        </w:rPr>
        <w:t xml:space="preserve"> prevalecente nesta Corte considera que o não preenchimento de tais quotas, por representar grave displicência em face de políticas sociais afirmativas, caracteriza danos morais </w:t>
      </w:r>
      <w:r w:rsidRPr="007C1D4F">
        <w:rPr>
          <w:rFonts w:ascii="Open Sans" w:hAnsi="Open Sans" w:cs="Open Sans"/>
          <w:i/>
          <w:color w:val="000000"/>
          <w:sz w:val="24"/>
          <w:szCs w:val="24"/>
        </w:rPr>
        <w:t xml:space="preserve">in </w:t>
      </w:r>
      <w:proofErr w:type="spellStart"/>
      <w:r w:rsidRPr="007C1D4F">
        <w:rPr>
          <w:rFonts w:ascii="Open Sans" w:hAnsi="Open Sans" w:cs="Open Sans"/>
          <w:i/>
          <w:color w:val="000000"/>
          <w:sz w:val="24"/>
          <w:szCs w:val="24"/>
        </w:rPr>
        <w:t>re</w:t>
      </w:r>
      <w:proofErr w:type="spellEnd"/>
      <w:r w:rsidRPr="007C1D4F">
        <w:rPr>
          <w:rFonts w:ascii="Open Sans" w:hAnsi="Open Sans" w:cs="Open Sans"/>
          <w:i/>
          <w:color w:val="000000"/>
          <w:sz w:val="24"/>
          <w:szCs w:val="24"/>
        </w:rPr>
        <w:t xml:space="preserve"> </w:t>
      </w:r>
      <w:proofErr w:type="spellStart"/>
      <w:r w:rsidRPr="007C1D4F">
        <w:rPr>
          <w:rFonts w:ascii="Open Sans" w:hAnsi="Open Sans" w:cs="Open Sans"/>
          <w:i/>
          <w:color w:val="000000"/>
          <w:sz w:val="24"/>
          <w:szCs w:val="24"/>
        </w:rPr>
        <w:t>ipsa</w:t>
      </w:r>
      <w:proofErr w:type="spellEnd"/>
      <w:r w:rsidRPr="007C1D4F">
        <w:rPr>
          <w:rFonts w:ascii="Open Sans" w:hAnsi="Open Sans" w:cs="Open Sans"/>
          <w:color w:val="000000"/>
          <w:sz w:val="24"/>
          <w:szCs w:val="24"/>
        </w:rPr>
        <w:t xml:space="preserve">, isto é, presumidos. Ao contrário do que conclui o Regional, é prescindível a demonstração concreta de existência de outros elementos de ordem objetiva que indiquem a ocorrência de danos contra o trabalhador prejudicado pela ausência de cumprimento da quota legal de empregados com deficiência ou reabilitados da Previdência Social. Se na ótica dos danos morais coletivos, em que os trabalhadores lesados na maioria das vezes não são </w:t>
      </w:r>
      <w:r w:rsidRPr="007C1D4F">
        <w:rPr>
          <w:rFonts w:ascii="Open Sans" w:hAnsi="Open Sans" w:cs="Open Sans"/>
          <w:color w:val="000000"/>
          <w:sz w:val="24"/>
          <w:szCs w:val="24"/>
        </w:rPr>
        <w:lastRenderedPageBreak/>
        <w:t xml:space="preserve">individualmente determinados, é patente a configuração de danos morais </w:t>
      </w:r>
      <w:r w:rsidRPr="007C1D4F">
        <w:rPr>
          <w:rFonts w:ascii="Open Sans" w:hAnsi="Open Sans" w:cs="Open Sans"/>
          <w:i/>
          <w:color w:val="000000"/>
          <w:sz w:val="24"/>
          <w:szCs w:val="24"/>
        </w:rPr>
        <w:t xml:space="preserve">in </w:t>
      </w:r>
      <w:proofErr w:type="spellStart"/>
      <w:r w:rsidRPr="007C1D4F">
        <w:rPr>
          <w:rFonts w:ascii="Open Sans" w:hAnsi="Open Sans" w:cs="Open Sans"/>
          <w:i/>
          <w:color w:val="000000"/>
          <w:sz w:val="24"/>
          <w:szCs w:val="24"/>
        </w:rPr>
        <w:t>re</w:t>
      </w:r>
      <w:proofErr w:type="spellEnd"/>
      <w:r w:rsidRPr="007C1D4F">
        <w:rPr>
          <w:rFonts w:ascii="Open Sans" w:hAnsi="Open Sans" w:cs="Open Sans"/>
          <w:i/>
          <w:color w:val="000000"/>
          <w:sz w:val="24"/>
          <w:szCs w:val="24"/>
        </w:rPr>
        <w:t xml:space="preserve"> </w:t>
      </w:r>
      <w:proofErr w:type="spellStart"/>
      <w:r w:rsidRPr="007C1D4F">
        <w:rPr>
          <w:rFonts w:ascii="Open Sans" w:hAnsi="Open Sans" w:cs="Open Sans"/>
          <w:i/>
          <w:color w:val="000000"/>
          <w:sz w:val="24"/>
          <w:szCs w:val="24"/>
        </w:rPr>
        <w:t>ipsa</w:t>
      </w:r>
      <w:proofErr w:type="spellEnd"/>
      <w:r w:rsidRPr="007C1D4F">
        <w:rPr>
          <w:rFonts w:ascii="Open Sans" w:hAnsi="Open Sans" w:cs="Open Sans"/>
          <w:color w:val="000000"/>
          <w:sz w:val="24"/>
          <w:szCs w:val="24"/>
        </w:rPr>
        <w:t xml:space="preserve">, com maior razão tais danos devem ser presumidos quando a pessoa lesada é determinada em sua individualidade. É irrelevante o fato de que a dispensa se legitimaria se tivesse a empresa recomposto a cota reservada às pessoas com deficiência, pois importa a constatação, para que se configure o dano </w:t>
      </w:r>
      <w:r w:rsidRPr="007C1D4F">
        <w:rPr>
          <w:rFonts w:ascii="Open Sans" w:hAnsi="Open Sans" w:cs="Open Sans"/>
          <w:i/>
          <w:color w:val="000000"/>
          <w:sz w:val="24"/>
          <w:szCs w:val="24"/>
        </w:rPr>
        <w:t xml:space="preserve">in </w:t>
      </w:r>
      <w:proofErr w:type="spellStart"/>
      <w:r w:rsidRPr="007C1D4F">
        <w:rPr>
          <w:rFonts w:ascii="Open Sans" w:hAnsi="Open Sans" w:cs="Open Sans"/>
          <w:i/>
          <w:color w:val="000000"/>
          <w:sz w:val="24"/>
          <w:szCs w:val="24"/>
        </w:rPr>
        <w:t>re</w:t>
      </w:r>
      <w:proofErr w:type="spellEnd"/>
      <w:r w:rsidRPr="007C1D4F">
        <w:rPr>
          <w:rFonts w:ascii="Open Sans" w:hAnsi="Open Sans" w:cs="Open Sans"/>
          <w:i/>
          <w:color w:val="000000"/>
          <w:sz w:val="24"/>
          <w:szCs w:val="24"/>
        </w:rPr>
        <w:t xml:space="preserve"> </w:t>
      </w:r>
      <w:proofErr w:type="spellStart"/>
      <w:r w:rsidRPr="007C1D4F">
        <w:rPr>
          <w:rFonts w:ascii="Open Sans" w:hAnsi="Open Sans" w:cs="Open Sans"/>
          <w:i/>
          <w:color w:val="000000"/>
          <w:sz w:val="24"/>
          <w:szCs w:val="24"/>
        </w:rPr>
        <w:t>ipsa</w:t>
      </w:r>
      <w:proofErr w:type="spellEnd"/>
      <w:r w:rsidRPr="007C1D4F">
        <w:rPr>
          <w:rFonts w:ascii="Open Sans" w:hAnsi="Open Sans" w:cs="Open Sans"/>
          <w:color w:val="000000"/>
          <w:sz w:val="24"/>
          <w:szCs w:val="24"/>
        </w:rPr>
        <w:t>, de ter a empregadora dispensado trabalhador em condição de manifesta vulnerabilidade em circunstância na qual não poderia fazê-lo. Logo, os precedentes que adotam tal tese são perfeitamente aplicáveis ao caso sob exame, por adotarem iguais razões de decidir. Precedentes. Fixada indenização por danos morais no importe de R$ 10.000,00 (dez mil reais). Recurso de revista conhecido e provido.” (</w:t>
      </w:r>
      <w:bookmarkStart w:id="0" w:name="NumProc"/>
      <w:r w:rsidRPr="007C1D4F">
        <w:rPr>
          <w:rFonts w:ascii="Open Sans" w:hAnsi="Open Sans" w:cs="Open Sans"/>
          <w:color w:val="000000"/>
          <w:sz w:val="24"/>
          <w:szCs w:val="24"/>
        </w:rPr>
        <w:fldChar w:fldCharType="begin"/>
      </w:r>
      <w:r w:rsidRPr="007C1D4F">
        <w:rPr>
          <w:rFonts w:ascii="Open Sans" w:hAnsi="Open Sans" w:cs="Open Sans"/>
          <w:color w:val="000000"/>
          <w:sz w:val="24"/>
          <w:szCs w:val="24"/>
        </w:rPr>
        <w:instrText xml:space="preserve"> HYPERLINK "https://consultaprocessual.tst.jus.br/consultaProcessual/consultaTstNumUnica.do?consulta=Consultar&amp;conscsjt=&amp;numeroTst=7&amp;digitoTst=59&amp;anoTst=2020&amp;orgaoTst=5&amp;tribunalTst=17&amp;varaTst=0012&amp;submit=Consultar" </w:instrText>
      </w:r>
      <w:r w:rsidRPr="007C1D4F">
        <w:rPr>
          <w:rFonts w:ascii="Open Sans" w:hAnsi="Open Sans" w:cs="Open Sans"/>
          <w:color w:val="000000"/>
          <w:sz w:val="24"/>
          <w:szCs w:val="24"/>
        </w:rPr>
        <w:fldChar w:fldCharType="separate"/>
      </w:r>
      <w:r w:rsidRPr="007C1D4F">
        <w:rPr>
          <w:rFonts w:ascii="Open Sans" w:hAnsi="Open Sans" w:cs="Open Sans"/>
          <w:color w:val="0000FF"/>
          <w:sz w:val="24"/>
          <w:szCs w:val="24"/>
          <w:u w:val="single"/>
        </w:rPr>
        <w:t>TST-RRAg-7-59.2020.5.17.0012</w:t>
      </w:r>
      <w:bookmarkEnd w:id="0"/>
      <w:r w:rsidRPr="007C1D4F">
        <w:rPr>
          <w:rFonts w:ascii="Open Sans" w:hAnsi="Open Sans" w:cs="Open Sans"/>
          <w:color w:val="000000"/>
          <w:sz w:val="24"/>
          <w:szCs w:val="24"/>
        </w:rPr>
        <w:fldChar w:fldCharType="end"/>
      </w:r>
      <w:r w:rsidRPr="007C1D4F">
        <w:rPr>
          <w:rFonts w:ascii="Open Sans" w:hAnsi="Open Sans" w:cs="Open Sans"/>
          <w:color w:val="000000"/>
          <w:sz w:val="24"/>
          <w:szCs w:val="24"/>
        </w:rPr>
        <w:t>, 6ª Turma, rel. Min. Augusto César Leite de Carvalho, julgado em 27/4/2022)</w:t>
      </w:r>
    </w:p>
    <w:p w:rsidR="007C1D4F" w:rsidRPr="007C1D4F" w:rsidRDefault="007C1D4F" w:rsidP="007C1D4F">
      <w:pPr>
        <w:autoSpaceDE/>
        <w:autoSpaceDN/>
        <w:ind w:left="-284" w:right="367"/>
        <w:jc w:val="both"/>
        <w:rPr>
          <w:rFonts w:ascii="Open Sans" w:eastAsiaTheme="minorHAnsi" w:hAnsi="Open Sans" w:cs="Open Sans"/>
          <w:sz w:val="24"/>
          <w:szCs w:val="24"/>
          <w:lang w:eastAsia="en-US"/>
        </w:rPr>
      </w:pPr>
    </w:p>
    <w:p w:rsidR="007C1D4F" w:rsidRPr="007C1D4F" w:rsidRDefault="007C1D4F" w:rsidP="007C1D4F">
      <w:pPr>
        <w:autoSpaceDE/>
        <w:autoSpaceDN/>
        <w:ind w:left="-284" w:right="367"/>
        <w:jc w:val="both"/>
        <w:rPr>
          <w:rFonts w:ascii="Open Sans" w:eastAsiaTheme="minorHAnsi" w:hAnsi="Open Sans" w:cs="Open Sans"/>
          <w:sz w:val="24"/>
          <w:szCs w:val="24"/>
          <w:lang w:eastAsia="en-US"/>
        </w:rPr>
      </w:pPr>
      <w:r w:rsidRPr="007C1D4F">
        <w:rPr>
          <w:rFonts w:ascii="Open Sans" w:eastAsiaTheme="minorHAnsi" w:hAnsi="Open Sans" w:cs="Open Sans"/>
          <w:sz w:val="24"/>
          <w:szCs w:val="24"/>
          <w:lang w:eastAsia="en-US"/>
        </w:rPr>
        <w:t>“RECURSO DE REVISTA DA AUTORA. LEI Nº 13.467/2017. AUTO DE INFRAÇÃO. MULTA. ARTIGO 636, § 6º, DA CLT. PAGAMENTO ESPONTÂNEO COM DESCONTO DE 50%. RENÚNCIA TÁCITA AO DIREITO DE RECORRER. DIREITO DE AÇÃO. TRANSCENDÊNCIA POLÍTICA RECONHECIDA. No presente caso o Tribunal Regional entendeu que, ao efetuar o pagamento da multa com redução de 50%, conforme previsto no artigo 636, § 6º, da CLT, além de renunciar ao direito de interpor recurso administrativo, o recorrente renunciou ao direito de se insurgir pela via judicial. Entretanto, esta Corte Superior possui entendimento no sentido de que o pagamento da multa reduzida de 50% implica renúncia apenas ao recurso na via administrativa, não impossibilitando a discussão na via judicial, ante a incompatibilidade com as garantias constitucionais da inafastabilidade da jurisdição e ampla defesa. Violação do artigo 5º, XXXV, da Constituição Federal configurada. Recurso de revista conhecido e provido.” (</w:t>
      </w:r>
      <w:hyperlink r:id="rId18" w:history="1">
        <w:r w:rsidRPr="007C1D4F">
          <w:rPr>
            <w:rFonts w:ascii="Open Sans" w:eastAsiaTheme="minorHAnsi" w:hAnsi="Open Sans" w:cs="Open Sans"/>
            <w:color w:val="0000FF" w:themeColor="hyperlink"/>
            <w:sz w:val="24"/>
            <w:szCs w:val="24"/>
            <w:u w:val="single"/>
            <w:lang w:eastAsia="en-US"/>
          </w:rPr>
          <w:t>TST-RR-298-52.2017.5.06.0018</w:t>
        </w:r>
      </w:hyperlink>
      <w:r w:rsidRPr="007C1D4F">
        <w:rPr>
          <w:rFonts w:ascii="Open Sans" w:eastAsiaTheme="minorHAnsi" w:hAnsi="Open Sans" w:cs="Open Sans"/>
          <w:sz w:val="24"/>
          <w:szCs w:val="24"/>
          <w:lang w:eastAsia="en-US"/>
        </w:rPr>
        <w:t>, 7ª Turma, rel. Min. Cláudio Mascarenhas Brandão, julgado em 27/4/2022)</w:t>
      </w:r>
    </w:p>
    <w:p w:rsidR="007C1D4F" w:rsidRPr="007C1D4F" w:rsidRDefault="007C1D4F" w:rsidP="00AA28BD">
      <w:pPr>
        <w:autoSpaceDE/>
        <w:autoSpaceDN/>
        <w:ind w:right="367"/>
        <w:jc w:val="both"/>
        <w:rPr>
          <w:rFonts w:ascii="Open Sans" w:eastAsiaTheme="minorHAnsi" w:hAnsi="Open Sans" w:cs="Open Sans"/>
          <w:sz w:val="24"/>
          <w:szCs w:val="24"/>
          <w:lang w:eastAsia="en-US"/>
        </w:rPr>
      </w:pPr>
    </w:p>
    <w:p w:rsidR="007C1D4F" w:rsidRPr="007C1D4F" w:rsidRDefault="007C1D4F" w:rsidP="007C1D4F">
      <w:pPr>
        <w:autoSpaceDE/>
        <w:autoSpaceDN/>
        <w:ind w:left="-284" w:right="367"/>
        <w:jc w:val="both"/>
        <w:rPr>
          <w:rFonts w:ascii="Open Sans" w:eastAsiaTheme="minorHAnsi" w:hAnsi="Open Sans" w:cs="Open Sans"/>
          <w:sz w:val="24"/>
          <w:szCs w:val="24"/>
          <w:lang w:eastAsia="en-US"/>
        </w:rPr>
      </w:pPr>
      <w:r w:rsidRPr="007C1D4F">
        <w:rPr>
          <w:rFonts w:ascii="Open Sans" w:eastAsiaTheme="minorHAnsi" w:hAnsi="Open Sans" w:cs="Open Sans"/>
          <w:sz w:val="24"/>
          <w:szCs w:val="24"/>
          <w:lang w:eastAsia="en-US"/>
        </w:rPr>
        <w:t xml:space="preserve">“RECURSO DE REVISTA INTERPOSTO PELA PARTE AUTORA. LEI Nº 13.467/2017. EXPEDIÇÃO DE ALVARÁ PARA SAQUE DO FGTS. IMPOSSIBILIDADE. CALAMIDADE PÚBLICA RECONHECIDA POR DECRETO LEGISLATIVO. COVID-19. HIPÓTESE DE SAQUE NÃO PREVISTA NA LEI Nº 8.036/90. TRANSCENDÊNCIA JURÍDICA CONSTATADA. O cerne da controvérsia diz respeito à possibilidade de enquadramento da pandemia da covid-19 como desastre natural, em face do disposto no artigo 20, inciso XVI, da Lei nº 8.036/1990, com o fim de autorizar o saque integral dos depósitos do FGTS da conta vinculada da trabalhadora. O Decreto nº 5.113/2004, regulamentador do referido dispositivo legal, define o que se considera desastre natural, nos termos nele expressos. Não há referência, entretanto, à situação de pandemia. Por outro lado, a Medida Provisória nº 946, de 07/04/2020, impôs limites aos valores a serem levantados durante sua vigência (isto é, enquanto permanecer a pandemia da COVID-19), não se vislumbrando motivo para que tais balizas da lei não sejam observadas, conforme </w:t>
      </w:r>
      <w:r w:rsidRPr="007C1D4F">
        <w:rPr>
          <w:rFonts w:ascii="Open Sans" w:eastAsiaTheme="minorHAnsi" w:hAnsi="Open Sans" w:cs="Open Sans"/>
          <w:sz w:val="24"/>
          <w:szCs w:val="24"/>
          <w:lang w:eastAsia="en-US"/>
        </w:rPr>
        <w:lastRenderedPageBreak/>
        <w:t xml:space="preserve">cronograma de atendimento, critérios e forma estabelecidos pela Caixa Econômica Federal, ante o precípuo objetivo de se evitar um colapso no sistema bancário. Releva acrescentar que o STF, nas </w:t>
      </w:r>
      <w:proofErr w:type="spellStart"/>
      <w:r w:rsidRPr="007C1D4F">
        <w:rPr>
          <w:rFonts w:ascii="Open Sans" w:eastAsiaTheme="minorHAnsi" w:hAnsi="Open Sans" w:cs="Open Sans"/>
          <w:sz w:val="24"/>
          <w:szCs w:val="24"/>
          <w:lang w:eastAsia="en-US"/>
        </w:rPr>
        <w:t>ADIs</w:t>
      </w:r>
      <w:proofErr w:type="spellEnd"/>
      <w:r w:rsidRPr="007C1D4F">
        <w:rPr>
          <w:rFonts w:ascii="Open Sans" w:eastAsiaTheme="minorHAnsi" w:hAnsi="Open Sans" w:cs="Open Sans"/>
          <w:sz w:val="24"/>
          <w:szCs w:val="24"/>
          <w:lang w:eastAsia="en-US"/>
        </w:rPr>
        <w:t xml:space="preserve"> 6371 e 6379, da relatoria do Ministro Gilmar Mendes – nas quais se pretendia a liberação de saque das contas vinculadas dos trabalhadores no FGTS em decorrência da pandemia do novo </w:t>
      </w:r>
      <w:proofErr w:type="spellStart"/>
      <w:r w:rsidRPr="007C1D4F">
        <w:rPr>
          <w:rFonts w:ascii="Open Sans" w:eastAsiaTheme="minorHAnsi" w:hAnsi="Open Sans" w:cs="Open Sans"/>
          <w:sz w:val="24"/>
          <w:szCs w:val="24"/>
          <w:lang w:eastAsia="en-US"/>
        </w:rPr>
        <w:t>coronavírus</w:t>
      </w:r>
      <w:proofErr w:type="spellEnd"/>
      <w:r w:rsidRPr="007C1D4F">
        <w:rPr>
          <w:rFonts w:ascii="Open Sans" w:eastAsiaTheme="minorHAnsi" w:hAnsi="Open Sans" w:cs="Open Sans"/>
          <w:sz w:val="24"/>
          <w:szCs w:val="24"/>
          <w:lang w:eastAsia="en-US"/>
        </w:rPr>
        <w:t xml:space="preserve"> –, indeferiu pedido de medida liminar. Considerando que, não obstante em sede liminar, a decisão do STF revela tendência a ser observada, além da legislação regulamentadora do saque do FGTS de forma específica à pandemia causada pela covid-19, não há como deferir a pretensão autoral. Assim, tendo em vista a análise sistemática dos aludidos dispositivos, depreende-se que a pandemia da covid-19 não se enquadra na conceituação legal de desastre natural, não havendo como reconhecer a possibilidade de expedição de alvará judicial, para o saque do FGTS. Há precedentes do TST. Transcendência jurídica reconhecida. Recurso de revista conhecido e não provido.” (</w:t>
      </w:r>
      <w:hyperlink r:id="rId19" w:history="1">
        <w:r w:rsidRPr="007C1D4F">
          <w:rPr>
            <w:rFonts w:ascii="Open Sans" w:eastAsiaTheme="minorHAnsi" w:hAnsi="Open Sans" w:cs="Open Sans"/>
            <w:color w:val="0000FF" w:themeColor="hyperlink"/>
            <w:sz w:val="24"/>
            <w:szCs w:val="24"/>
            <w:u w:val="single"/>
            <w:lang w:eastAsia="en-US"/>
          </w:rPr>
          <w:t>TST-RR-407-88.2020.5.17.0007</w:t>
        </w:r>
      </w:hyperlink>
      <w:r w:rsidRPr="007C1D4F">
        <w:rPr>
          <w:rFonts w:ascii="Open Sans" w:eastAsiaTheme="minorHAnsi" w:hAnsi="Open Sans" w:cs="Open Sans"/>
          <w:sz w:val="24"/>
          <w:szCs w:val="24"/>
          <w:lang w:eastAsia="en-US"/>
        </w:rPr>
        <w:t>, 7ª Turma, rel. Min. Cláudio Mascarenhas Brandão, julgado em 11/5/2022)</w:t>
      </w:r>
    </w:p>
    <w:p w:rsidR="007C1D4F" w:rsidRPr="007C1D4F" w:rsidRDefault="007C1D4F" w:rsidP="007C1D4F">
      <w:pPr>
        <w:autoSpaceDE/>
        <w:autoSpaceDN/>
        <w:ind w:left="-284" w:right="367"/>
        <w:jc w:val="both"/>
        <w:rPr>
          <w:rFonts w:ascii="Open Sans" w:eastAsiaTheme="minorHAnsi" w:hAnsi="Open Sans" w:cs="Open Sans"/>
          <w:sz w:val="24"/>
          <w:szCs w:val="24"/>
          <w:lang w:eastAsia="en-US"/>
        </w:rPr>
      </w:pPr>
    </w:p>
    <w:p w:rsidR="007C1D4F" w:rsidRPr="002644D3" w:rsidRDefault="007C1D4F" w:rsidP="002644D3">
      <w:pPr>
        <w:autoSpaceDE/>
        <w:autoSpaceDN/>
        <w:ind w:left="-284" w:right="367"/>
        <w:jc w:val="both"/>
        <w:rPr>
          <w:rFonts w:ascii="Open Sans" w:eastAsiaTheme="minorHAnsi" w:hAnsi="Open Sans" w:cs="Open Sans"/>
          <w:sz w:val="24"/>
          <w:szCs w:val="24"/>
          <w:lang w:eastAsia="en-US"/>
        </w:rPr>
      </w:pPr>
      <w:r w:rsidRPr="007C1D4F">
        <w:rPr>
          <w:rFonts w:ascii="Open Sans" w:eastAsiaTheme="minorHAnsi" w:hAnsi="Open Sans" w:cs="Open Sans"/>
          <w:sz w:val="24"/>
          <w:szCs w:val="24"/>
          <w:lang w:eastAsia="en-US"/>
        </w:rPr>
        <w:t xml:space="preserve">“[...] II - RECURSO DE REVISTA. ACÓRDÃO REGIONAL NA VIGÊNCIA DA LEI 13.467/2017. RESCISÃO INDIRETA. MOTORISTA TERCEIRIZADO LOTADO NA MINA DO CÓRREGO DO FEIJÃO NA DATA DO ROMPIMENTO DA BARRAGEM. IMEDIATIDADE. 1. Para a configuração da rescisão indireta, é necessária a comprovação de ato gravoso praticado pelo empregador, que resulte na violação de direitos do empregado. 2. No caso, se discute o pedido de reconhecimento da rescisão indireta feito por empregado terceirizado que prestava serviços na Mina do Córrego do Feijão. O Tribunal Regional entendeu ausentes os requisitos necessários para a configuração da rescisão indireta, em razão de o reclamante não estar trabalhando no dia do rompimento da barragem e pelo fato de ter continuado a prestar serviços por mais um ano após a data do acidente, o que afastaria a </w:t>
      </w:r>
      <w:proofErr w:type="spellStart"/>
      <w:r w:rsidRPr="007C1D4F">
        <w:rPr>
          <w:rFonts w:ascii="Open Sans" w:eastAsiaTheme="minorHAnsi" w:hAnsi="Open Sans" w:cs="Open Sans"/>
          <w:sz w:val="24"/>
          <w:szCs w:val="24"/>
          <w:lang w:eastAsia="en-US"/>
        </w:rPr>
        <w:t>imediatidade</w:t>
      </w:r>
      <w:proofErr w:type="spellEnd"/>
      <w:r w:rsidRPr="007C1D4F">
        <w:rPr>
          <w:rFonts w:ascii="Open Sans" w:eastAsiaTheme="minorHAnsi" w:hAnsi="Open Sans" w:cs="Open Sans"/>
          <w:sz w:val="24"/>
          <w:szCs w:val="24"/>
          <w:lang w:eastAsia="en-US"/>
        </w:rPr>
        <w:t xml:space="preserve"> necessária para a configuração da rescisão indireta. 3. É fato público e notório o descumprimento das normas de segurança do trabalho pela Vale S.A. (art. 157, I, da CLT), que resultou no rompimento da barragem e na morte de cerca de 272 pessoas, bem como a sujeição dos trabalhadores que atuaram na Mina do Córrego do Feijão a condições de risco manifesto. 4. Prevê o art. 483, “c”, da CLT que o empregado poderá considerar rescindido o contrato e pleitear a devida indenização quando “correr perigo manifesto de mal considerável”. Por perigo manifesto de mal considerável entende-se o ato patronal, alheio ao contrato de trabalho e à própria função desempenhada, que acarreta risco à integridade física do trabalhador. 5. Evidenciado, portanto, que o reclamante desempenhava suas atividades em ambiente de risco, com real potencial de acidente, resta configurada a hipótese descrita pelo art. 483, “c”, da CLT. 6. A jurisprudência desta Corte tem dispensado a </w:t>
      </w:r>
      <w:proofErr w:type="spellStart"/>
      <w:r w:rsidRPr="007C1D4F">
        <w:rPr>
          <w:rFonts w:ascii="Open Sans" w:eastAsiaTheme="minorHAnsi" w:hAnsi="Open Sans" w:cs="Open Sans"/>
          <w:sz w:val="24"/>
          <w:szCs w:val="24"/>
          <w:lang w:eastAsia="en-US"/>
        </w:rPr>
        <w:t>imediatidade</w:t>
      </w:r>
      <w:proofErr w:type="spellEnd"/>
      <w:r w:rsidRPr="007C1D4F">
        <w:rPr>
          <w:rFonts w:ascii="Open Sans" w:eastAsiaTheme="minorHAnsi" w:hAnsi="Open Sans" w:cs="Open Sans"/>
          <w:sz w:val="24"/>
          <w:szCs w:val="24"/>
          <w:lang w:eastAsia="en-US"/>
        </w:rPr>
        <w:t xml:space="preserve"> da reação do empregado como requisito para o reconhecimento da rescisão indireta, em face de sua condição de hipossuficiente e da necessidade de manutenção do emprego, como meio de assegurar-lhe o próprio </w:t>
      </w:r>
      <w:r w:rsidRPr="007C1D4F">
        <w:rPr>
          <w:rFonts w:ascii="Open Sans" w:eastAsiaTheme="minorHAnsi" w:hAnsi="Open Sans" w:cs="Open Sans"/>
          <w:sz w:val="24"/>
          <w:szCs w:val="24"/>
          <w:lang w:eastAsia="en-US"/>
        </w:rPr>
        <w:lastRenderedPageBreak/>
        <w:t>sustento e da sua família. Precedentes. Recurso de revista conhecido por violação do art. 483, “c”, da CLT e provido.” (</w:t>
      </w:r>
      <w:hyperlink r:id="rId20" w:history="1">
        <w:r w:rsidRPr="007C1D4F">
          <w:rPr>
            <w:rFonts w:ascii="Open Sans" w:eastAsiaTheme="minorHAnsi" w:hAnsi="Open Sans" w:cs="Open Sans"/>
            <w:color w:val="0000FF" w:themeColor="hyperlink"/>
            <w:sz w:val="24"/>
            <w:szCs w:val="24"/>
            <w:u w:val="single"/>
            <w:lang w:eastAsia="en-US"/>
          </w:rPr>
          <w:t>TST-RRAg-10223-38.2020.5.03.0087</w:t>
        </w:r>
      </w:hyperlink>
      <w:r w:rsidRPr="007C1D4F">
        <w:rPr>
          <w:rFonts w:ascii="Open Sans" w:eastAsiaTheme="minorHAnsi" w:hAnsi="Open Sans" w:cs="Open Sans"/>
          <w:sz w:val="24"/>
          <w:szCs w:val="24"/>
          <w:lang w:eastAsia="en-US"/>
        </w:rPr>
        <w:t>, 8ª Turma, rel. Min. Alexandre de Souza Agra Belmonte, julgado em 11/5/2022)</w:t>
      </w:r>
      <w:bookmarkStart w:id="1" w:name="_GoBack"/>
      <w:bookmarkEnd w:id="1"/>
    </w:p>
    <w:p w:rsidR="007C1D4F" w:rsidRDefault="007C1D4F" w:rsidP="001A7589">
      <w:pPr>
        <w:pStyle w:val="Cabealho"/>
        <w:tabs>
          <w:tab w:val="clear" w:pos="4419"/>
          <w:tab w:val="clear" w:pos="8838"/>
        </w:tabs>
        <w:ind w:left="-142" w:right="368" w:firstLine="142"/>
        <w:jc w:val="center"/>
        <w:rPr>
          <w:rFonts w:ascii="Open Sans" w:hAnsi="Open Sans" w:cs="Open Sans"/>
          <w:i/>
        </w:rPr>
      </w:pPr>
    </w:p>
    <w:p w:rsidR="007C1D4F" w:rsidRPr="003509A3" w:rsidRDefault="007C1D4F" w:rsidP="001A7589">
      <w:pPr>
        <w:pStyle w:val="Cabealho"/>
        <w:tabs>
          <w:tab w:val="clear" w:pos="4419"/>
          <w:tab w:val="clear" w:pos="8838"/>
        </w:tabs>
        <w:ind w:left="-142" w:right="368" w:firstLine="142"/>
        <w:jc w:val="center"/>
        <w:rPr>
          <w:rFonts w:ascii="Open Sans" w:hAnsi="Open Sans" w:cs="Open Sans"/>
          <w:i/>
        </w:rPr>
      </w:pP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21" w:history="1">
        <w:r w:rsidRPr="003509A3">
          <w:rPr>
            <w:rStyle w:val="Hyperlink"/>
            <w:rFonts w:ascii="Open Sans" w:hAnsi="Open Sans" w:cs="Open Sans"/>
            <w:snapToGrid w:val="0"/>
            <w:sz w:val="24"/>
            <w:szCs w:val="24"/>
          </w:rPr>
          <w:t>cjur@tst.jus.br</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2"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3" w:history="1">
        <w:r w:rsidRPr="003509A3">
          <w:rPr>
            <w:rStyle w:val="Hyperlink"/>
            <w:rFonts w:ascii="Open Sans" w:hAnsi="Open Sans" w:cs="Open Sans"/>
            <w:snapToGrid w:val="0"/>
            <w:sz w:val="24"/>
            <w:szCs w:val="24"/>
          </w:rPr>
          <w:t>http://www.tst.jus.br/push</w:t>
        </w:r>
      </w:hyperlink>
    </w:p>
    <w:p w:rsidR="00ED73E7" w:rsidRPr="00ED73E7" w:rsidRDefault="00ED73E7" w:rsidP="00ED73E7">
      <w:pPr>
        <w:tabs>
          <w:tab w:val="left" w:pos="8955"/>
        </w:tabs>
      </w:pPr>
    </w:p>
    <w:sectPr w:rsidR="00ED73E7" w:rsidRPr="00ED73E7" w:rsidSect="001A7589">
      <w:headerReference w:type="default" r:id="rId24"/>
      <w:footerReference w:type="default" r:id="rId25"/>
      <w:headerReference w:type="first" r:id="rId26"/>
      <w:footerReference w:type="first" r:id="rId27"/>
      <w:pgSz w:w="11906" w:h="16838"/>
      <w:pgMar w:top="1701"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F17D49">
              <w:rPr>
                <w:noProof/>
              </w:rPr>
              <w:t>4</w:t>
            </w:r>
            <w:r>
              <w:fldChar w:fldCharType="end"/>
            </w:r>
          </w:p>
        </w:sdtContent>
      </w:sdt>
      <w:p w:rsidR="00ED73E7" w:rsidRDefault="00F17D49"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F17D49">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ED73E7" w:rsidP="00ED73E7">
    <w:pPr>
      <w:pStyle w:val="Corpodetexto"/>
      <w:ind w:right="510"/>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B91DD6">
      <w:rPr>
        <w:rFonts w:ascii="Open Sans" w:hAnsi="Open Sans" w:cs="Open Sans"/>
        <w:color w:val="006699"/>
        <w:sz w:val="28"/>
        <w:szCs w:val="28"/>
      </w:rPr>
      <w:t>254</w:t>
    </w:r>
  </w:p>
  <w:p w:rsidR="00B91DD6" w:rsidRDefault="00B91DD6" w:rsidP="00B91DD6">
    <w:pPr>
      <w:pStyle w:val="Cabealho"/>
      <w:pBdr>
        <w:bottom w:val="single" w:sz="4" w:space="1" w:color="auto"/>
      </w:pBdr>
      <w:ind w:left="-284" w:right="367"/>
      <w:jc w:val="right"/>
    </w:pPr>
    <w:r w:rsidRPr="00AF45B3">
      <w:rPr>
        <w:rFonts w:ascii="Open Sans" w:hAnsi="Open Sans" w:cs="Open Sans"/>
        <w:i/>
        <w:iCs/>
        <w:color w:val="005DA2"/>
        <w:sz w:val="22"/>
        <w:szCs w:val="22"/>
      </w:rPr>
      <w:t xml:space="preserve">Período: </w:t>
    </w:r>
    <w:r w:rsidR="00F17D49">
      <w:rPr>
        <w:rFonts w:ascii="Open Sans" w:hAnsi="Open Sans" w:cs="Open Sans"/>
        <w:i/>
        <w:iCs/>
        <w:color w:val="005DA2"/>
        <w:sz w:val="22"/>
        <w:szCs w:val="22"/>
      </w:rPr>
      <w:t>25 de abril a 17</w:t>
    </w:r>
    <w:r>
      <w:rPr>
        <w:rFonts w:ascii="Open Sans" w:hAnsi="Open Sans" w:cs="Open Sans"/>
        <w:i/>
        <w:iCs/>
        <w:color w:val="005DA2"/>
        <w:sz w:val="22"/>
        <w:szCs w:val="22"/>
      </w:rPr>
      <w:t xml:space="preserve"> de maio de 2022.</w:t>
    </w:r>
  </w:p>
  <w:p w:rsidR="00ED73E7" w:rsidRPr="00ED73E7" w:rsidRDefault="00ED73E7" w:rsidP="00ED73E7">
    <w:pPr>
      <w:pStyle w:val="Corpodetexto"/>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1A7589" w:rsidP="001A7589">
    <w:pPr>
      <w:pStyle w:val="Cabealho"/>
    </w:pPr>
    <w:r>
      <w:rPr>
        <w:noProof/>
      </w:rPr>
      <mc:AlternateContent>
        <mc:Choice Requires="wps">
          <w:drawing>
            <wp:anchor distT="0" distB="0" distL="114300" distR="114300" simplePos="0" relativeHeight="251661312" behindDoc="0" locked="0" layoutInCell="0" allowOverlap="1" wp14:anchorId="4A287C82" wp14:editId="0E3D6A83">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652BCA8D" wp14:editId="5C066E72">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Pr>
        <w:rFonts w:ascii="Bebas Neue Regular" w:hAnsi="Bebas Neue Regular"/>
        <w:noProof/>
        <w:color w:val="006699"/>
        <w:sz w:val="30"/>
      </w:rPr>
      <w:drawing>
        <wp:inline distT="0" distB="0" distL="0" distR="0" wp14:anchorId="7DC7E27A" wp14:editId="78486511">
          <wp:extent cx="6124575" cy="8953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B91DD6">
      <w:rPr>
        <w:rFonts w:ascii="Open Sans" w:hAnsi="Open Sans" w:cs="Open Sans"/>
        <w:b/>
        <w:color w:val="005DA2"/>
        <w:sz w:val="32"/>
        <w:szCs w:val="32"/>
      </w:rPr>
      <w:t>254</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280F6F">
      <w:rPr>
        <w:rFonts w:ascii="Open Sans" w:hAnsi="Open Sans" w:cs="Open Sans"/>
        <w:i/>
        <w:iCs/>
        <w:color w:val="005DA2"/>
        <w:sz w:val="22"/>
        <w:szCs w:val="22"/>
      </w:rPr>
      <w:t>25 de abril a 17</w:t>
    </w:r>
    <w:r>
      <w:rPr>
        <w:rFonts w:ascii="Open Sans" w:hAnsi="Open Sans" w:cs="Open Sans"/>
        <w:i/>
        <w:iCs/>
        <w:color w:val="005DA2"/>
        <w:sz w:val="22"/>
        <w:szCs w:val="22"/>
      </w:rPr>
      <w:t xml:space="preserve"> de </w:t>
    </w:r>
    <w:r w:rsidR="00B91DD6">
      <w:rPr>
        <w:rFonts w:ascii="Open Sans" w:hAnsi="Open Sans" w:cs="Open Sans"/>
        <w:i/>
        <w:iCs/>
        <w:color w:val="005DA2"/>
        <w:sz w:val="22"/>
        <w:szCs w:val="22"/>
      </w:rPr>
      <w:t>maio</w:t>
    </w:r>
    <w:r>
      <w:rPr>
        <w:rFonts w:ascii="Open Sans" w:hAnsi="Open Sans" w:cs="Open Sans"/>
        <w:i/>
        <w:iCs/>
        <w:color w:val="005DA2"/>
        <w:sz w:val="22"/>
        <w:szCs w:val="22"/>
      </w:rPr>
      <w:t xml:space="preserve"> de 2022</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1134A7"/>
    <w:rsid w:val="00155CB1"/>
    <w:rsid w:val="001A7589"/>
    <w:rsid w:val="002644D3"/>
    <w:rsid w:val="00280F6F"/>
    <w:rsid w:val="00577BB7"/>
    <w:rsid w:val="00585786"/>
    <w:rsid w:val="00653481"/>
    <w:rsid w:val="006B5C5F"/>
    <w:rsid w:val="007C1D4F"/>
    <w:rsid w:val="00AA28BD"/>
    <w:rsid w:val="00B91DD6"/>
    <w:rsid w:val="00ED73E7"/>
    <w:rsid w:val="00F17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696&amp;digitoTst=25&amp;anoTst=2012&amp;orgaoTst=5&amp;tribunalTst=05&amp;varaTst=0463&amp;submit=Consultar" TargetMode="External"/><Relationship Id="rId13" Type="http://schemas.openxmlformats.org/officeDocument/2006/relationships/hyperlink" Target="https://consultaprocessual.tst.jus.br/consultaProcessual/consultaTstNumUnica.do?consulta=Consultar&amp;conscsjt=&amp;numeroTst=277&amp;digitoTst=87&amp;anoTst=2014&amp;orgaoTst=5&amp;tribunalTst=09&amp;varaTst=0668&amp;submit=Consultar" TargetMode="External"/><Relationship Id="rId18" Type="http://schemas.openxmlformats.org/officeDocument/2006/relationships/hyperlink" Target="https://consultaprocessual.tst.jus.br/consultaProcessual/consultaTstNumUnica.do?consulta=Consultar&amp;conscsjt=&amp;numeroTst=298&amp;digitoTst=52&amp;anoTst=2017&amp;orgaoTst=5&amp;tribunalTst=06&amp;varaTst=0018&amp;submit=Consultar"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mailto:cjur@tst.jus.br"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399&amp;digitoTst=97&amp;anoTst=2020&amp;orgaoTst=5&amp;tribunalTst=21&amp;varaTst=0008&amp;submit=Consultar" TargetMode="External"/><Relationship Id="rId17" Type="http://schemas.openxmlformats.org/officeDocument/2006/relationships/hyperlink" Target="https://consultaprocessual.tst.jus.br/consultaProcessual/consultaTstNumUnica.do?consulta=Consultar&amp;conscsjt=&amp;numeroTst=10709&amp;digitoTst=83&amp;anoTst=2018&amp;orgaoTst=5&amp;tribunalTst=03&amp;varaTst=0025&amp;submit=Consulta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645&amp;digitoTst=42&amp;anoTst=2019&amp;orgaoTst=5&amp;tribunalTst=10&amp;varaTst=0006&amp;submit=Consultar" TargetMode="External"/><Relationship Id="rId20" Type="http://schemas.openxmlformats.org/officeDocument/2006/relationships/hyperlink" Target="https://consultaprocessual.tst.jus.br/consultaProcessual/consultaTstNumUnica.do?consulta=Consultar&amp;conscsjt=&amp;numeroTst=10223&amp;digitoTst=38&amp;anoTst=2020&amp;orgaoTst=5&amp;tribunalTst=03&amp;varaTst=0087&amp;submit=Consult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450&amp;digitoTst=57&amp;anoTst=2017&amp;orgaoTst=5&amp;tribunalTst=23&amp;varaTst=0041&amp;submit=Consulta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553&amp;digitoTst=22&amp;anoTst=2019&amp;orgaoTst=5&amp;tribunalTst=17&amp;varaTst=0151&amp;submit=Consultar" TargetMode="External"/><Relationship Id="rId23" Type="http://schemas.openxmlformats.org/officeDocument/2006/relationships/hyperlink" Target="http://www.tst.jus.br/push" TargetMode="External"/><Relationship Id="rId28" Type="http://schemas.openxmlformats.org/officeDocument/2006/relationships/fontTable" Target="fontTable.xml"/><Relationship Id="rId10" Type="http://schemas.openxmlformats.org/officeDocument/2006/relationships/hyperlink" Target="https://consultaprocessual.tst.jus.br/consultaProcessual/consultaTstNumUnica.do?consulta=Consultar&amp;conscsjt=&amp;numeroTst=796&amp;digitoTst=08&amp;anoTst=2017&amp;orgaoTst=5&amp;tribunalTst=06&amp;varaTst=0000&amp;submit=Consultar" TargetMode="External"/><Relationship Id="rId19" Type="http://schemas.openxmlformats.org/officeDocument/2006/relationships/hyperlink" Target="https://consultaprocessual.tst.jus.br/consultaProcessual/consultaTstNumUnica.do?consulta=Consultar&amp;conscsjt=&amp;numeroTst=407&amp;digitoTst=88&amp;anoTst=2020&amp;orgaoTst=5&amp;tribunalTst=17&amp;varaTst=0007&amp;submit=Consultar" TargetMode="Externa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930&amp;digitoTst=57&amp;anoTst=2020&amp;orgaoTst=5&amp;tribunalTst=05&amp;varaTst=0000&amp;submit=Consultar" TargetMode="External"/><Relationship Id="rId14" Type="http://schemas.openxmlformats.org/officeDocument/2006/relationships/hyperlink" Target="https://consultaprocessual.tst.jus.br/consultaProcessual/consultaTstNumUnica.do?consulta=Consultar&amp;conscsjt=&amp;numeroTst=1861&amp;digitoTst=30&amp;anoTst=2017&amp;orgaoTst=5&amp;tribunalTst=20&amp;varaTst=0006&amp;submit=Consultar" TargetMode="External"/><Relationship Id="rId22" Type="http://schemas.openxmlformats.org/officeDocument/2006/relationships/hyperlink" Target="http://www.tst.jus.br/web/guest/informativo-tst"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281FD-A6A7-4BA5-A593-13927EB7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5312</Words>
  <Characters>28689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Andressa Santos Gomes</cp:lastModifiedBy>
  <cp:revision>12</cp:revision>
  <dcterms:created xsi:type="dcterms:W3CDTF">2022-05-02T22:13:00Z</dcterms:created>
  <dcterms:modified xsi:type="dcterms:W3CDTF">2022-05-25T13:26:00Z</dcterms:modified>
</cp:coreProperties>
</file>