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C26DFB" w:rsidRPr="003509A3" w14:paraId="19F29D7E" w14:textId="77777777" w:rsidTr="00FD7994">
        <w:trPr>
          <w:trHeight w:val="537"/>
        </w:trPr>
        <w:tc>
          <w:tcPr>
            <w:tcW w:w="9782" w:type="dxa"/>
            <w:tcBorders>
              <w:top w:val="single" w:sz="4" w:space="0" w:color="auto"/>
            </w:tcBorders>
          </w:tcPr>
          <w:p w14:paraId="36C0B528" w14:textId="529C3CF0" w:rsidR="008D5CA9" w:rsidRPr="003509A3" w:rsidRDefault="00C26DFB" w:rsidP="00FD7994">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w:t>
            </w:r>
            <w:r w:rsidR="00DC50EB" w:rsidRPr="003509A3">
              <w:rPr>
                <w:rFonts w:ascii="Open Sans" w:hAnsi="Open Sans" w:cs="Open Sans"/>
              </w:rPr>
              <w:t xml:space="preserve"> </w:t>
            </w:r>
            <w:r w:rsidRPr="003509A3">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3509A3">
              <w:rPr>
                <w:rFonts w:ascii="Open Sans" w:hAnsi="Open Sans" w:cs="Open Sans"/>
              </w:rPr>
              <w:t xml:space="preserve"> Eletrônico </w:t>
            </w:r>
            <w:r w:rsidRPr="003509A3">
              <w:rPr>
                <w:rFonts w:ascii="Open Sans" w:hAnsi="Open Sans" w:cs="Open Sans"/>
              </w:rPr>
              <w:t>da Justiça</w:t>
            </w:r>
            <w:r w:rsidR="00980944" w:rsidRPr="003509A3">
              <w:rPr>
                <w:rFonts w:ascii="Open Sans" w:hAnsi="Open Sans" w:cs="Open Sans"/>
              </w:rPr>
              <w:t xml:space="preserve"> do Trabalho</w:t>
            </w:r>
            <w:r w:rsidRPr="003509A3">
              <w:rPr>
                <w:rFonts w:ascii="Open Sans" w:hAnsi="Open Sans" w:cs="Open Sans"/>
              </w:rPr>
              <w:t>.</w:t>
            </w:r>
          </w:p>
        </w:tc>
      </w:tr>
    </w:tbl>
    <w:p w14:paraId="67351906" w14:textId="029B51E2" w:rsidR="005909E6" w:rsidRPr="003509A3" w:rsidRDefault="005909E6" w:rsidP="00E74527">
      <w:pPr>
        <w:ind w:left="-142" w:right="368" w:firstLine="142"/>
        <w:jc w:val="both"/>
        <w:rPr>
          <w:rFonts w:ascii="Open Sans" w:eastAsiaTheme="minorHAnsi" w:hAnsi="Open Sans" w:cs="Open Sans"/>
          <w:sz w:val="24"/>
          <w:szCs w:val="24"/>
          <w:lang w:eastAsia="en-US"/>
        </w:rPr>
      </w:pPr>
      <w:r w:rsidRPr="003509A3">
        <w:rPr>
          <w:rFonts w:ascii="Open Sans" w:hAnsi="Open Sans" w:cs="Open Sans"/>
          <w:sz w:val="24"/>
          <w:szCs w:val="24"/>
        </w:rPr>
        <w:tab/>
      </w:r>
    </w:p>
    <w:p w14:paraId="61D90B15" w14:textId="77777777" w:rsidR="002A1295" w:rsidRPr="003509A3" w:rsidRDefault="002A1295" w:rsidP="00E74527">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SUBSEÇÃO I ESPECIALIZADA EM DISSÍDIOS INDIVIDUAIS</w:t>
      </w:r>
    </w:p>
    <w:p w14:paraId="6F9E051D" w14:textId="77777777" w:rsidR="002A1295" w:rsidRPr="0069787A" w:rsidRDefault="002A1295" w:rsidP="00E74527">
      <w:pPr>
        <w:jc w:val="both"/>
        <w:rPr>
          <w:rFonts w:ascii="Open Sans" w:hAnsi="Open Sans" w:cs="Open Sans"/>
          <w:sz w:val="24"/>
          <w:szCs w:val="24"/>
        </w:rPr>
      </w:pPr>
    </w:p>
    <w:p w14:paraId="174ABED3" w14:textId="77777777" w:rsidR="00C96700" w:rsidRDefault="00C96700" w:rsidP="00C96700">
      <w:pPr>
        <w:ind w:left="-284" w:right="368"/>
        <w:jc w:val="both"/>
        <w:rPr>
          <w:rFonts w:ascii="Open Sans" w:hAnsi="Open Sans" w:cs="Open Sans"/>
          <w:b/>
          <w:i/>
          <w:sz w:val="24"/>
          <w:szCs w:val="24"/>
        </w:rPr>
      </w:pPr>
      <w:r w:rsidRPr="00605A36">
        <w:rPr>
          <w:rFonts w:ascii="Open Sans" w:hAnsi="Open Sans" w:cs="Open Sans"/>
          <w:b/>
          <w:i/>
          <w:sz w:val="24"/>
          <w:szCs w:val="24"/>
        </w:rPr>
        <w:t xml:space="preserve">Responsabilidade civil do empregador. Acidente de trabalho. Indenização por danos materiais. Obrigação de custeio de plano de saúde vitalício. </w:t>
      </w:r>
    </w:p>
    <w:p w14:paraId="0B2831F7" w14:textId="29875F79" w:rsidR="00C96700" w:rsidRPr="00C96700" w:rsidRDefault="00C96700" w:rsidP="00C96700">
      <w:pPr>
        <w:ind w:left="-284" w:right="368"/>
        <w:jc w:val="both"/>
        <w:rPr>
          <w:rFonts w:ascii="Open Sans" w:hAnsi="Open Sans" w:cs="Open Sans"/>
          <w:b/>
          <w:i/>
          <w:sz w:val="24"/>
          <w:szCs w:val="24"/>
        </w:rPr>
      </w:pPr>
      <w:r w:rsidRPr="00605A36">
        <w:rPr>
          <w:rFonts w:ascii="Open Sans" w:hAnsi="Open Sans" w:cs="Open Sans"/>
          <w:sz w:val="24"/>
          <w:szCs w:val="24"/>
        </w:rPr>
        <w:t xml:space="preserve">Em atenção ao princípio da reparação integral, nos moldes dos artigos 949 e 950 do Código Civil, configura-se possível o deferimento de pedido atinente ao custeio de plano de saúde vitalício em favor de empregado vítima de acidente de trabalho, que tenha acarretado a incapacidade permanente para o exercício de seu ofício ou profissão, quando ficar comprovada nos autos a necessidade de tratamento médico de forma prolongada. Trata-se de obrigação decorrente do dever legal de reparação de dano material sofrido em decorrência do trabalho desenvolvido em prol do empregador. Entretanto, no caso concreto, sequer foi especificado qual seria o tratamento médico indispensável ao empregado e tampouco ficou demonstrada a necessidade de cuidados médicos permanentes, o que torna inviável a condenação pretendida. Sob esses fundamentos, a SBDI-1, por unanimidade, conheceu do recurso de embargos, por divergência jurisprudencial e, no mérito, negou-lhe provimento. </w:t>
      </w:r>
      <w:hyperlink r:id="rId9" w:history="1">
        <w:r w:rsidRPr="00605A36">
          <w:rPr>
            <w:rStyle w:val="Hyperlink"/>
            <w:rFonts w:ascii="Open Sans" w:hAnsi="Open Sans" w:cs="Open Sans"/>
            <w:sz w:val="24"/>
            <w:szCs w:val="24"/>
          </w:rPr>
          <w:t>TST-E-RR-907-68.2012.5.05.0493</w:t>
        </w:r>
      </w:hyperlink>
      <w:r w:rsidRPr="00605A36">
        <w:rPr>
          <w:rFonts w:ascii="Open Sans" w:hAnsi="Open Sans" w:cs="Open Sans"/>
          <w:sz w:val="24"/>
          <w:szCs w:val="24"/>
          <w:u w:val="single"/>
        </w:rPr>
        <w:t>, SBDI-I, rel. Min. Cláudio Mascarenhas Brandão, 10/3/2022.</w:t>
      </w:r>
    </w:p>
    <w:p w14:paraId="6783E207" w14:textId="77777777" w:rsidR="00FD7994" w:rsidRPr="00605A36" w:rsidRDefault="00FD7994" w:rsidP="005A587A">
      <w:pPr>
        <w:spacing w:line="360" w:lineRule="auto"/>
        <w:ind w:left="-284" w:right="368"/>
        <w:jc w:val="both"/>
        <w:rPr>
          <w:rFonts w:ascii="Open Sans" w:hAnsi="Open Sans" w:cs="Open Sans"/>
          <w:b/>
          <w:i/>
          <w:sz w:val="24"/>
          <w:szCs w:val="24"/>
        </w:rPr>
      </w:pPr>
    </w:p>
    <w:p w14:paraId="64BC029A" w14:textId="1BBCC994" w:rsidR="00C96700" w:rsidRPr="003509A3" w:rsidRDefault="00C96700" w:rsidP="00C96700">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14:paraId="3DDD445F" w14:textId="77777777" w:rsidR="00D81339" w:rsidRPr="003509A3" w:rsidRDefault="00D81339" w:rsidP="00E74527">
      <w:pPr>
        <w:pStyle w:val="Identificao"/>
        <w:rPr>
          <w:rFonts w:ascii="Open Sans" w:hAnsi="Open Sans" w:cs="Open Sans"/>
          <w:b/>
          <w:i/>
          <w:lang w:val="pt-BR"/>
        </w:rPr>
      </w:pPr>
    </w:p>
    <w:p w14:paraId="1B4477CF" w14:textId="77777777" w:rsidR="002A1295" w:rsidRPr="006A0EA3" w:rsidRDefault="002A1295" w:rsidP="00E74527">
      <w:pPr>
        <w:ind w:left="-284" w:right="368"/>
        <w:jc w:val="both"/>
        <w:rPr>
          <w:rFonts w:ascii="Open Sans" w:hAnsi="Open Sans" w:cs="Open Sans"/>
          <w:b/>
          <w:i/>
          <w:sz w:val="24"/>
          <w:szCs w:val="24"/>
        </w:rPr>
      </w:pPr>
      <w:r w:rsidRPr="006A0EA3">
        <w:rPr>
          <w:rFonts w:ascii="Open Sans" w:hAnsi="Open Sans" w:cs="Open Sans"/>
          <w:b/>
          <w:sz w:val="24"/>
          <w:szCs w:val="24"/>
        </w:rPr>
        <w:t>Habeas corpus</w:t>
      </w:r>
      <w:r w:rsidRPr="006A0EA3">
        <w:rPr>
          <w:rFonts w:ascii="Open Sans" w:hAnsi="Open Sans" w:cs="Open Sans"/>
          <w:b/>
          <w:i/>
          <w:sz w:val="24"/>
          <w:szCs w:val="24"/>
        </w:rPr>
        <w:t>. Ato coator praticado por particular que envolve exercício do direito de greve. Cabimento. Competência da Justiça do Trabalho. Incompetência funcional do TRT.</w:t>
      </w:r>
    </w:p>
    <w:p w14:paraId="2CB51060" w14:textId="77777777" w:rsidR="002A1295" w:rsidRPr="002A1295" w:rsidRDefault="002A1295" w:rsidP="00E74527">
      <w:pPr>
        <w:pStyle w:val="Identificao"/>
        <w:ind w:left="-284" w:right="368"/>
        <w:rPr>
          <w:rFonts w:ascii="Open Sans" w:hAnsi="Open Sans" w:cs="Open Sans"/>
          <w:b/>
          <w:lang w:val="pt-BR"/>
        </w:rPr>
      </w:pPr>
      <w:r w:rsidRPr="002A1295">
        <w:rPr>
          <w:rFonts w:ascii="Open Sans" w:hAnsi="Open Sans" w:cs="Open Sans"/>
          <w:lang w:val="pt-BR"/>
        </w:rPr>
        <w:t xml:space="preserve">A SBDI-II concluiu que o cabimento do </w:t>
      </w:r>
      <w:r w:rsidRPr="002A1295">
        <w:rPr>
          <w:rFonts w:ascii="Open Sans" w:hAnsi="Open Sans" w:cs="Open Sans"/>
          <w:i/>
          <w:lang w:val="pt-BR"/>
        </w:rPr>
        <w:t>habeas corpus</w:t>
      </w:r>
      <w:r w:rsidRPr="002A1295">
        <w:rPr>
          <w:rFonts w:ascii="Open Sans" w:hAnsi="Open Sans" w:cs="Open Sans"/>
          <w:lang w:val="pt-BR"/>
        </w:rPr>
        <w:t xml:space="preserve"> não se restringe aos atos praticados por autoridade ou agentes públicos, podendo também ser impetrado contra ato de particular. Na hipótese, o </w:t>
      </w:r>
      <w:r w:rsidRPr="002A1295">
        <w:rPr>
          <w:rFonts w:ascii="Open Sans" w:hAnsi="Open Sans" w:cs="Open Sans"/>
          <w:i/>
          <w:lang w:val="pt-BR"/>
        </w:rPr>
        <w:t>habeas corpus</w:t>
      </w:r>
      <w:r w:rsidRPr="002A1295">
        <w:rPr>
          <w:rFonts w:ascii="Open Sans" w:hAnsi="Open Sans" w:cs="Open Sans"/>
          <w:lang w:val="pt-BR"/>
        </w:rPr>
        <w:t xml:space="preserve"> fora impetrado sob a alegação de constrangimento ao direito de locomoção em decorrência de atos supostamente praticados por sindicato durante o exercício do direito de greve. Consignou-se que o </w:t>
      </w:r>
      <w:r w:rsidRPr="002A1295">
        <w:rPr>
          <w:rFonts w:ascii="Open Sans" w:hAnsi="Open Sans" w:cs="Open Sans"/>
          <w:lang w:val="pt-BR"/>
        </w:rPr>
        <w:lastRenderedPageBreak/>
        <w:t xml:space="preserve">inciso LXVIII do artigo 5º da Constituição Federal, que trata do </w:t>
      </w:r>
      <w:r w:rsidRPr="002A1295">
        <w:rPr>
          <w:rFonts w:ascii="Open Sans" w:hAnsi="Open Sans" w:cs="Open Sans"/>
          <w:i/>
          <w:lang w:val="pt-BR"/>
        </w:rPr>
        <w:t>habeas corpus</w:t>
      </w:r>
      <w:r w:rsidRPr="002A1295">
        <w:rPr>
          <w:rFonts w:ascii="Open Sans" w:hAnsi="Open Sans" w:cs="Open Sans"/>
          <w:lang w:val="pt-BR"/>
        </w:rPr>
        <w:t xml:space="preserve">, diferentemente dos incisos LXIX e LXXII, que tratam, respectivamente, do mandado de segurança e do </w:t>
      </w:r>
      <w:r w:rsidRPr="002A1295">
        <w:rPr>
          <w:rFonts w:ascii="Open Sans" w:hAnsi="Open Sans" w:cs="Open Sans"/>
          <w:i/>
          <w:lang w:val="pt-BR"/>
        </w:rPr>
        <w:t>habeas data</w:t>
      </w:r>
      <w:r w:rsidRPr="002A1295">
        <w:rPr>
          <w:rFonts w:ascii="Open Sans" w:hAnsi="Open Sans" w:cs="Open Sans"/>
          <w:lang w:val="pt-BR"/>
        </w:rPr>
        <w:t xml:space="preserve">, é silente quanto ao sujeito do ato coator e que a importância do direito à liberdade de ir e vir justifica não apenas a utilização da ação constitucional contra ato de particular, como também a sua legitimação ativa plena e a dispensa da capacidade postulatória. Salientou-se, ainda, que eventual constrangimento ao direito de locomoção, decorrente de ato praticado pelo sindicato, é passível de elisão por meio do </w:t>
      </w:r>
      <w:r w:rsidRPr="002A1295">
        <w:rPr>
          <w:rFonts w:ascii="Open Sans" w:hAnsi="Open Sans" w:cs="Open Sans"/>
          <w:i/>
          <w:lang w:val="pt-BR"/>
        </w:rPr>
        <w:t>habeas corpus</w:t>
      </w:r>
      <w:r w:rsidRPr="002A1295">
        <w:rPr>
          <w:rFonts w:ascii="Open Sans" w:hAnsi="Open Sans" w:cs="Open Sans"/>
          <w:lang w:val="pt-BR"/>
        </w:rPr>
        <w:t xml:space="preserve">, em razão do poder que lhe é legalmente outorgado para deflagrar a paralisação coletiva. Além disso, destacou-se que o cabimento do </w:t>
      </w:r>
      <w:r w:rsidRPr="002A1295">
        <w:rPr>
          <w:rFonts w:ascii="Open Sans" w:hAnsi="Open Sans" w:cs="Open Sans"/>
          <w:i/>
          <w:lang w:val="pt-BR"/>
        </w:rPr>
        <w:t xml:space="preserve">habeas corpus </w:t>
      </w:r>
      <w:r w:rsidRPr="002A1295">
        <w:rPr>
          <w:rFonts w:ascii="Open Sans" w:hAnsi="Open Sans" w:cs="Open Sans"/>
          <w:lang w:val="pt-BR"/>
        </w:rPr>
        <w:t xml:space="preserve">no âmbito de movimento grevista não implica enfraquecimento do livre exercício coletivo do direito fundamental de greve, pois não se discute a sua abusividade, mas, unicamente, a necessidade de se conceder ou não o salvo conduto em decorrência do constrangimento ilegal sobre o direito fundamental de locomoção provocado pela restrição da liberdade daqueles trabalhadores que, livremente, resolveram não aderir à greve. Em seguida, a SBDI-II, com fundamento no artigo 114, incisos II e IV, da Constituição Federal, afastou a alegação de incompetência desta Justiça Especializada suscitada pelo sindicato, deixando consignado que é da Justiça do Trabalho a competência para processar e julgar os </w:t>
      </w:r>
      <w:r w:rsidRPr="002A1295">
        <w:rPr>
          <w:rFonts w:ascii="Open Sans" w:hAnsi="Open Sans" w:cs="Open Sans"/>
          <w:i/>
          <w:lang w:val="pt-BR"/>
        </w:rPr>
        <w:t>habeas corpus</w:t>
      </w:r>
      <w:r w:rsidRPr="002A1295">
        <w:rPr>
          <w:rFonts w:ascii="Open Sans" w:hAnsi="Open Sans" w:cs="Open Sans"/>
          <w:lang w:val="pt-BR"/>
        </w:rPr>
        <w:t xml:space="preserve"> contra atos vinculados ao exercício do direito de greve. Por fim, definiu-se que a competência funcional para apreciar e julgar </w:t>
      </w:r>
      <w:r w:rsidRPr="002A1295">
        <w:rPr>
          <w:rFonts w:ascii="Open Sans" w:hAnsi="Open Sans" w:cs="Open Sans"/>
          <w:i/>
          <w:lang w:val="pt-BR"/>
        </w:rPr>
        <w:t>habeas corpus</w:t>
      </w:r>
      <w:r w:rsidRPr="002A1295">
        <w:rPr>
          <w:rFonts w:ascii="Open Sans" w:hAnsi="Open Sans" w:cs="Open Sans"/>
          <w:lang w:val="pt-BR"/>
        </w:rPr>
        <w:t xml:space="preserve"> impetrado contra ato praticado por particular é da Vara do Trabalho, e não do TRT. E, por se tratar a competência funcional de critério de competência absoluta, a consequência jurídica é a nulidade de todos os atos decisórios praticados. Assim, a SBDI-II, por unanimidade, conheceu do recurso ordinário interposto pelo sindicato e, no mérito, deu-lhe parcial provimento para declarar a incompetência funcional da Seção Especializada em Dissídios Coletivos do Tribunal Regional do Trabalho da 5.ª Região para apreciar e julgar o </w:t>
      </w:r>
      <w:r w:rsidRPr="002A1295">
        <w:rPr>
          <w:rFonts w:ascii="Open Sans" w:hAnsi="Open Sans" w:cs="Open Sans"/>
          <w:i/>
          <w:lang w:val="pt-BR"/>
        </w:rPr>
        <w:t>habeas corpus</w:t>
      </w:r>
      <w:r w:rsidRPr="002A1295">
        <w:rPr>
          <w:rFonts w:ascii="Open Sans" w:hAnsi="Open Sans" w:cs="Open Sans"/>
          <w:lang w:val="pt-BR"/>
        </w:rPr>
        <w:t xml:space="preserve"> e, com amparo no art. 113, § 2.º, do CPC de 1973, declarou nulos todos os atos decisórios proferidos no feito, notadamente a liminar deferida, e determinou a baixa dos autos à Presidência do TRT da 5.ª Região, para posterior remessa para uma das Varas do Trabalho de Santo Amaro/BA. </w:t>
      </w:r>
      <w:hyperlink r:id="rId10" w:history="1">
        <w:r w:rsidRPr="002A1295">
          <w:rPr>
            <w:rStyle w:val="Hyperlink"/>
            <w:rFonts w:ascii="Open Sans" w:hAnsi="Open Sans" w:cs="Open Sans"/>
            <w:lang w:val="pt-BR"/>
          </w:rPr>
          <w:t>TST-RO-1031-70.2015.5.05.0000</w:t>
        </w:r>
      </w:hyperlink>
      <w:r w:rsidRPr="002A1295">
        <w:rPr>
          <w:rFonts w:ascii="Open Sans" w:hAnsi="Open Sans" w:cs="Open Sans"/>
          <w:u w:val="single"/>
          <w:lang w:val="pt-BR"/>
        </w:rPr>
        <w:t>, SBDI-II, rel. Min. Luiz José Dezena da Silva, 8/3/2022.</w:t>
      </w:r>
    </w:p>
    <w:p w14:paraId="3941F3FD" w14:textId="77777777" w:rsidR="002A1295" w:rsidRPr="006A0EA3" w:rsidRDefault="002A1295" w:rsidP="00E74527">
      <w:pPr>
        <w:ind w:left="-284" w:right="368"/>
        <w:jc w:val="both"/>
        <w:rPr>
          <w:rFonts w:ascii="Open Sans" w:hAnsi="Open Sans" w:cs="Open Sans"/>
          <w:sz w:val="24"/>
          <w:szCs w:val="24"/>
          <w:u w:val="single"/>
        </w:rPr>
      </w:pPr>
    </w:p>
    <w:p w14:paraId="323A04D5" w14:textId="77777777" w:rsidR="002A1295" w:rsidRPr="00605A36" w:rsidRDefault="002A1295" w:rsidP="00E74527">
      <w:pPr>
        <w:ind w:left="-284" w:right="368"/>
        <w:jc w:val="both"/>
        <w:rPr>
          <w:rFonts w:ascii="Open Sans" w:hAnsi="Open Sans" w:cs="Open Sans"/>
          <w:b/>
          <w:i/>
          <w:sz w:val="24"/>
          <w:szCs w:val="24"/>
        </w:rPr>
      </w:pPr>
      <w:r w:rsidRPr="00605A36">
        <w:rPr>
          <w:rFonts w:ascii="Open Sans" w:hAnsi="Open Sans" w:cs="Open Sans"/>
          <w:b/>
          <w:i/>
          <w:sz w:val="24"/>
          <w:szCs w:val="24"/>
        </w:rPr>
        <w:t>Ação rescisória. Acidente de trabalho. Capacidade laboral reduzida. Dispensa discriminatória. Não caracterização. Inversão do ônus da prova. Impossibilidade.</w:t>
      </w:r>
    </w:p>
    <w:p w14:paraId="76D823A3" w14:textId="77777777" w:rsidR="002A1295" w:rsidRPr="00605A36" w:rsidRDefault="002A1295" w:rsidP="00E74527">
      <w:pPr>
        <w:ind w:left="-284" w:right="368"/>
        <w:jc w:val="both"/>
        <w:rPr>
          <w:rFonts w:ascii="Open Sans" w:hAnsi="Open Sans" w:cs="Open Sans"/>
          <w:sz w:val="24"/>
          <w:szCs w:val="24"/>
        </w:rPr>
      </w:pPr>
      <w:r w:rsidRPr="00605A36">
        <w:rPr>
          <w:rFonts w:ascii="Open Sans" w:hAnsi="Open Sans" w:cs="Open Sans"/>
          <w:sz w:val="24"/>
          <w:szCs w:val="24"/>
        </w:rPr>
        <w:t xml:space="preserve">O fato de o trabalhador estar com capacidade laborativa reduzida e ter sido readaptado de função após o acidente não autoriza presumir discriminatória a dispensa ocorrida tempos depois. Ressalta-se a impossibilidade de extensão das hipóteses de presunção de dispensa discriminatória da Súmula nº 443 do TST, pois estas são restritas aos casos em que o empregado possui doença grave que suscite estigma ou preconceito. Assim, para que haja reconhecimento do caráter discriminatório da dispensa, nos casos em que ocorra a redução da capacidade laborativa do trabalhador, caberá a este comprovar satisfatoriamente a motivação ilícita do rompimento contratual, conforme art. 818, I, da CLT. Sob esses fundamentos, </w:t>
      </w:r>
      <w:r w:rsidRPr="00605A36">
        <w:rPr>
          <w:rFonts w:ascii="Open Sans" w:hAnsi="Open Sans" w:cs="Open Sans"/>
          <w:sz w:val="24"/>
          <w:szCs w:val="24"/>
        </w:rPr>
        <w:lastRenderedPageBreak/>
        <w:t xml:space="preserve">a SBDI-II, por unanimidade, conheceu do recurso ordinário e, no mérito, por maioria, deu-lhe parcial provimento para julgar procedente a ação rescisória e em novo julgamento negar provimento ao recurso. Vencidos os Ministros Alberto Bastos </w:t>
      </w:r>
      <w:proofErr w:type="spellStart"/>
      <w:r w:rsidRPr="00605A36">
        <w:rPr>
          <w:rFonts w:ascii="Open Sans" w:hAnsi="Open Sans" w:cs="Open Sans"/>
          <w:sz w:val="24"/>
          <w:szCs w:val="24"/>
        </w:rPr>
        <w:t>Balazeiro</w:t>
      </w:r>
      <w:proofErr w:type="spellEnd"/>
      <w:r w:rsidRPr="00605A36">
        <w:rPr>
          <w:rFonts w:ascii="Open Sans" w:hAnsi="Open Sans" w:cs="Open Sans"/>
          <w:sz w:val="24"/>
          <w:szCs w:val="24"/>
        </w:rPr>
        <w:t xml:space="preserve">, Evandro Pereira Valadão Lopes e </w:t>
      </w:r>
      <w:proofErr w:type="spellStart"/>
      <w:r w:rsidRPr="00605A36">
        <w:rPr>
          <w:rFonts w:ascii="Open Sans" w:hAnsi="Open Sans" w:cs="Open Sans"/>
          <w:sz w:val="24"/>
          <w:szCs w:val="24"/>
        </w:rPr>
        <w:t>Emmanoel</w:t>
      </w:r>
      <w:proofErr w:type="spellEnd"/>
      <w:r w:rsidRPr="00605A36">
        <w:rPr>
          <w:rFonts w:ascii="Open Sans" w:hAnsi="Open Sans" w:cs="Open Sans"/>
          <w:sz w:val="24"/>
          <w:szCs w:val="24"/>
        </w:rPr>
        <w:t xml:space="preserve"> Pereira.</w:t>
      </w:r>
      <w:r w:rsidRPr="00605A36">
        <w:rPr>
          <w:rFonts w:ascii="Open Sans" w:hAnsi="Open Sans" w:cs="Open Sans"/>
          <w:b/>
          <w:bCs/>
          <w:color w:val="000000"/>
          <w:sz w:val="24"/>
          <w:szCs w:val="24"/>
          <w:shd w:val="clear" w:color="auto" w:fill="FFFFFF"/>
        </w:rPr>
        <w:t xml:space="preserve"> </w:t>
      </w:r>
      <w:hyperlink r:id="rId11" w:history="1">
        <w:r w:rsidRPr="00605A36">
          <w:rPr>
            <w:rStyle w:val="Hyperlink"/>
            <w:rFonts w:ascii="Open Sans" w:hAnsi="Open Sans" w:cs="Open Sans"/>
            <w:sz w:val="24"/>
            <w:szCs w:val="24"/>
          </w:rPr>
          <w:t>TST-ROT-63-31.2020.5.17.0000</w:t>
        </w:r>
      </w:hyperlink>
      <w:r w:rsidRPr="00670C29">
        <w:rPr>
          <w:rFonts w:ascii="Open Sans" w:hAnsi="Open Sans" w:cs="Open Sans"/>
          <w:sz w:val="24"/>
          <w:szCs w:val="24"/>
          <w:u w:val="single"/>
        </w:rPr>
        <w:t>, SBDI-II, rel. Min. Amaury Rodrigues Pinto Junior, 8/3/2022.</w:t>
      </w:r>
    </w:p>
    <w:p w14:paraId="13889978" w14:textId="77777777" w:rsidR="00885841" w:rsidRDefault="00885841" w:rsidP="00102BD4">
      <w:pPr>
        <w:pStyle w:val="Corpo"/>
        <w:spacing w:line="360" w:lineRule="auto"/>
        <w:ind w:left="-284" w:right="368" w:firstLine="708"/>
        <w:rPr>
          <w:rFonts w:ascii="Open Sans" w:hAnsi="Open Sans" w:cs="Open Sans"/>
          <w:lang w:val="pt-BR"/>
        </w:rPr>
      </w:pPr>
    </w:p>
    <w:p w14:paraId="7217D15D" w14:textId="77777777" w:rsidR="009A76A2" w:rsidRPr="003509A3" w:rsidRDefault="009A76A2" w:rsidP="00E74527">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14:paraId="16C7DDD1" w14:textId="77777777" w:rsidR="009A76A2" w:rsidRPr="003509A3" w:rsidRDefault="009A76A2" w:rsidP="00E74527">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 xml:space="preserve">Transcrição de ementas selecionadas </w:t>
      </w:r>
      <w:r w:rsidR="009D2FB1" w:rsidRPr="003509A3">
        <w:rPr>
          <w:rFonts w:ascii="Open Sans" w:hAnsi="Open Sans" w:cs="Open Sans"/>
          <w:i/>
        </w:rPr>
        <w:t>n</w:t>
      </w:r>
      <w:r w:rsidRPr="003509A3">
        <w:rPr>
          <w:rFonts w:ascii="Open Sans" w:hAnsi="Open Sans" w:cs="Open Sans"/>
          <w:i/>
        </w:rPr>
        <w:t>as sessões de julgamento das Turmas do TST.</w:t>
      </w:r>
    </w:p>
    <w:p w14:paraId="5F880187" w14:textId="77777777" w:rsidR="002A1295" w:rsidRDefault="002A1295" w:rsidP="00E74527">
      <w:pPr>
        <w:jc w:val="both"/>
        <w:rPr>
          <w:rFonts w:ascii="Open Sans" w:hAnsi="Open Sans" w:cs="Open Sans"/>
          <w:sz w:val="24"/>
          <w:szCs w:val="24"/>
        </w:rPr>
      </w:pPr>
    </w:p>
    <w:p w14:paraId="38752388" w14:textId="77777777" w:rsidR="00772E15" w:rsidRPr="00772E15" w:rsidRDefault="00772E15" w:rsidP="00772E15">
      <w:pPr>
        <w:ind w:left="-284" w:right="368"/>
        <w:jc w:val="both"/>
        <w:rPr>
          <w:rFonts w:ascii="Open Sans" w:hAnsi="Open Sans" w:cs="Open Sans"/>
          <w:sz w:val="24"/>
          <w:szCs w:val="24"/>
        </w:rPr>
      </w:pPr>
      <w:r w:rsidRPr="00772E15">
        <w:rPr>
          <w:rFonts w:ascii="Open Sans" w:hAnsi="Open Sans" w:cs="Open Sans"/>
          <w:sz w:val="24"/>
          <w:szCs w:val="24"/>
        </w:rPr>
        <w:t xml:space="preserve">“[...] II - AGRAVO INTERPOSTO PELA RÉ SÃO MATHEUS IMÓVEIS LTDA. INDENIZAÇÃO POR DANOS EXTRAPATRIMONIAIS E ESTÉTICO. VALOR ARBITRADO. </w:t>
      </w:r>
      <w:proofErr w:type="gramStart"/>
      <w:r w:rsidRPr="00772E15">
        <w:rPr>
          <w:rFonts w:ascii="Open Sans" w:hAnsi="Open Sans" w:cs="Open Sans"/>
          <w:sz w:val="24"/>
          <w:szCs w:val="24"/>
        </w:rPr>
        <w:t>1</w:t>
      </w:r>
      <w:proofErr w:type="gramEnd"/>
      <w:r w:rsidRPr="00772E15">
        <w:rPr>
          <w:rFonts w:ascii="Open Sans" w:hAnsi="Open Sans" w:cs="Open Sans"/>
          <w:sz w:val="24"/>
          <w:szCs w:val="24"/>
        </w:rPr>
        <w:t xml:space="preserve">. A jurisprudência desta Corte superior é no sentido de que a revisão do valor arbitrado a título de indenização por danos extrapatrimoniais só deverá ocorrer quando o arbitramento realizado na via ordinária tenha sido claramente desproporcional em relação ao dano verificado. 2. No caso presente, o acórdão regional registrou que o acidente do trabalho resultou em queimaduras graves que afetaram o dorso superior, braços e rosto, tendo o trabalhador sofrido dores excruciantes, passando por internação, transfusão de </w:t>
      </w:r>
      <w:proofErr w:type="spellStart"/>
      <w:r w:rsidRPr="00772E15">
        <w:rPr>
          <w:rFonts w:ascii="Open Sans" w:hAnsi="Open Sans" w:cs="Open Sans"/>
          <w:sz w:val="24"/>
          <w:szCs w:val="24"/>
        </w:rPr>
        <w:t>hemocomponentes</w:t>
      </w:r>
      <w:proofErr w:type="spellEnd"/>
      <w:r w:rsidRPr="00772E15">
        <w:rPr>
          <w:rFonts w:ascii="Open Sans" w:hAnsi="Open Sans" w:cs="Open Sans"/>
          <w:sz w:val="24"/>
          <w:szCs w:val="24"/>
        </w:rPr>
        <w:t xml:space="preserve"> e diversas cirurgias. 3. Diante desse quadro, as indenizações arbitradas (R$ 200.000,00 para os danos extrapatrimoniais e R$ 100.000,00 para os danos estéticos) não destoam daquelas fixadas e mantidas pelo Tribunal Superior do Trabalho em situações análogas. 4. Precedentes específicos. III – PENSIONAMENTO MEDIANTE RENDA. FIXAÇÃO DE LIMITE TEMPORAL. NÃO CABIMENTO. 1. Nos termos do art. 950, caput, do Código Civil, a pensão mensal será correspondente à importância do trabalho para o qual o ofendido se inabilitou e é devida enquanto perdurar a incapacidade laboral. 2. A tabela de expectativa de vida do IBGE só deve ser utilizada nos casos de invalidez permanente, quando o </w:t>
      </w:r>
      <w:proofErr w:type="spellStart"/>
      <w:r w:rsidRPr="00772E15">
        <w:rPr>
          <w:rFonts w:ascii="Open Sans" w:hAnsi="Open Sans" w:cs="Open Sans"/>
          <w:sz w:val="24"/>
          <w:szCs w:val="24"/>
        </w:rPr>
        <w:t>pensionamento</w:t>
      </w:r>
      <w:proofErr w:type="spellEnd"/>
      <w:r w:rsidRPr="00772E15">
        <w:rPr>
          <w:rFonts w:ascii="Open Sans" w:hAnsi="Open Sans" w:cs="Open Sans"/>
          <w:sz w:val="24"/>
          <w:szCs w:val="24"/>
        </w:rPr>
        <w:t xml:space="preserve"> for deferido para pagamento em quota única. 3. Nas situações de invalidez temporária, com </w:t>
      </w:r>
      <w:proofErr w:type="spellStart"/>
      <w:r w:rsidRPr="00772E15">
        <w:rPr>
          <w:rFonts w:ascii="Open Sans" w:hAnsi="Open Sans" w:cs="Open Sans"/>
          <w:sz w:val="24"/>
          <w:szCs w:val="24"/>
        </w:rPr>
        <w:t>pensionamento</w:t>
      </w:r>
      <w:proofErr w:type="spellEnd"/>
      <w:r w:rsidRPr="00772E15">
        <w:rPr>
          <w:rFonts w:ascii="Open Sans" w:hAnsi="Open Sans" w:cs="Open Sans"/>
          <w:sz w:val="24"/>
          <w:szCs w:val="24"/>
        </w:rPr>
        <w:t xml:space="preserve"> deferido mediante renda, a pensão mensal será devida até o fim da incapacidade, sem qualquer limitação temporal. Agravo a que se nega provimento." (</w:t>
      </w:r>
      <w:hyperlink r:id="rId12" w:history="1">
        <w:r w:rsidRPr="00772E15">
          <w:rPr>
            <w:rStyle w:val="Hyperlink"/>
            <w:rFonts w:ascii="Open Sans" w:hAnsi="Open Sans" w:cs="Open Sans"/>
            <w:sz w:val="24"/>
            <w:szCs w:val="24"/>
          </w:rPr>
          <w:t>TST-Ag-RRAg-11009-88.2013.5.01.0053</w:t>
        </w:r>
      </w:hyperlink>
      <w:r w:rsidRPr="00772E15">
        <w:rPr>
          <w:rFonts w:ascii="Open Sans" w:hAnsi="Open Sans" w:cs="Open Sans"/>
          <w:sz w:val="24"/>
          <w:szCs w:val="24"/>
        </w:rPr>
        <w:t>, 1ª Turma, rel. Min. Amaury Rodrigues Pinto Junior, julgado em 16/3/2022.)</w:t>
      </w:r>
    </w:p>
    <w:p w14:paraId="5905855C" w14:textId="77777777" w:rsidR="00772E15" w:rsidRDefault="00772E15" w:rsidP="00E74527">
      <w:pPr>
        <w:ind w:left="-284" w:right="368"/>
        <w:jc w:val="both"/>
        <w:rPr>
          <w:rFonts w:ascii="Open Sans" w:hAnsi="Open Sans" w:cs="Open Sans"/>
          <w:sz w:val="24"/>
          <w:szCs w:val="24"/>
        </w:rPr>
      </w:pPr>
    </w:p>
    <w:p w14:paraId="308AEB4F" w14:textId="77777777" w:rsidR="00772E15" w:rsidRPr="00772E15" w:rsidRDefault="00772E15" w:rsidP="00772E15">
      <w:pPr>
        <w:ind w:left="-284" w:right="368"/>
        <w:jc w:val="both"/>
        <w:rPr>
          <w:rFonts w:ascii="Open Sans" w:hAnsi="Open Sans" w:cs="Open Sans"/>
          <w:sz w:val="24"/>
          <w:szCs w:val="24"/>
        </w:rPr>
      </w:pPr>
      <w:r w:rsidRPr="00772E15">
        <w:rPr>
          <w:rFonts w:ascii="Open Sans" w:hAnsi="Open Sans" w:cs="Open Sans"/>
          <w:sz w:val="24"/>
          <w:szCs w:val="24"/>
        </w:rPr>
        <w:t xml:space="preserve">“[...] </w:t>
      </w:r>
      <w:r w:rsidRPr="00772E15">
        <w:rPr>
          <w:rFonts w:ascii="Open Sans" w:hAnsi="Open Sans" w:cs="Open Sans"/>
          <w:bCs/>
          <w:sz w:val="24"/>
          <w:szCs w:val="24"/>
        </w:rPr>
        <w:t>RECURSO DE REVISTA. PROCESSO SOB A ÉGIDE DA LEI Nº 13.015/14 E ANTERIOR À LEI Nº 13.467/17. INDENIZAÇÃO POR DANOS MORAIS CONTRA EX-EMPREGADOR. ALEGAÇÃO DE OFENSAS COMETIDAS PELA RECLAMADA NO ÂMBITO DE RELAÇÃO PROCESSUAL. COMPETÊNCIA DA JUSTIÇA DO TRABALHO.</w:t>
      </w:r>
      <w:r w:rsidRPr="00772E15">
        <w:rPr>
          <w:rFonts w:ascii="Open Sans" w:hAnsi="Open Sans" w:cs="Open Sans"/>
          <w:b/>
          <w:bCs/>
          <w:sz w:val="24"/>
          <w:szCs w:val="24"/>
        </w:rPr>
        <w:t xml:space="preserve"> </w:t>
      </w:r>
      <w:r w:rsidRPr="00772E15">
        <w:rPr>
          <w:rFonts w:ascii="Open Sans" w:hAnsi="Open Sans" w:cs="Open Sans"/>
          <w:sz w:val="24"/>
          <w:szCs w:val="24"/>
        </w:rPr>
        <w:t xml:space="preserve">A controvérsia em exame consiste em perquirir se há a competência da Justiça do Trabalho para processar e julgar a presente ação de indenização por dano moral envolvendo responsabilidade pós-contratual, tendo como causa subjacente o contrato empregatício anteriormente mantido entre a Autora e a Reclamada. </w:t>
      </w:r>
      <w:r w:rsidRPr="00772E15">
        <w:rPr>
          <w:rFonts w:ascii="Open Sans" w:hAnsi="Open Sans" w:cs="Open Sans"/>
          <w:sz w:val="24"/>
          <w:szCs w:val="24"/>
          <w:u w:val="single"/>
        </w:rPr>
        <w:t>No caso</w:t>
      </w:r>
      <w:r w:rsidRPr="00772E15">
        <w:rPr>
          <w:rFonts w:ascii="Open Sans" w:hAnsi="Open Sans" w:cs="Open Sans"/>
          <w:sz w:val="24"/>
          <w:szCs w:val="24"/>
        </w:rPr>
        <w:t xml:space="preserve">, a Reclamante requer a condenação da Reclamada no pagamento de indenização por danos morais e </w:t>
      </w:r>
      <w:proofErr w:type="gramStart"/>
      <w:r w:rsidRPr="00772E15">
        <w:rPr>
          <w:rFonts w:ascii="Open Sans" w:hAnsi="Open Sans" w:cs="Open Sans"/>
          <w:sz w:val="24"/>
          <w:szCs w:val="24"/>
        </w:rPr>
        <w:t>delineia,</w:t>
      </w:r>
      <w:proofErr w:type="gramEnd"/>
      <w:r w:rsidRPr="00772E15">
        <w:rPr>
          <w:rFonts w:ascii="Open Sans" w:hAnsi="Open Sans" w:cs="Open Sans"/>
          <w:sz w:val="24"/>
          <w:szCs w:val="24"/>
        </w:rPr>
        <w:t xml:space="preserve"> como causa de pedir, o fato de a Ré (</w:t>
      </w:r>
      <w:proofErr w:type="spellStart"/>
      <w:r w:rsidRPr="00772E15">
        <w:rPr>
          <w:rFonts w:ascii="Open Sans" w:hAnsi="Open Sans" w:cs="Open Sans"/>
          <w:sz w:val="24"/>
          <w:szCs w:val="24"/>
        </w:rPr>
        <w:t>ex-empregadora</w:t>
      </w:r>
      <w:proofErr w:type="spellEnd"/>
      <w:r w:rsidRPr="00772E15">
        <w:rPr>
          <w:rFonts w:ascii="Open Sans" w:hAnsi="Open Sans" w:cs="Open Sans"/>
          <w:sz w:val="24"/>
          <w:szCs w:val="24"/>
        </w:rPr>
        <w:t xml:space="preserve">) ter-lhe feito </w:t>
      </w:r>
      <w:r w:rsidRPr="00772E15">
        <w:rPr>
          <w:rFonts w:ascii="Open Sans" w:hAnsi="Open Sans" w:cs="Open Sans"/>
          <w:i/>
          <w:iCs/>
          <w:sz w:val="24"/>
          <w:szCs w:val="24"/>
        </w:rPr>
        <w:t xml:space="preserve">acusações desabonadoras, injustas e </w:t>
      </w:r>
      <w:r w:rsidRPr="00772E15">
        <w:rPr>
          <w:rFonts w:ascii="Open Sans" w:hAnsi="Open Sans" w:cs="Open Sans"/>
          <w:i/>
          <w:iCs/>
          <w:sz w:val="24"/>
          <w:szCs w:val="24"/>
        </w:rPr>
        <w:lastRenderedPageBreak/>
        <w:t>levianas</w:t>
      </w:r>
      <w:r w:rsidRPr="00772E15">
        <w:rPr>
          <w:rFonts w:ascii="Open Sans" w:hAnsi="Open Sans" w:cs="Open Sans"/>
          <w:sz w:val="24"/>
          <w:szCs w:val="24"/>
        </w:rPr>
        <w:t xml:space="preserve">, em razão do depoimento pessoal obreiro prestado na ação trabalhista (processo nº. 0000029-67.2015.5.12.0001). Nesse cenário, verifica-se que o pleito indenizatório em exame possui estreita ligação com o contrato de trabalho mantido entre a Reclamante e a Reclamada, na medida em que as alegadas ofensas direcionadas à Autora, ainda que praticadas pela Ré no âmbito da relação jurídica processual, têm como cerne a veracidade dos fatos ocorridos à época do vínculo de emprego e manifestados pela obreira em ação trabalhista anteriormente ajuizada. Logo, a hipótese em análise </w:t>
      </w:r>
      <w:proofErr w:type="spellStart"/>
      <w:r w:rsidRPr="00772E15">
        <w:rPr>
          <w:rFonts w:ascii="Open Sans" w:hAnsi="Open Sans" w:cs="Open Sans"/>
          <w:sz w:val="24"/>
          <w:szCs w:val="24"/>
        </w:rPr>
        <w:t>subsume-se</w:t>
      </w:r>
      <w:proofErr w:type="spellEnd"/>
      <w:r w:rsidRPr="00772E15">
        <w:rPr>
          <w:rFonts w:ascii="Open Sans" w:hAnsi="Open Sans" w:cs="Open Sans"/>
          <w:sz w:val="24"/>
          <w:szCs w:val="24"/>
        </w:rPr>
        <w:t xml:space="preserve"> ao disposto no art. 114, VI e IX, da Constituição Federal, o que atrai a competência desta Justiça Especializada para processar e julgar a presente lide. Julgados do TST e do STJ. </w:t>
      </w:r>
      <w:r w:rsidRPr="00772E15">
        <w:rPr>
          <w:rFonts w:ascii="Open Sans" w:hAnsi="Open Sans" w:cs="Open Sans"/>
          <w:bCs/>
          <w:sz w:val="24"/>
          <w:szCs w:val="24"/>
        </w:rPr>
        <w:t>Recurso de revista conhecido e provido.” (</w:t>
      </w:r>
      <w:hyperlink r:id="rId13" w:history="1">
        <w:r w:rsidRPr="00772E15">
          <w:rPr>
            <w:rStyle w:val="Hyperlink"/>
            <w:rFonts w:ascii="Open Sans" w:hAnsi="Open Sans" w:cs="Open Sans"/>
            <w:bCs/>
            <w:sz w:val="24"/>
            <w:szCs w:val="24"/>
          </w:rPr>
          <w:t>TST-RR-292-65.2016.5.12.0001</w:t>
        </w:r>
      </w:hyperlink>
      <w:r w:rsidRPr="00772E15">
        <w:rPr>
          <w:rFonts w:ascii="Open Sans" w:hAnsi="Open Sans" w:cs="Open Sans"/>
          <w:bCs/>
          <w:sz w:val="24"/>
          <w:szCs w:val="24"/>
        </w:rPr>
        <w:t xml:space="preserve">, 3ª Turma, rel. Min. Mauricio Godinho Delgado, Julgado em 9/3/2022.) </w:t>
      </w:r>
    </w:p>
    <w:p w14:paraId="5C720499" w14:textId="77777777" w:rsidR="00772E15" w:rsidRPr="00772E15" w:rsidRDefault="00772E15" w:rsidP="00772E15">
      <w:pPr>
        <w:ind w:left="-284" w:right="368"/>
        <w:jc w:val="both"/>
        <w:rPr>
          <w:rFonts w:ascii="Open Sans" w:hAnsi="Open Sans" w:cs="Open Sans"/>
          <w:sz w:val="24"/>
          <w:szCs w:val="24"/>
        </w:rPr>
      </w:pPr>
    </w:p>
    <w:p w14:paraId="1D2745B0" w14:textId="77777777" w:rsidR="00772E15" w:rsidRPr="00772E15" w:rsidRDefault="00772E15" w:rsidP="00772E15">
      <w:pPr>
        <w:ind w:left="-284" w:right="368"/>
        <w:jc w:val="both"/>
        <w:rPr>
          <w:rFonts w:ascii="Open Sans" w:hAnsi="Open Sans" w:cs="Open Sans"/>
          <w:bCs/>
          <w:sz w:val="24"/>
          <w:szCs w:val="24"/>
        </w:rPr>
      </w:pPr>
      <w:r w:rsidRPr="00772E15">
        <w:rPr>
          <w:rFonts w:ascii="Open Sans" w:hAnsi="Open Sans" w:cs="Open Sans"/>
          <w:sz w:val="24"/>
          <w:szCs w:val="24"/>
        </w:rPr>
        <w:t xml:space="preserve">“[...] </w:t>
      </w:r>
      <w:r w:rsidRPr="00772E15">
        <w:rPr>
          <w:rFonts w:ascii="Open Sans" w:hAnsi="Open Sans" w:cs="Open Sans"/>
          <w:bCs/>
          <w:sz w:val="24"/>
          <w:szCs w:val="24"/>
        </w:rPr>
        <w:t xml:space="preserve">RECURSO DE REVISTA DO RECLAMANTE. </w:t>
      </w:r>
      <w:proofErr w:type="gramStart"/>
      <w:r w:rsidRPr="00772E15">
        <w:rPr>
          <w:rFonts w:ascii="Open Sans" w:hAnsi="Open Sans" w:cs="Open Sans"/>
          <w:bCs/>
          <w:sz w:val="24"/>
          <w:szCs w:val="24"/>
        </w:rPr>
        <w:t>1</w:t>
      </w:r>
      <w:proofErr w:type="gramEnd"/>
      <w:r w:rsidRPr="00772E15">
        <w:rPr>
          <w:rFonts w:ascii="Open Sans" w:hAnsi="Open Sans" w:cs="Open Sans"/>
          <w:bCs/>
          <w:sz w:val="24"/>
          <w:szCs w:val="24"/>
        </w:rPr>
        <w:t>. DANO EXISTENCIAL. PRESTAÇÃO EXCESSIVA, CONTÍNUA E DESARRAZOADA DE HORAS EXTRAS, COM HORÁRIOS DIÁRIOS SUPERIORES A 12 HORAS, AO LONGO DE TODOS OS DIAS DA SEMANA, EXCETO DOIS DOMINGOS POR MÊS. DURAÇÃO DO TRABALHO PRÓPRIA DOS SÉCULOS XVIII E XIX NA EUROPA E DO BRASIL ATÉ O ADVENTO DO DIREITO DO TRABALHO E, MESMO ASSIM, NOS SEGMENTOS SOCIAIS E PROFISSIONAIS EM QUE ESTE PREVALECIA. CONDUTA EMPRESARIAL DESRESPEITOSA DOS PRINCÍPICIOS E NORMAS DO CONSTITUCIONALISMO CONTEMPORÂNEO, DE CARÁTER HUMANISTA E SOCIAL, INSERTO NA CONSTITUIÇÃO DA REPÚBLICA DE 1988, ALÉM DOS PRINCÍPIOS E NORMAS DA ORGANIZAÇÃO INTERNACIONAL DO TRABALHO, DESDE A SUA INSTITUIÇÃO EM 1919. PADRÃO DE GESTÃO DO PODER EMPREGATÍCIO INCOMPATÍVEL COM A ORDEM JURÍDICA CONSTITUCIONAL, COM A ORDEM JURÍDICO INTERNACIONAL, ALÉM DAS LEIS BRASILEIRAS ATUAIS. INDENIZAÇÃO POR DANO MORAL, IDENTIFICADO COMO DANO EXISTENCIAL. VIOLAÇÃO DE DIVERSOS FUNDAMENTOS E PRINCÍPIOS CONSTITUCIONAIS, TAIS COMO A CIDADANIA, A DIGNIDADE DA PESSOA HUMANA O VALOR SOCIAL DO TRABALHO A INVIOLABILIDADE FÍSICA E PSÍQUICA DA PESSOA HUMANA, O BEM-ESTAR INDIVIDUAL E SOCIAL DESSA PESSOA E A SEGURANÇA DA MESMA PESSOA. VIOLAÇÃO TAMBÉM DAS LIMITAÇÕES CONSTITUCIONAIS À LIVRE INICIATIVA, QUE NÃO É MAIS, NA CONSTITUIÇÃO DE 1988 - AO CONTRÁRIO DO QUE FOI NAS CONSTITUIÇÕES DE 1824 E 1891 - UM DIREITO, UM PODER E UM VALOR DE NATUREZA ABSOLUTA. VIOLAÇÃO TAMBÉM DA CONSTITUIÇÃO DA OIT E DE SUAS NORMAS INTERNACIONAIS, QUE NÃO ADMITE A PESSOA HUMANA E O TRABALHO COMO SIMPLES MERCADORIAS, PASSÍVEIS DA MÁXIMA EXTRAÇÃO DE SUAS FORÇAS AO LONGO DOS DIAS E DAS SEMANAS. COMPROVAÇÃO DO DANO EXISTENCIAL COMO FATO NOTÓRIO, MANIFESTO, POIS A CIÊNCIA PRESCREVE QUE O INDIVÍDUO TEM DE DORMIR, POR DIA, NO MÍNIMO, ENTRE 07/08 HORAS, SABENDO-SE QUE TEM DE AINDA QUE SE DESLOCAR NO PERÍMETRO ENTRE A SUA RESIDÊNCIA, O TRABALHO E O RETORNO À RESIDÊNCIA TODO DIA, RESTANDO-LHE, ASSIM, NO MÁXIMO, CINCO HORAS POR DIA, PARA O EXERCÍCIO DE SUA CIDADANIA</w:t>
      </w:r>
      <w:proofErr w:type="gramStart"/>
      <w:r w:rsidRPr="00772E15">
        <w:rPr>
          <w:rFonts w:ascii="Open Sans" w:hAnsi="Open Sans" w:cs="Open Sans"/>
          <w:bCs/>
          <w:sz w:val="24"/>
          <w:szCs w:val="24"/>
        </w:rPr>
        <w:t>, QUER</w:t>
      </w:r>
      <w:proofErr w:type="gramEnd"/>
      <w:r w:rsidRPr="00772E15">
        <w:rPr>
          <w:rFonts w:ascii="Open Sans" w:hAnsi="Open Sans" w:cs="Open Sans"/>
          <w:bCs/>
          <w:sz w:val="24"/>
          <w:szCs w:val="24"/>
        </w:rPr>
        <w:t xml:space="preserve"> EM SUA FAMÍLIA, QUER EM SUA COMUNIDADE, QUER COMO SER HUMANO PLENO. EXTENUAÇÃO DAS FORÇAS </w:t>
      </w:r>
      <w:r w:rsidRPr="00772E15">
        <w:rPr>
          <w:rFonts w:ascii="Open Sans" w:hAnsi="Open Sans" w:cs="Open Sans"/>
          <w:bCs/>
          <w:sz w:val="24"/>
          <w:szCs w:val="24"/>
        </w:rPr>
        <w:lastRenderedPageBreak/>
        <w:t xml:space="preserve">DA PESSOA HUMANA E AFRONTA AO PADRÃO MÍNIMO DE CIVILIDADE QUE A ORDEM JURÍDICA EXIGE DO PODER EMPREGATÍCIO NA TERCEIRA DÉCADA DO SÉCULO XXI, CONFORME NORMAS INTERNACIONAIS DE DIREITOS </w:t>
      </w:r>
      <w:proofErr w:type="gramStart"/>
      <w:r w:rsidRPr="00772E15">
        <w:rPr>
          <w:rFonts w:ascii="Open Sans" w:hAnsi="Open Sans" w:cs="Open Sans"/>
          <w:bCs/>
          <w:sz w:val="24"/>
          <w:szCs w:val="24"/>
        </w:rPr>
        <w:t>HUMANOS ESPECIFICADAS</w:t>
      </w:r>
      <w:proofErr w:type="gramEnd"/>
      <w:r w:rsidRPr="00772E15">
        <w:rPr>
          <w:rFonts w:ascii="Open Sans" w:hAnsi="Open Sans" w:cs="Open Sans"/>
          <w:bCs/>
          <w:sz w:val="24"/>
          <w:szCs w:val="24"/>
        </w:rPr>
        <w:t>, NORMAS CONSTITUCIONAIS BRASILEIRAS AMPLAMENTE CONHECIDAS E NORMAS LEGAIS INSERIDAS ATÉ NO SENSO COMUM DA POPULAÇÃO.</w:t>
      </w:r>
      <w:r w:rsidRPr="00772E15">
        <w:rPr>
          <w:rFonts w:ascii="Open Sans" w:hAnsi="Open Sans" w:cs="Open Sans"/>
          <w:b/>
          <w:bCs/>
          <w:sz w:val="24"/>
          <w:szCs w:val="24"/>
        </w:rPr>
        <w:t xml:space="preserve"> </w:t>
      </w:r>
      <w:r w:rsidRPr="00772E15">
        <w:rPr>
          <w:rFonts w:ascii="Open Sans" w:hAnsi="Open Sans" w:cs="Open Sans"/>
          <w:sz w:val="24"/>
          <w:szCs w:val="24"/>
        </w:rPr>
        <w:t xml:space="preserve">O excesso de jornada extraordinária, para muito além das duas horas previstas na Constituição e na CLT, cumprido de forma habitual e por longo período, atingindo, como no caso dos autos, uma exposição ao ambiente de trabalho de mais de 12 horas ao dia, durante todos os dias da semana, exceto dois domingos por mês (portanto, até 84 horas semanais em duas das semanas e 72 horas semanais nas duas semanas restantes) tipifica, sim, o </w:t>
      </w:r>
      <w:r w:rsidRPr="00772E15">
        <w:rPr>
          <w:rFonts w:ascii="Open Sans" w:hAnsi="Open Sans" w:cs="Open Sans"/>
          <w:bCs/>
          <w:sz w:val="24"/>
          <w:szCs w:val="24"/>
        </w:rPr>
        <w:t>dano existencial</w:t>
      </w:r>
      <w:r w:rsidRPr="00772E15">
        <w:rPr>
          <w:rFonts w:ascii="Open Sans" w:hAnsi="Open Sans" w:cs="Open Sans"/>
          <w:sz w:val="24"/>
          <w:szCs w:val="24"/>
        </w:rPr>
        <w:t>, por configurar manifesto comprometimento do tempo útil de disponibilidade que todo indivíduo livre, inclusive o empregado, ostenta para usufruir de suas atividades pessoais, familiares e sociais. A esse respeito é preciso compreender o sentido da ordem jurídica criada no País em cinco de outubro de 1988 (CF/88). É que a Constituição da República determinou a instauração, no Brasil, de um Estado Democrático de Direito (art. 1º da CF), composto, segundo a doutrina, de um tripé conceitual: a pessoa humana, com sua dignidade; a sociedade política, necessariamente democrática e inclusiva; e a sociedade civil, também necessariamente democrática e inclusiva (</w:t>
      </w:r>
      <w:r w:rsidRPr="00772E15">
        <w:rPr>
          <w:rFonts w:ascii="Open Sans" w:hAnsi="Open Sans" w:cs="Open Sans"/>
          <w:i/>
          <w:iCs/>
          <w:sz w:val="24"/>
          <w:szCs w:val="24"/>
        </w:rPr>
        <w:t>Constituição da República e Direitos Fundamentais - dignidade da pessoa humana, justiça social e Direito do Trabalho</w:t>
      </w:r>
      <w:r w:rsidRPr="00772E15">
        <w:rPr>
          <w:rFonts w:ascii="Open Sans" w:hAnsi="Open Sans" w:cs="Open Sans"/>
          <w:sz w:val="24"/>
          <w:szCs w:val="24"/>
        </w:rPr>
        <w:t xml:space="preserve">. 3ª ed. São Paulo: </w:t>
      </w:r>
      <w:proofErr w:type="spellStart"/>
      <w:proofErr w:type="gramStart"/>
      <w:r w:rsidRPr="00772E15">
        <w:rPr>
          <w:rFonts w:ascii="Open Sans" w:hAnsi="Open Sans" w:cs="Open Sans"/>
          <w:sz w:val="24"/>
          <w:szCs w:val="24"/>
        </w:rPr>
        <w:t>LTr</w:t>
      </w:r>
      <w:proofErr w:type="spellEnd"/>
      <w:proofErr w:type="gramEnd"/>
      <w:r w:rsidRPr="00772E15">
        <w:rPr>
          <w:rFonts w:ascii="Open Sans" w:hAnsi="Open Sans" w:cs="Open Sans"/>
          <w:sz w:val="24"/>
          <w:szCs w:val="24"/>
        </w:rPr>
        <w:t xml:space="preserve">, 2015, Capítulo II). Ora, a realização dos princípios constitucionais humanistas e sociais (inviolabilidade física e psíquica do indivíduo; bem-estar individual e social; segurança das pessoas humanas, ao invés de apenas da propriedade e das empresas, como no passado; valorização do trabalho e do emprego; justiça social; subordinação da propriedade à sua função social, entre outros princípios), a par do fundamento, valor e princípio da cidadania, tudo constitui, em seu conjunto, instrumento importante de garantia e cumprimento da centralidade da pessoa humana na vida socioeconômica e na ordem jurídica. Agregue-se que a Constituição da República enquadra também como direitos sociais – os quais são fundamentais, pois de titularidade da pessoa humana – a saúde, a educação, o trabalho, a moradia, o lazer, a segurança, a proteção à maternidade e à infância, entre outros direitos. Some-se ainda a circunstância de a Constituição de 1988 </w:t>
      </w:r>
      <w:proofErr w:type="gramStart"/>
      <w:r w:rsidRPr="00772E15">
        <w:rPr>
          <w:rFonts w:ascii="Open Sans" w:hAnsi="Open Sans" w:cs="Open Sans"/>
          <w:sz w:val="24"/>
          <w:szCs w:val="24"/>
        </w:rPr>
        <w:t>conferir</w:t>
      </w:r>
      <w:proofErr w:type="gramEnd"/>
      <w:r w:rsidRPr="00772E15">
        <w:rPr>
          <w:rFonts w:ascii="Open Sans" w:hAnsi="Open Sans" w:cs="Open Sans"/>
          <w:sz w:val="24"/>
          <w:szCs w:val="24"/>
        </w:rPr>
        <w:t xml:space="preserve"> </w:t>
      </w:r>
      <w:r w:rsidRPr="00772E15">
        <w:rPr>
          <w:rFonts w:ascii="Open Sans" w:hAnsi="Open Sans" w:cs="Open Sans"/>
          <w:i/>
          <w:sz w:val="24"/>
          <w:szCs w:val="24"/>
        </w:rPr>
        <w:t>“especial proteção do Estado”</w:t>
      </w:r>
      <w:r w:rsidRPr="00772E15">
        <w:rPr>
          <w:rFonts w:ascii="Open Sans" w:hAnsi="Open Sans" w:cs="Open Sans"/>
          <w:sz w:val="24"/>
          <w:szCs w:val="24"/>
        </w:rPr>
        <w:t xml:space="preserve"> à família (art. 226, </w:t>
      </w:r>
      <w:r w:rsidRPr="00772E15">
        <w:rPr>
          <w:rFonts w:ascii="Open Sans" w:hAnsi="Open Sans" w:cs="Open Sans"/>
          <w:i/>
          <w:iCs/>
          <w:sz w:val="24"/>
          <w:szCs w:val="24"/>
        </w:rPr>
        <w:t>caput</w:t>
      </w:r>
      <w:r w:rsidRPr="00772E15">
        <w:rPr>
          <w:rFonts w:ascii="Open Sans" w:hAnsi="Open Sans" w:cs="Open Sans"/>
          <w:sz w:val="24"/>
          <w:szCs w:val="24"/>
        </w:rPr>
        <w:t xml:space="preserve">), exigindo dos pais, homens e mulheres, presença constante e de qualidade perante esta comunidade de adultos, adolescentes e crianças (art. 227). Ora, </w:t>
      </w:r>
      <w:proofErr w:type="gramStart"/>
      <w:r w:rsidRPr="00772E15">
        <w:rPr>
          <w:rFonts w:ascii="Open Sans" w:hAnsi="Open Sans" w:cs="Open Sans"/>
          <w:sz w:val="24"/>
          <w:szCs w:val="24"/>
        </w:rPr>
        <w:t>a concretização de todos esses princípios, valores, fundamentos e objetivos constitucionais tem</w:t>
      </w:r>
      <w:proofErr w:type="gramEnd"/>
      <w:r w:rsidRPr="00772E15">
        <w:rPr>
          <w:rFonts w:ascii="Open Sans" w:hAnsi="Open Sans" w:cs="Open Sans"/>
          <w:sz w:val="24"/>
          <w:szCs w:val="24"/>
        </w:rPr>
        <w:t xml:space="preserve"> de ocorrer também no plano das relações humanas, sociais e econômicas, inclusive no âmbito do sistema produtivo, dentro da dinâmica da economia capitalista, segundo a Constituição da República Federativa do Brasil. Essa concretização tem de acontecer, na vida real, também segundo os princípios e normas internacionais da OIT, quer oriundas de sua Constituição de 1919, quer de sua segunda Constituição, editada na década de 1940, bem como da Declaração de Filadélfia, de 1944, todas repudiando, firmemente, o tratamento da pessoa humana e do trabalho como simples mercadoria pelo sistema econômico e qualquer empregador ou tomador de serviços. Dessa maneira, uma </w:t>
      </w:r>
      <w:r w:rsidRPr="00772E15">
        <w:rPr>
          <w:rFonts w:ascii="Open Sans" w:hAnsi="Open Sans" w:cs="Open Sans"/>
          <w:sz w:val="24"/>
          <w:szCs w:val="24"/>
        </w:rPr>
        <w:lastRenderedPageBreak/>
        <w:t>gestão empregatícia que submeta o indivíduo a reiterada e contínua jornada extenuante, que se concretize muito acima dos limites legais, (das</w:t>
      </w:r>
      <w:r w:rsidRPr="00772E15">
        <w:rPr>
          <w:rFonts w:ascii="Open Sans" w:hAnsi="Open Sans" w:cs="Open Sans"/>
          <w:i/>
          <w:iCs/>
          <w:sz w:val="24"/>
          <w:szCs w:val="24"/>
        </w:rPr>
        <w:t xml:space="preserve"> </w:t>
      </w:r>
      <w:r w:rsidRPr="00772E15">
        <w:rPr>
          <w:rFonts w:ascii="Open Sans" w:hAnsi="Open Sans" w:cs="Open Sans"/>
          <w:bCs/>
          <w:sz w:val="24"/>
          <w:szCs w:val="24"/>
        </w:rPr>
        <w:t xml:space="preserve">7h às </w:t>
      </w:r>
      <w:proofErr w:type="gramStart"/>
      <w:r w:rsidRPr="00772E15">
        <w:rPr>
          <w:rFonts w:ascii="Open Sans" w:hAnsi="Open Sans" w:cs="Open Sans"/>
          <w:bCs/>
          <w:sz w:val="24"/>
          <w:szCs w:val="24"/>
        </w:rPr>
        <w:t>19:30</w:t>
      </w:r>
      <w:proofErr w:type="gramEnd"/>
      <w:r w:rsidRPr="00772E15">
        <w:rPr>
          <w:rFonts w:ascii="Open Sans" w:hAnsi="Open Sans" w:cs="Open Sans"/>
          <w:bCs/>
          <w:sz w:val="24"/>
          <w:szCs w:val="24"/>
        </w:rPr>
        <w:t>h, com 1h de intervalo, durante todos os dias da semana, exceto dois domingos ao mês</w:t>
      </w:r>
      <w:r w:rsidRPr="00772E15">
        <w:rPr>
          <w:rFonts w:ascii="Open Sans" w:hAnsi="Open Sans" w:cs="Open Sans"/>
          <w:sz w:val="24"/>
          <w:szCs w:val="24"/>
        </w:rPr>
        <w:t xml:space="preserve">, conforme registrado pelo TRT), agravado por ser prestada em atividade perigosa, agride todos os princípios, valores e fundamentos constitucionais acima explicitados e a própria noção estruturante de Estado Democrático de Direito. Se não bastasse, essa jornada gravemente excessiva reduz acentuadamente e de modo injustificável, por longo período, o direito à razoável disponibilidade temporal inerente a todo indivíduo, direito que é assegurado pelos princípios constitucionais mencionados e pelas regras constitucionais e legais regentes da jornada de trabalho, sem contar o princípio, valor e fundamento constitucional da cidadania. Tal situação anômala deflagra, assim, o </w:t>
      </w:r>
      <w:r w:rsidRPr="00772E15">
        <w:rPr>
          <w:rFonts w:ascii="Open Sans" w:hAnsi="Open Sans" w:cs="Open Sans"/>
          <w:bCs/>
          <w:sz w:val="24"/>
          <w:szCs w:val="24"/>
        </w:rPr>
        <w:t>dano existencial</w:t>
      </w:r>
      <w:r w:rsidRPr="00772E15">
        <w:rPr>
          <w:rFonts w:ascii="Open Sans" w:hAnsi="Open Sans" w:cs="Open Sans"/>
          <w:sz w:val="24"/>
          <w:szCs w:val="24"/>
        </w:rPr>
        <w:t xml:space="preserve">, que consiste em lesão ao tempo razoável e proporcional, assegurado pela ordem jurídica, à pessoa humana do trabalhador, para que possa se dedicar às atividades individuais, familiares e sociais inerentes a todos os indivíduos, sem a sobrecarga horária desproporcional, desarrazoada e ilegal, de intensidade repetida e contínua, em decorrência do contrato de trabalho mantido com o empregador. Logo, configurada essa situação no caso dos autos, conforme amplamente exposto, não há dúvida sobre a necessidade de reparação do dano moral existencial sofrido, devendo </w:t>
      </w:r>
      <w:proofErr w:type="gramStart"/>
      <w:r w:rsidRPr="00772E15">
        <w:rPr>
          <w:rFonts w:ascii="Open Sans" w:hAnsi="Open Sans" w:cs="Open Sans"/>
          <w:sz w:val="24"/>
          <w:szCs w:val="24"/>
        </w:rPr>
        <w:t>serem</w:t>
      </w:r>
      <w:proofErr w:type="gramEnd"/>
      <w:r w:rsidRPr="00772E15">
        <w:rPr>
          <w:rFonts w:ascii="Open Sans" w:hAnsi="Open Sans" w:cs="Open Sans"/>
          <w:sz w:val="24"/>
          <w:szCs w:val="24"/>
        </w:rPr>
        <w:t xml:space="preserve"> condenadas as Reclamadas ao pagamento de uma indenização.</w:t>
      </w:r>
      <w:r w:rsidRPr="00772E15">
        <w:rPr>
          <w:rFonts w:ascii="Open Sans" w:hAnsi="Open Sans" w:cs="Open Sans"/>
          <w:b/>
          <w:bCs/>
          <w:sz w:val="24"/>
          <w:szCs w:val="24"/>
        </w:rPr>
        <w:t xml:space="preserve"> </w:t>
      </w:r>
      <w:r w:rsidRPr="00772E15">
        <w:rPr>
          <w:rFonts w:ascii="Open Sans" w:hAnsi="Open Sans" w:cs="Open Sans"/>
          <w:bCs/>
          <w:sz w:val="24"/>
          <w:szCs w:val="24"/>
        </w:rPr>
        <w:t>Recurso de revista conhecido e provido no aspecto. 2. INTERVALO INTERJORNADA – 11 HORAS - E INTERVALO INTERSEMANAL – 24 HORAS. 35 HORAS. SÚMULA 110/TST. OJ 355 DA SBDI-1/TST.</w:t>
      </w:r>
      <w:r w:rsidRPr="00772E15">
        <w:rPr>
          <w:rFonts w:ascii="Open Sans" w:hAnsi="Open Sans" w:cs="Open Sans"/>
          <w:b/>
          <w:bCs/>
          <w:sz w:val="24"/>
          <w:szCs w:val="24"/>
        </w:rPr>
        <w:t xml:space="preserve"> </w:t>
      </w:r>
      <w:r w:rsidRPr="00772E15">
        <w:rPr>
          <w:rFonts w:ascii="Open Sans" w:hAnsi="Open Sans" w:cs="Open Sans"/>
          <w:sz w:val="24"/>
          <w:szCs w:val="24"/>
        </w:rPr>
        <w:t>Trata-se de hipótese de</w:t>
      </w:r>
      <w:r w:rsidRPr="00772E15">
        <w:rPr>
          <w:rFonts w:ascii="Open Sans" w:hAnsi="Open Sans" w:cs="Open Sans"/>
          <w:b/>
          <w:bCs/>
          <w:sz w:val="24"/>
          <w:szCs w:val="24"/>
        </w:rPr>
        <w:t xml:space="preserve"> </w:t>
      </w:r>
      <w:r w:rsidRPr="00772E15">
        <w:rPr>
          <w:rFonts w:ascii="Open Sans" w:hAnsi="Open Sans" w:cs="Open Sans"/>
          <w:sz w:val="24"/>
          <w:szCs w:val="24"/>
        </w:rPr>
        <w:t xml:space="preserve">descumprimento do intervalo de 35 horas – 11 horas de intervalo </w:t>
      </w:r>
      <w:proofErr w:type="spellStart"/>
      <w:r w:rsidRPr="00772E15">
        <w:rPr>
          <w:rFonts w:ascii="Open Sans" w:hAnsi="Open Sans" w:cs="Open Sans"/>
          <w:sz w:val="24"/>
          <w:szCs w:val="24"/>
        </w:rPr>
        <w:t>interjornada</w:t>
      </w:r>
      <w:proofErr w:type="spellEnd"/>
      <w:r w:rsidRPr="00772E15">
        <w:rPr>
          <w:rFonts w:ascii="Open Sans" w:hAnsi="Open Sans" w:cs="Open Sans"/>
          <w:sz w:val="24"/>
          <w:szCs w:val="24"/>
        </w:rPr>
        <w:t xml:space="preserve"> (art. 66 da CLT) mais 24 horas do repouso semanal remunerado (art. 67 da CLT). A jurisprudência desta Corte já se firmou no sentido de que o artigo 66 da CLT estabelece o intervalo mínimo de onze horas consecutivas de descanso entre duas jornadas de trabalho. O mesmo ocorre quanto ao descumprimento do intervalo de 24h do art. 67 da CLT. Assim, tomando-se como parâmetro o disposto na Súmula 110/TST e no art. 71, § 4º, da CLT, conclui-se que as situações de desrespeito ao intervalo mínimo de onze horas entre as jornadas de trabalho ensejam a recomposição do prejuízo causado ao obreiro, remunerando-o com horas extraordinárias. O deferimento das horas extras limita-se, é claro, às horas de desrespeito, e não ao total do intervalo, conforme a inteligência da OJ 355 da SDI-I/TST. Registre-se que o deferimento do pagamento do intervalo </w:t>
      </w:r>
      <w:proofErr w:type="spellStart"/>
      <w:r w:rsidRPr="00772E15">
        <w:rPr>
          <w:rFonts w:ascii="Open Sans" w:hAnsi="Open Sans" w:cs="Open Sans"/>
          <w:sz w:val="24"/>
          <w:szCs w:val="24"/>
        </w:rPr>
        <w:t>interjornada</w:t>
      </w:r>
      <w:proofErr w:type="spellEnd"/>
      <w:r w:rsidRPr="00772E15">
        <w:rPr>
          <w:rFonts w:ascii="Open Sans" w:hAnsi="Open Sans" w:cs="Open Sans"/>
          <w:sz w:val="24"/>
          <w:szCs w:val="24"/>
        </w:rPr>
        <w:t xml:space="preserve"> suprimido, cumulado com a condenação ao pagamento de outras horas extras, bem como ao pagamento em dobro do trabalho realizado em dia de repouso semanal remunerado, não configura "</w:t>
      </w:r>
      <w:r w:rsidRPr="00772E15">
        <w:rPr>
          <w:rFonts w:ascii="Open Sans" w:hAnsi="Open Sans" w:cs="Open Sans"/>
          <w:i/>
          <w:iCs/>
          <w:sz w:val="24"/>
          <w:szCs w:val="24"/>
        </w:rPr>
        <w:t>bis in idem</w:t>
      </w:r>
      <w:r w:rsidRPr="00772E15">
        <w:rPr>
          <w:rFonts w:ascii="Open Sans" w:hAnsi="Open Sans" w:cs="Open Sans"/>
          <w:sz w:val="24"/>
          <w:szCs w:val="24"/>
        </w:rPr>
        <w:t xml:space="preserve">", uma vez que os fatos jurídicos que justificam seu deferimento são distintos. </w:t>
      </w:r>
      <w:proofErr w:type="gramStart"/>
      <w:r w:rsidRPr="00772E15">
        <w:rPr>
          <w:rFonts w:ascii="Open Sans" w:hAnsi="Open Sans" w:cs="Open Sans"/>
          <w:bCs/>
          <w:sz w:val="24"/>
          <w:szCs w:val="24"/>
        </w:rPr>
        <w:t>Recurso de revista conhecido e provido no tema.”</w:t>
      </w:r>
      <w:proofErr w:type="gramEnd"/>
      <w:r w:rsidRPr="00772E15">
        <w:rPr>
          <w:rFonts w:ascii="Open Sans" w:hAnsi="Open Sans" w:cs="Open Sans"/>
          <w:bCs/>
          <w:sz w:val="24"/>
          <w:szCs w:val="24"/>
        </w:rPr>
        <w:t xml:space="preserve"> </w:t>
      </w:r>
      <w:r w:rsidRPr="00772E15">
        <w:rPr>
          <w:rFonts w:ascii="Open Sans" w:hAnsi="Open Sans" w:cs="Open Sans"/>
          <w:sz w:val="24"/>
          <w:szCs w:val="24"/>
        </w:rPr>
        <w:t>(</w:t>
      </w:r>
      <w:hyperlink r:id="rId14" w:history="1">
        <w:r w:rsidRPr="00772E15">
          <w:rPr>
            <w:rStyle w:val="Hyperlink"/>
            <w:rFonts w:ascii="Open Sans" w:hAnsi="Open Sans" w:cs="Open Sans"/>
            <w:bCs/>
            <w:sz w:val="24"/>
            <w:szCs w:val="24"/>
          </w:rPr>
          <w:t>TST-RR-1945-33.2014.5.09.0009</w:t>
        </w:r>
      </w:hyperlink>
      <w:r w:rsidRPr="00772E15">
        <w:rPr>
          <w:rFonts w:ascii="Open Sans" w:hAnsi="Open Sans" w:cs="Open Sans"/>
          <w:bCs/>
          <w:sz w:val="24"/>
          <w:szCs w:val="24"/>
        </w:rPr>
        <w:t xml:space="preserve">, 3ª Turma, rel. Min. Mauricio Godinho Delgado, Julgado em 9/3/2022.) </w:t>
      </w:r>
    </w:p>
    <w:p w14:paraId="06A93E31" w14:textId="77777777" w:rsidR="00772E15" w:rsidRPr="00772E15" w:rsidRDefault="00772E15" w:rsidP="00772E15">
      <w:pPr>
        <w:ind w:left="-284" w:right="368"/>
        <w:jc w:val="both"/>
        <w:rPr>
          <w:rFonts w:ascii="Open Sans" w:hAnsi="Open Sans" w:cs="Open Sans"/>
          <w:bCs/>
          <w:sz w:val="24"/>
          <w:szCs w:val="24"/>
        </w:rPr>
      </w:pPr>
    </w:p>
    <w:p w14:paraId="25C39BB2" w14:textId="77777777" w:rsidR="00772E15" w:rsidRPr="00772E15" w:rsidRDefault="00772E15" w:rsidP="00772E15">
      <w:pPr>
        <w:ind w:left="-284" w:right="368"/>
        <w:jc w:val="both"/>
        <w:rPr>
          <w:rFonts w:ascii="Open Sans" w:hAnsi="Open Sans" w:cs="Open Sans"/>
          <w:sz w:val="24"/>
          <w:szCs w:val="24"/>
        </w:rPr>
      </w:pPr>
      <w:r w:rsidRPr="00772E15">
        <w:rPr>
          <w:rFonts w:ascii="Open Sans" w:hAnsi="Open Sans" w:cs="Open Sans"/>
          <w:sz w:val="24"/>
          <w:szCs w:val="24"/>
        </w:rPr>
        <w:t xml:space="preserve">“[...] RECURSO DE REVISTA. ACÓRDÃO PUBLICADO NA VIGÊNCIA DA LEI Nº 13.467/2017. INDENIZAÇÃO POR DANOS MORAIS. INSTALAÇÕES SANITÁRIAS E LOCAL ADEQUADO PARA REALIZAÇÃO DE REFEIÇÕES, PRÓXIMAS AO LOCAL DE TRABALHO. </w:t>
      </w:r>
      <w:r w:rsidRPr="00772E15">
        <w:rPr>
          <w:rFonts w:ascii="Open Sans" w:hAnsi="Open Sans" w:cs="Open Sans"/>
          <w:sz w:val="24"/>
          <w:szCs w:val="24"/>
        </w:rPr>
        <w:lastRenderedPageBreak/>
        <w:t xml:space="preserve">TRANSCENDÊNCIA JURÍDICA RECONHECIDA. O Tribunal </w:t>
      </w:r>
      <w:r w:rsidRPr="00772E15">
        <w:rPr>
          <w:rFonts w:ascii="Open Sans" w:hAnsi="Open Sans" w:cs="Open Sans"/>
          <w:i/>
          <w:sz w:val="24"/>
          <w:szCs w:val="24"/>
        </w:rPr>
        <w:t>a quo</w:t>
      </w:r>
      <w:r w:rsidRPr="00772E15">
        <w:rPr>
          <w:rFonts w:ascii="Open Sans" w:hAnsi="Open Sans" w:cs="Open Sans"/>
          <w:sz w:val="24"/>
          <w:szCs w:val="24"/>
        </w:rPr>
        <w:t xml:space="preserve"> manteve a sentença que condenou a reclamada ao pagamento de danos morais por considerar demonstrada a ocorrência de labor em condições inadequadas. Em que pese o entendimento do Regional, constata-se das premissas fáticas constantes do acórdão recorrido que o caso dos autos trata de serviço prestado em ambiente externo em pequena propriedade rural. Com efeito, a prova testemunhal utilizada pelo Regional como elemento de decisão deixou patente que </w:t>
      </w:r>
      <w:r w:rsidRPr="00772E15">
        <w:rPr>
          <w:rFonts w:ascii="Open Sans" w:hAnsi="Open Sans" w:cs="Open Sans"/>
          <w:i/>
          <w:sz w:val="24"/>
          <w:szCs w:val="24"/>
        </w:rPr>
        <w:t>“na sede da fazenda há banheiros e refeitórios”</w:t>
      </w:r>
      <w:r w:rsidRPr="00772E15">
        <w:rPr>
          <w:rFonts w:ascii="Open Sans" w:hAnsi="Open Sans" w:cs="Open Sans"/>
          <w:sz w:val="24"/>
          <w:szCs w:val="24"/>
        </w:rPr>
        <w:t xml:space="preserve">, e que a distância máxima a ser percorrida a partir do ponto mais distante do local de trabalho – lavoura – até a área disponibilizada para refeições e instalações sanitárias era de menos de 1 km. Assim, havendo disponibilidade de locais adequados </w:t>
      </w:r>
      <w:proofErr w:type="gramStart"/>
      <w:r w:rsidRPr="00772E15">
        <w:rPr>
          <w:rFonts w:ascii="Open Sans" w:hAnsi="Open Sans" w:cs="Open Sans"/>
          <w:sz w:val="24"/>
          <w:szCs w:val="24"/>
        </w:rPr>
        <w:t>a</w:t>
      </w:r>
      <w:proofErr w:type="gramEnd"/>
      <w:r w:rsidRPr="00772E15">
        <w:rPr>
          <w:rFonts w:ascii="Open Sans" w:hAnsi="Open Sans" w:cs="Open Sans"/>
          <w:sz w:val="24"/>
          <w:szCs w:val="24"/>
        </w:rPr>
        <w:t xml:space="preserve"> refeição e sanitários, e levando em conta que a distância entre o ponto mais distante da fazenda e essas instalações é de menos de um quilômetro, ou seja, não é longa o suficiente para inviabilizar sua utilização já que pode ser vencida a pé em poucos minutos, não se visualiza a pretensa violação dos direitos individuais fundamentais relativos à personalidade. Recurso de revista conhecido e provido.” (</w:t>
      </w:r>
      <w:hyperlink r:id="rId15" w:history="1">
        <w:r w:rsidRPr="00772E15">
          <w:rPr>
            <w:rStyle w:val="Hyperlink"/>
            <w:rFonts w:ascii="Open Sans" w:hAnsi="Open Sans" w:cs="Open Sans"/>
            <w:sz w:val="24"/>
            <w:szCs w:val="24"/>
          </w:rPr>
          <w:t>TST-RRAg-10602-16.2019.5.03.0086</w:t>
        </w:r>
      </w:hyperlink>
      <w:r w:rsidRPr="00772E15">
        <w:rPr>
          <w:rFonts w:ascii="Open Sans" w:hAnsi="Open Sans" w:cs="Open Sans"/>
          <w:sz w:val="24"/>
          <w:szCs w:val="24"/>
        </w:rPr>
        <w:t>, 5ª Turma, rel. Min. Breno Medeiros, julgado em 9/3/2022.)</w:t>
      </w:r>
    </w:p>
    <w:p w14:paraId="5C38B07D" w14:textId="77777777" w:rsidR="00772E15" w:rsidRPr="00772E15" w:rsidRDefault="00772E15" w:rsidP="00772E15">
      <w:pPr>
        <w:ind w:left="-284" w:right="368"/>
        <w:jc w:val="both"/>
        <w:rPr>
          <w:rFonts w:ascii="Open Sans" w:hAnsi="Open Sans" w:cs="Open Sans"/>
          <w:sz w:val="24"/>
          <w:szCs w:val="24"/>
        </w:rPr>
      </w:pPr>
    </w:p>
    <w:p w14:paraId="05D7876D" w14:textId="77777777" w:rsidR="00772E15" w:rsidRPr="00772E15" w:rsidRDefault="00772E15" w:rsidP="00772E15">
      <w:pPr>
        <w:ind w:left="-284" w:right="368"/>
        <w:jc w:val="both"/>
        <w:rPr>
          <w:rFonts w:ascii="Open Sans" w:hAnsi="Open Sans" w:cs="Open Sans"/>
          <w:sz w:val="24"/>
          <w:szCs w:val="24"/>
        </w:rPr>
      </w:pPr>
      <w:r w:rsidRPr="00772E15">
        <w:rPr>
          <w:rFonts w:ascii="Open Sans" w:hAnsi="Open Sans" w:cs="Open Sans"/>
          <w:sz w:val="24"/>
          <w:szCs w:val="24"/>
        </w:rPr>
        <w:t xml:space="preserve">“RECURSO DE REVISTA. ACÓRDÃO PUBLICADO NA VIGÊNCIA DA LEI Nº 13.467/2017. EMPREGADO DE SERVIÇO NOTARIAL. EXTINÇÃO DA DELEGAÇÃO. RESPONSABILIDADE DIRETA DO ESTADO DO RIO GRANDE DO SUL PELO PAGAMENTO DOS DIREITOS TRABALHISTAS DA RECLAMANTE. TRANSCENDÊNCIA JURÍDICA RECONHECIDA. Trata-se de matéria nova no âmbito desta Corte, razão pela qual se evidencia a existência da transcendência jurídica. A partir dos elementos fáticos consignados na decisão recorrida, depreende-se que a reclamante foi admitida pela Sra. Jussara Luz </w:t>
      </w:r>
      <w:proofErr w:type="spellStart"/>
      <w:r w:rsidRPr="00772E15">
        <w:rPr>
          <w:rFonts w:ascii="Open Sans" w:hAnsi="Open Sans" w:cs="Open Sans"/>
          <w:sz w:val="24"/>
          <w:szCs w:val="24"/>
        </w:rPr>
        <w:t>Balen</w:t>
      </w:r>
      <w:proofErr w:type="spellEnd"/>
      <w:r w:rsidRPr="00772E15">
        <w:rPr>
          <w:rFonts w:ascii="Open Sans" w:hAnsi="Open Sans" w:cs="Open Sans"/>
          <w:sz w:val="24"/>
          <w:szCs w:val="24"/>
        </w:rPr>
        <w:t xml:space="preserve"> (tabeliã) para prestar serviços ao 2º Tabelionado de Caixas do Sul/RS e que permaneceu trabalhando mesmo após a extinção da delegação conferida </w:t>
      </w:r>
      <w:proofErr w:type="gramStart"/>
      <w:r w:rsidRPr="00772E15">
        <w:rPr>
          <w:rFonts w:ascii="Open Sans" w:hAnsi="Open Sans" w:cs="Open Sans"/>
          <w:sz w:val="24"/>
          <w:szCs w:val="24"/>
        </w:rPr>
        <w:t>à</w:t>
      </w:r>
      <w:proofErr w:type="gramEnd"/>
      <w:r w:rsidRPr="00772E15">
        <w:rPr>
          <w:rFonts w:ascii="Open Sans" w:hAnsi="Open Sans" w:cs="Open Sans"/>
          <w:sz w:val="24"/>
          <w:szCs w:val="24"/>
        </w:rPr>
        <w:t xml:space="preserve"> então titular da referida Serventia Notarial. Considerando que os serviços notariais e de registro são exercidos em caráter privado, sob a forma de delegação (art. 236 da CF), não há falar em responsabilização do Estado pelo inadimplemento das obrigações trabalhistas decorrentes dos contratos de trabalho firmados pelos titulares de Cartórios. Entretanto, conforme registrado no acórdão regional, após a extinção da delegação em favor da Sra. Jussara Luz </w:t>
      </w:r>
      <w:proofErr w:type="spellStart"/>
      <w:r w:rsidRPr="00772E15">
        <w:rPr>
          <w:rFonts w:ascii="Open Sans" w:hAnsi="Open Sans" w:cs="Open Sans"/>
          <w:sz w:val="24"/>
          <w:szCs w:val="24"/>
        </w:rPr>
        <w:t>Balen</w:t>
      </w:r>
      <w:proofErr w:type="spellEnd"/>
      <w:r w:rsidRPr="00772E15">
        <w:rPr>
          <w:rFonts w:ascii="Open Sans" w:hAnsi="Open Sans" w:cs="Open Sans"/>
          <w:sz w:val="24"/>
          <w:szCs w:val="24"/>
        </w:rPr>
        <w:t xml:space="preserve"> não houve nova delegação da atividade notarial (não tendo havido realização de concurso público até o fim do contrato laboral em questão), de forma que, a partir de então, o serviço notarial retornou à responsabilidade do Estado. Quando da vacância da titularidade das serventias até a assunção da respectiva unidade por um novo delegado, a serventia retorna à responsabilidade estatal, a quem compete fiscalizar não apenas o exercício da atividade, como também as relações jurídicas decorrentes do serviço (p. ex. contratos de trabalho dos empregados do Tabelionato). Desta maneira, a decisão Regional que, mantendo a sentença de origem, reconheceu a responsabilidade (integral e exclusiva) do Estado do Rio Grande do Sul pelo serviço notarial no período após a extinção da delegação até o fim do contrato laboral, condenando-o, diretamente, ao pagamento das </w:t>
      </w:r>
      <w:proofErr w:type="gramStart"/>
      <w:r w:rsidRPr="00772E15">
        <w:rPr>
          <w:rFonts w:ascii="Open Sans" w:hAnsi="Open Sans" w:cs="Open Sans"/>
          <w:sz w:val="24"/>
          <w:szCs w:val="24"/>
        </w:rPr>
        <w:t>parcelas</w:t>
      </w:r>
      <w:proofErr w:type="gramEnd"/>
      <w:r w:rsidRPr="00772E15">
        <w:rPr>
          <w:rFonts w:ascii="Open Sans" w:hAnsi="Open Sans" w:cs="Open Sans"/>
          <w:sz w:val="24"/>
          <w:szCs w:val="24"/>
        </w:rPr>
        <w:t xml:space="preserve"> salariais devidas à reclamante, não ofende os dispositivos apontados. </w:t>
      </w:r>
      <w:r w:rsidRPr="00772E15">
        <w:rPr>
          <w:rFonts w:ascii="Open Sans" w:hAnsi="Open Sans" w:cs="Open Sans"/>
          <w:sz w:val="24"/>
          <w:szCs w:val="24"/>
        </w:rPr>
        <w:lastRenderedPageBreak/>
        <w:t xml:space="preserve">Assim, em que pese </w:t>
      </w:r>
      <w:proofErr w:type="gramStart"/>
      <w:r w:rsidRPr="00772E15">
        <w:rPr>
          <w:rFonts w:ascii="Open Sans" w:hAnsi="Open Sans" w:cs="Open Sans"/>
          <w:sz w:val="24"/>
          <w:szCs w:val="24"/>
        </w:rPr>
        <w:t>a</w:t>
      </w:r>
      <w:proofErr w:type="gramEnd"/>
      <w:r w:rsidRPr="00772E15">
        <w:rPr>
          <w:rFonts w:ascii="Open Sans" w:hAnsi="Open Sans" w:cs="Open Sans"/>
          <w:sz w:val="24"/>
          <w:szCs w:val="24"/>
        </w:rPr>
        <w:t xml:space="preserve"> transcendência jurídica da matéria, não há como prosseguir o recurso de revista. Recurso de revista não conhecido. [</w:t>
      </w:r>
      <w:proofErr w:type="gramStart"/>
      <w:r w:rsidRPr="00772E15">
        <w:rPr>
          <w:rFonts w:ascii="Open Sans" w:hAnsi="Open Sans" w:cs="Open Sans"/>
          <w:sz w:val="24"/>
          <w:szCs w:val="24"/>
        </w:rPr>
        <w:t>...]”</w:t>
      </w:r>
      <w:proofErr w:type="gramEnd"/>
      <w:r w:rsidRPr="00772E15">
        <w:rPr>
          <w:rFonts w:ascii="Open Sans" w:hAnsi="Open Sans" w:cs="Open Sans"/>
          <w:sz w:val="24"/>
          <w:szCs w:val="24"/>
        </w:rPr>
        <w:t xml:space="preserve"> (</w:t>
      </w:r>
      <w:hyperlink r:id="rId16" w:history="1">
        <w:r w:rsidRPr="00772E15">
          <w:rPr>
            <w:rStyle w:val="Hyperlink"/>
            <w:rFonts w:ascii="Open Sans" w:hAnsi="Open Sans" w:cs="Open Sans"/>
            <w:sz w:val="24"/>
            <w:szCs w:val="24"/>
          </w:rPr>
          <w:t>TST-RRAg-21052-18.2016.5.04.0402</w:t>
        </w:r>
      </w:hyperlink>
      <w:r w:rsidRPr="00772E15">
        <w:rPr>
          <w:rFonts w:ascii="Open Sans" w:hAnsi="Open Sans" w:cs="Open Sans"/>
          <w:sz w:val="24"/>
          <w:szCs w:val="24"/>
        </w:rPr>
        <w:t>, 5ª Turma, rel. Min. Breno Medeiros, julgado em 9/3/2022.)</w:t>
      </w:r>
    </w:p>
    <w:p w14:paraId="3873162C" w14:textId="77777777" w:rsidR="00772E15" w:rsidRPr="00772E15" w:rsidRDefault="00772E15" w:rsidP="00772E15">
      <w:pPr>
        <w:ind w:left="-284" w:right="368"/>
        <w:jc w:val="both"/>
        <w:rPr>
          <w:rFonts w:ascii="Open Sans" w:hAnsi="Open Sans" w:cs="Open Sans"/>
          <w:sz w:val="24"/>
          <w:szCs w:val="24"/>
        </w:rPr>
      </w:pPr>
    </w:p>
    <w:p w14:paraId="32266AF4" w14:textId="77777777" w:rsidR="00772E15" w:rsidRPr="00772E15" w:rsidRDefault="00772E15" w:rsidP="00772E15">
      <w:pPr>
        <w:ind w:left="-284" w:right="368"/>
        <w:jc w:val="both"/>
        <w:rPr>
          <w:rFonts w:ascii="Open Sans" w:hAnsi="Open Sans" w:cs="Open Sans"/>
          <w:sz w:val="24"/>
          <w:szCs w:val="24"/>
        </w:rPr>
      </w:pPr>
      <w:r w:rsidRPr="00772E15">
        <w:rPr>
          <w:rFonts w:ascii="Open Sans" w:hAnsi="Open Sans" w:cs="Open Sans"/>
          <w:sz w:val="24"/>
          <w:szCs w:val="24"/>
        </w:rPr>
        <w:t xml:space="preserve">“RECURSO DE REVISTA INTERPOSTO NA VIGÊNCIA DA LEI 13.467/2017. ACIDENTE DE TRABALHO. RESPONSABILIDADE CIVIL. MANUTENÇÃO DE CALHAS. QUEDA DO TELHADO QUE CAUSOU A MORTE DO TRABALHADOR. INDENIZAÇÃO POR DANOS MORAL E MATERIAL. TRANSCENDÊNCIA POLÍTICA. A jurisprudência majoritária desta Corte firmou-se no sentido de a ausência de contrato de emprego, como nos casos de trabalho autônomo ou contratação de empresa especializada, não afasta o dever de indenizar decorrente de ato ilícito em acidentes de trabalho, ao contrário do que decidiu o regional. Reconhecida a transcendência política do debate trazido no recurso de revista. RECURSO DE REVISTA INTERPOSTO NA VIGÊNCIA DA LEI 13.467/2017. ACIDENTE DE TRABALHO. RESPONSABILIDADE CIVIL. MANUTENÇÃO DE CALHAS. QUEDA DO TELHADO QUE CAUSOU A MORTE DO TRABALHADOR. INDENIZAÇÃO POR DANOS MORAL E MATERIAL. TRANSCENDÊNCIA POLÍTICA. Controvérsia sobre a responsabilidade civil por acidente de trabalho para fins de indenização por danos morais e materiais. O trabalhador – pai e esposo dos autores – sofreu uma queda de uma altura de dez metros enquanto executava serviços de manutenção das calhas da sede da ré, sem o uso de </w:t>
      </w:r>
      <w:proofErr w:type="spellStart"/>
      <w:r w:rsidRPr="00772E15">
        <w:rPr>
          <w:rFonts w:ascii="Open Sans" w:hAnsi="Open Sans" w:cs="Open Sans"/>
          <w:sz w:val="24"/>
          <w:szCs w:val="24"/>
        </w:rPr>
        <w:t>EPI’s</w:t>
      </w:r>
      <w:proofErr w:type="spellEnd"/>
      <w:r w:rsidRPr="00772E15">
        <w:rPr>
          <w:rFonts w:ascii="Open Sans" w:hAnsi="Open Sans" w:cs="Open Sans"/>
          <w:sz w:val="24"/>
          <w:szCs w:val="24"/>
        </w:rPr>
        <w:t xml:space="preserve">, falecendo em decorrência de traumatismo crânio-encefálico. Os autores alegaram que a ré contratou o </w:t>
      </w:r>
      <w:r w:rsidRPr="00772E15">
        <w:rPr>
          <w:rFonts w:ascii="Open Sans" w:hAnsi="Open Sans" w:cs="Open Sans"/>
          <w:i/>
          <w:sz w:val="24"/>
          <w:szCs w:val="24"/>
        </w:rPr>
        <w:t>de cujus</w:t>
      </w:r>
      <w:r w:rsidRPr="00772E15">
        <w:rPr>
          <w:rFonts w:ascii="Open Sans" w:hAnsi="Open Sans" w:cs="Open Sans"/>
          <w:sz w:val="24"/>
          <w:szCs w:val="24"/>
        </w:rPr>
        <w:t xml:space="preserve"> como autônomo para a execução dos serviços. A ré defendeu-se, aduzindo ter contratado a empresa Portal Calhas, especializada na execução desses serviços, a qual era composta pelo de cujus e dois dos autores, seus filhos. O Regional acolheu a tese de defesa e manteve a improcedência dos pedidos. Consignou que a ré </w:t>
      </w:r>
      <w:r w:rsidRPr="00772E15">
        <w:rPr>
          <w:rFonts w:ascii="Open Sans" w:hAnsi="Open Sans" w:cs="Open Sans"/>
          <w:i/>
          <w:sz w:val="24"/>
          <w:szCs w:val="24"/>
        </w:rPr>
        <w:t>“na condição de tomadora dos serviços, não tinha o dever legal de vigilância e fiscalização próprios de um contrato de emprego”</w:t>
      </w:r>
      <w:r w:rsidRPr="00772E15">
        <w:rPr>
          <w:rFonts w:ascii="Open Sans" w:hAnsi="Open Sans" w:cs="Open Sans"/>
          <w:sz w:val="24"/>
          <w:szCs w:val="24"/>
        </w:rPr>
        <w:t xml:space="preserve">, tampouco </w:t>
      </w:r>
      <w:r w:rsidRPr="00772E15">
        <w:rPr>
          <w:rFonts w:ascii="Open Sans" w:hAnsi="Open Sans" w:cs="Open Sans"/>
          <w:i/>
          <w:sz w:val="24"/>
          <w:szCs w:val="24"/>
        </w:rPr>
        <w:t>“ingerência sobre as atividades desempenhadas”</w:t>
      </w:r>
      <w:r w:rsidRPr="00772E15">
        <w:rPr>
          <w:rFonts w:ascii="Open Sans" w:hAnsi="Open Sans" w:cs="Open Sans"/>
          <w:sz w:val="24"/>
          <w:szCs w:val="24"/>
        </w:rPr>
        <w:t xml:space="preserve"> pelo trabalhador </w:t>
      </w:r>
      <w:r w:rsidRPr="00772E15">
        <w:rPr>
          <w:rFonts w:ascii="Open Sans" w:hAnsi="Open Sans" w:cs="Open Sans"/>
          <w:i/>
          <w:sz w:val="24"/>
          <w:szCs w:val="24"/>
        </w:rPr>
        <w:t>“no sentido de coagi-lo a adotar as medidas de segurança necessárias à integridade física”</w:t>
      </w:r>
      <w:r w:rsidRPr="00772E15">
        <w:rPr>
          <w:rFonts w:ascii="Open Sans" w:hAnsi="Open Sans" w:cs="Open Sans"/>
          <w:sz w:val="24"/>
          <w:szCs w:val="24"/>
        </w:rPr>
        <w:t xml:space="preserve">. Concluiu que o acidente fatal decorreu de culpa exclusiva da vítima ao não tomar as devidas cautelas </w:t>
      </w:r>
      <w:proofErr w:type="gramStart"/>
      <w:r w:rsidRPr="00772E15">
        <w:rPr>
          <w:rFonts w:ascii="Open Sans" w:hAnsi="Open Sans" w:cs="Open Sans"/>
          <w:sz w:val="24"/>
          <w:szCs w:val="24"/>
        </w:rPr>
        <w:t>diante</w:t>
      </w:r>
      <w:proofErr w:type="gramEnd"/>
      <w:r w:rsidRPr="00772E15">
        <w:rPr>
          <w:rFonts w:ascii="Open Sans" w:hAnsi="Open Sans" w:cs="Open Sans"/>
          <w:sz w:val="24"/>
          <w:szCs w:val="24"/>
        </w:rPr>
        <w:t xml:space="preserve"> </w:t>
      </w:r>
      <w:proofErr w:type="gramStart"/>
      <w:r w:rsidRPr="00772E15">
        <w:rPr>
          <w:rFonts w:ascii="Open Sans" w:hAnsi="Open Sans" w:cs="Open Sans"/>
          <w:sz w:val="24"/>
          <w:szCs w:val="24"/>
        </w:rPr>
        <w:t>da</w:t>
      </w:r>
      <w:proofErr w:type="gramEnd"/>
      <w:r w:rsidRPr="00772E15">
        <w:rPr>
          <w:rFonts w:ascii="Open Sans" w:hAnsi="Open Sans" w:cs="Open Sans"/>
          <w:sz w:val="24"/>
          <w:szCs w:val="24"/>
        </w:rPr>
        <w:t xml:space="preserve"> atividade que desenvolvia. Em fundamento adicional, a respeito da tese recursal dos autores, registrou que: o </w:t>
      </w:r>
      <w:r w:rsidRPr="00772E15">
        <w:rPr>
          <w:rFonts w:ascii="Open Sans" w:hAnsi="Open Sans" w:cs="Open Sans"/>
          <w:i/>
          <w:sz w:val="24"/>
          <w:szCs w:val="24"/>
        </w:rPr>
        <w:t xml:space="preserve">“trabalhador autônomo é aquele que conduz e assume os riscos da própria atividade. Cabia, portanto, ao Sr. </w:t>
      </w:r>
      <w:proofErr w:type="spellStart"/>
      <w:r w:rsidRPr="00772E15">
        <w:rPr>
          <w:rFonts w:ascii="Open Sans" w:hAnsi="Open Sans" w:cs="Open Sans"/>
          <w:i/>
          <w:sz w:val="24"/>
          <w:szCs w:val="24"/>
        </w:rPr>
        <w:t>Antonio</w:t>
      </w:r>
      <w:proofErr w:type="spellEnd"/>
      <w:r w:rsidRPr="00772E15">
        <w:rPr>
          <w:rFonts w:ascii="Open Sans" w:hAnsi="Open Sans" w:cs="Open Sans"/>
          <w:i/>
          <w:sz w:val="24"/>
          <w:szCs w:val="24"/>
        </w:rPr>
        <w:t xml:space="preserve"> arcar com os equipamentos necessários não somente para a execução dos serviços, mas para o desenvolvimento seguro da atividade. Nessas condições, a ré não concorreu para o infortúnio, não tendo como ser responsabilizada.”</w:t>
      </w:r>
      <w:r w:rsidRPr="00772E15">
        <w:rPr>
          <w:rFonts w:ascii="Open Sans" w:hAnsi="Open Sans" w:cs="Open Sans"/>
          <w:sz w:val="24"/>
          <w:szCs w:val="24"/>
        </w:rPr>
        <w:t xml:space="preserve"> Nos termos da jurisprudência reiterada desta Corte a responsabilidade decorrente de acidente do trabalho apresenta natureza jurídica civil, em razão de culpa </w:t>
      </w:r>
      <w:proofErr w:type="spellStart"/>
      <w:r w:rsidRPr="00772E15">
        <w:rPr>
          <w:rFonts w:ascii="Open Sans" w:hAnsi="Open Sans" w:cs="Open Sans"/>
          <w:sz w:val="24"/>
          <w:szCs w:val="24"/>
        </w:rPr>
        <w:t>aquiliana</w:t>
      </w:r>
      <w:proofErr w:type="spellEnd"/>
      <w:r w:rsidRPr="00772E15">
        <w:rPr>
          <w:rFonts w:ascii="Open Sans" w:hAnsi="Open Sans" w:cs="Open Sans"/>
          <w:sz w:val="24"/>
          <w:szCs w:val="24"/>
        </w:rPr>
        <w:t xml:space="preserve"> por ato ilícito, consoante previsão dos </w:t>
      </w:r>
      <w:proofErr w:type="spellStart"/>
      <w:r w:rsidRPr="00772E15">
        <w:rPr>
          <w:rFonts w:ascii="Open Sans" w:hAnsi="Open Sans" w:cs="Open Sans"/>
          <w:sz w:val="24"/>
          <w:szCs w:val="24"/>
        </w:rPr>
        <w:t>arts</w:t>
      </w:r>
      <w:proofErr w:type="spellEnd"/>
      <w:r w:rsidRPr="00772E15">
        <w:rPr>
          <w:rFonts w:ascii="Open Sans" w:hAnsi="Open Sans" w:cs="Open Sans"/>
          <w:sz w:val="24"/>
          <w:szCs w:val="24"/>
        </w:rPr>
        <w:t xml:space="preserve">. </w:t>
      </w:r>
      <w:proofErr w:type="gramStart"/>
      <w:r w:rsidRPr="00772E15">
        <w:rPr>
          <w:rFonts w:ascii="Open Sans" w:hAnsi="Open Sans" w:cs="Open Sans"/>
          <w:sz w:val="24"/>
          <w:szCs w:val="24"/>
        </w:rPr>
        <w:t>186 e 927, caput e parágrafo</w:t>
      </w:r>
      <w:proofErr w:type="gramEnd"/>
      <w:r w:rsidRPr="00772E15">
        <w:rPr>
          <w:rFonts w:ascii="Open Sans" w:hAnsi="Open Sans" w:cs="Open Sans"/>
          <w:sz w:val="24"/>
          <w:szCs w:val="24"/>
        </w:rPr>
        <w:t xml:space="preserve"> único, do Código Civil e dos artigos art. 7º, caput e XXVIII, bem como do § 6º do art. 37 da Constituição Federal. Desse modo, o fato de o acidente ocorrer em relação de emprego, de trabalho autônomo, em contrato de empreitada ou mesmo de terceirização de serviços, não afasta a responsabilização do contratante e o respectivo dever de indenizar, caso presentes os requisitos respectivos – dano, nexo causal e culpa. Assim, o acidente fatal enquanto laborava para a ré demonstra o dano e </w:t>
      </w:r>
      <w:r w:rsidRPr="00772E15">
        <w:rPr>
          <w:rFonts w:ascii="Open Sans" w:hAnsi="Open Sans" w:cs="Open Sans"/>
          <w:sz w:val="24"/>
          <w:szCs w:val="24"/>
        </w:rPr>
        <w:lastRenderedPageBreak/>
        <w:t xml:space="preserve">o nexo causal. E a permissão, por parte da ré, de ocorrência de trabalho em sua sede, sem o uso de qualquer EPI, demonstra a culpa, na modalidade de negligência, a qual concorreu para o infortúnio. Patente o ato ilícito, impõe-se a responsabilização civil da ré e o consequente dever de indenizar os danos morais e materiais. </w:t>
      </w:r>
      <w:proofErr w:type="gramStart"/>
      <w:r w:rsidRPr="00772E15">
        <w:rPr>
          <w:rFonts w:ascii="Open Sans" w:hAnsi="Open Sans" w:cs="Open Sans"/>
          <w:sz w:val="24"/>
          <w:szCs w:val="24"/>
        </w:rPr>
        <w:t>Recurso de revista conhecido e parcialmente provido."</w:t>
      </w:r>
      <w:proofErr w:type="gramEnd"/>
      <w:r w:rsidRPr="00772E15">
        <w:rPr>
          <w:rFonts w:ascii="Open Sans" w:hAnsi="Open Sans" w:cs="Open Sans"/>
          <w:sz w:val="24"/>
          <w:szCs w:val="24"/>
        </w:rPr>
        <w:t xml:space="preserve"> (</w:t>
      </w:r>
      <w:hyperlink r:id="rId17" w:history="1">
        <w:r w:rsidRPr="00772E15">
          <w:rPr>
            <w:rStyle w:val="Hyperlink"/>
            <w:rFonts w:ascii="Open Sans" w:hAnsi="Open Sans" w:cs="Open Sans"/>
            <w:sz w:val="24"/>
            <w:szCs w:val="24"/>
          </w:rPr>
          <w:t>TST-RR- 333-07.2017.5.09.0122</w:t>
        </w:r>
      </w:hyperlink>
      <w:r w:rsidRPr="00772E15">
        <w:rPr>
          <w:rFonts w:ascii="Open Sans" w:hAnsi="Open Sans" w:cs="Open Sans"/>
          <w:sz w:val="24"/>
          <w:szCs w:val="24"/>
        </w:rPr>
        <w:t>, 6ª Turma, rel. Min. Augusto César Leite de Carvalho, julgado em 9/3/2022.)</w:t>
      </w:r>
    </w:p>
    <w:p w14:paraId="06E1EBBC" w14:textId="77777777" w:rsidR="00772E15" w:rsidRPr="00772E15" w:rsidRDefault="00772E15" w:rsidP="00772E15">
      <w:pPr>
        <w:ind w:left="-284" w:right="368"/>
        <w:jc w:val="both"/>
        <w:rPr>
          <w:rFonts w:ascii="Open Sans" w:hAnsi="Open Sans" w:cs="Open Sans"/>
          <w:sz w:val="24"/>
          <w:szCs w:val="24"/>
        </w:rPr>
      </w:pPr>
    </w:p>
    <w:p w14:paraId="241D3DA7" w14:textId="77777777" w:rsidR="00772E15" w:rsidRPr="00772E15" w:rsidRDefault="00772E15" w:rsidP="00772E15">
      <w:pPr>
        <w:ind w:left="-284" w:right="368"/>
        <w:jc w:val="both"/>
        <w:rPr>
          <w:rFonts w:ascii="Open Sans" w:hAnsi="Open Sans" w:cs="Open Sans"/>
          <w:sz w:val="24"/>
          <w:szCs w:val="24"/>
        </w:rPr>
      </w:pPr>
      <w:r w:rsidRPr="00772E15">
        <w:rPr>
          <w:rFonts w:ascii="Open Sans" w:hAnsi="Open Sans" w:cs="Open Sans"/>
          <w:sz w:val="24"/>
          <w:szCs w:val="24"/>
        </w:rPr>
        <w:t xml:space="preserve">“[...] ADEQUAÇÃO DOS VEÍCULOS DA FROTA DE ÔNIBUS. SUPERVENIÊNCIA DA LEI N. 6.508/2020 E DO DECRETO N. 40.661/2020, OS QUAIS ESTABELECERAM DIRETRIZES PRÓPRIAS PARA A ADEQUAÇÃO DOS VEÍCULOS. Quando a presente ação civil pública foi ajuizada, no ano de 2012, não existia regramento que impusesse às empresas concessionárias de transporte público a observância de parâmetros básicos de saúde no ambiente de trabalho propiciado aos motoristas e cobradores de ônibus, tampouco regras que estabelecessem a adequação de suas frotas. Em virtude </w:t>
      </w:r>
      <w:proofErr w:type="gramStart"/>
      <w:r w:rsidRPr="00772E15">
        <w:rPr>
          <w:rFonts w:ascii="Open Sans" w:hAnsi="Open Sans" w:cs="Open Sans"/>
          <w:sz w:val="24"/>
          <w:szCs w:val="24"/>
        </w:rPr>
        <w:t>desse</w:t>
      </w:r>
      <w:proofErr w:type="gramEnd"/>
      <w:r w:rsidRPr="00772E15">
        <w:rPr>
          <w:rFonts w:ascii="Open Sans" w:hAnsi="Open Sans" w:cs="Open Sans"/>
          <w:sz w:val="24"/>
          <w:szCs w:val="24"/>
        </w:rPr>
        <w:t xml:space="preserve"> “vazio legislativo”, deu-se parcial provimento à demanda, nas instâncias ordinárias, com base nos princípios da equidade e da dignidade da pessoa humana, para impor parâmetros de adequação da frota de veículos da reclamada, tais como aparelho de ar-condicionado, posicionamento do motor na parte traseira do veículo, câmbio automático e direção hidráulica, a fim de resguardar a saúde de seus empregados. Em 23 de dezembro de 2015 – após, portanto, a prolação do acórdão em análise -, o Distrito Federal editou a Lei n. 5.590, a qual dispôs sobre a proibição de ônibus com motor dianteiro para operar no sistema de transporte coletivo. Essa Lei foi regulamentada pelo Decreto n. 3.8272/2017, o qual estabeleceu regras e prazos para a readequação da frota e aquisição de novos veículos, a fim de modernizar a malha viária do Distrito Federal, conforme as novas exigências técnicas. Em 19 de fevereiro de 2020, foi sancionada a Lei n. 6.508/2020, a qual passou a dispor sobre a proibição de operar no sistema de transporte coletivo para ônibus em desacordo com a NBR 15570:2011, editada pela Associação Brasileira de Normas Técnicas - ABNT, revogando as disposições da Lei n. 5.590/2015. E, com o intuito de regulamentar a supratranscrita Lei, editou-se o Decreto n. 40.661/2020. Como se observa, com o advento da Lei n. 5.590/2015 e do Decreto n. 3.8272/2017 e, posteriormente, da Lei n. 6.508/2020 e do Decreto n. 40.661/2020, foram estabelecidas diretrizes </w:t>
      </w:r>
      <w:proofErr w:type="gramStart"/>
      <w:r w:rsidRPr="00772E15">
        <w:rPr>
          <w:rFonts w:ascii="Open Sans" w:hAnsi="Open Sans" w:cs="Open Sans"/>
          <w:sz w:val="24"/>
          <w:szCs w:val="24"/>
        </w:rPr>
        <w:t>para</w:t>
      </w:r>
      <w:proofErr w:type="gramEnd"/>
      <w:r w:rsidRPr="00772E15">
        <w:rPr>
          <w:rFonts w:ascii="Open Sans" w:hAnsi="Open Sans" w:cs="Open Sans"/>
          <w:sz w:val="24"/>
          <w:szCs w:val="24"/>
        </w:rPr>
        <w:t xml:space="preserve"> a adequação gradativa das frotas de ônibus que trafegam no Distrito Federal, de modo que não mais há, portanto, o vazio legislativo que justificou a condenação empresarial, com supedâneo na equidade e em princípios basilares do direito. O novo regramento deverá ser observado por todas as concessionárias de transporte público, indistintamente, de modo que manter a condenação da reclamada, nos termos e prazos determinados em sentença, inclusive mediante a cominação de </w:t>
      </w:r>
      <w:proofErr w:type="spellStart"/>
      <w:r w:rsidRPr="00772E15">
        <w:rPr>
          <w:rFonts w:ascii="Open Sans" w:hAnsi="Open Sans" w:cs="Open Sans"/>
          <w:sz w:val="24"/>
          <w:szCs w:val="24"/>
        </w:rPr>
        <w:t>astreintes</w:t>
      </w:r>
      <w:proofErr w:type="spellEnd"/>
      <w:r w:rsidRPr="00772E15">
        <w:rPr>
          <w:rFonts w:ascii="Open Sans" w:hAnsi="Open Sans" w:cs="Open Sans"/>
          <w:sz w:val="24"/>
          <w:szCs w:val="24"/>
        </w:rPr>
        <w:t xml:space="preserve">, não apenas iria de encontro à legislação vigente – a qual, como aludido, estabeleceu prazos e diretrizes para a renovação da frota de ônibus do DF -, como imporia desproporcional ônus à recorrente, em comparação às demais concessionárias de transporte público, e geraria um injusto desequilíbrio em relação àquelas. Recurso de revista conhecido e provido. </w:t>
      </w:r>
      <w:r w:rsidRPr="00772E15">
        <w:rPr>
          <w:rFonts w:ascii="Open Sans" w:hAnsi="Open Sans" w:cs="Open Sans"/>
          <w:sz w:val="24"/>
          <w:szCs w:val="24"/>
        </w:rPr>
        <w:lastRenderedPageBreak/>
        <w:t>[</w:t>
      </w:r>
      <w:proofErr w:type="gramStart"/>
      <w:r w:rsidRPr="00772E15">
        <w:rPr>
          <w:rFonts w:ascii="Open Sans" w:hAnsi="Open Sans" w:cs="Open Sans"/>
          <w:sz w:val="24"/>
          <w:szCs w:val="24"/>
        </w:rPr>
        <w:t>...]”</w:t>
      </w:r>
      <w:proofErr w:type="gramEnd"/>
      <w:r w:rsidRPr="00772E15">
        <w:rPr>
          <w:rFonts w:ascii="Open Sans" w:hAnsi="Open Sans" w:cs="Open Sans"/>
          <w:sz w:val="24"/>
          <w:szCs w:val="24"/>
        </w:rPr>
        <w:t xml:space="preserve"> (</w:t>
      </w:r>
      <w:hyperlink r:id="rId18" w:history="1">
        <w:r w:rsidRPr="00772E15">
          <w:rPr>
            <w:rStyle w:val="Hyperlink"/>
            <w:rFonts w:ascii="Open Sans" w:hAnsi="Open Sans" w:cs="Open Sans"/>
            <w:sz w:val="24"/>
            <w:szCs w:val="24"/>
          </w:rPr>
          <w:t>TST-RR-1828-10.2012.5.10.0001</w:t>
        </w:r>
      </w:hyperlink>
      <w:r w:rsidRPr="00772E15">
        <w:rPr>
          <w:rFonts w:ascii="Open Sans" w:hAnsi="Open Sans" w:cs="Open Sans"/>
          <w:sz w:val="24"/>
          <w:szCs w:val="24"/>
        </w:rPr>
        <w:t>, 6ª Turma, rel. Min. Augusto César Leite de Carvalho, julgado em 16/3/2022.)</w:t>
      </w:r>
    </w:p>
    <w:p w14:paraId="10D2E58B" w14:textId="77777777" w:rsidR="00772E15" w:rsidRPr="00772E15" w:rsidRDefault="00772E15" w:rsidP="00772E15">
      <w:pPr>
        <w:ind w:left="-284" w:right="368"/>
        <w:jc w:val="both"/>
        <w:rPr>
          <w:rFonts w:ascii="Open Sans" w:hAnsi="Open Sans" w:cs="Open Sans"/>
          <w:sz w:val="24"/>
          <w:szCs w:val="24"/>
        </w:rPr>
      </w:pPr>
    </w:p>
    <w:p w14:paraId="05BCCFFB" w14:textId="77777777" w:rsidR="00772E15" w:rsidRPr="00772E15" w:rsidRDefault="00772E15" w:rsidP="00772E15">
      <w:pPr>
        <w:ind w:left="-284" w:right="368"/>
        <w:jc w:val="both"/>
        <w:rPr>
          <w:rFonts w:ascii="Open Sans" w:hAnsi="Open Sans" w:cs="Open Sans"/>
          <w:i/>
          <w:sz w:val="24"/>
          <w:szCs w:val="24"/>
        </w:rPr>
      </w:pPr>
      <w:proofErr w:type="gramStart"/>
      <w:r w:rsidRPr="00772E15">
        <w:rPr>
          <w:rFonts w:ascii="Open Sans" w:hAnsi="Open Sans" w:cs="Open Sans"/>
          <w:sz w:val="24"/>
          <w:szCs w:val="24"/>
        </w:rPr>
        <w:t>“[...] RECURSO DE REVISTA.</w:t>
      </w:r>
      <w:proofErr w:type="gramEnd"/>
      <w:r w:rsidRPr="00772E15">
        <w:rPr>
          <w:rFonts w:ascii="Open Sans" w:hAnsi="Open Sans" w:cs="Open Sans"/>
          <w:sz w:val="24"/>
          <w:szCs w:val="24"/>
        </w:rPr>
        <w:t xml:space="preserve"> CONTRATO DE FIANÇA BANCÁRIA FIRMADO PELO EMPREGADO EM FAVOR DA EMPREGADORA – CONTROVÉRSIA SOBRE A COMPETÊNCIA DA JUSTIÇA DO TRABALHO PARA CONDENAR A EMPREGADORA AO PAGAMENTO DE INDENIZAÇÃO POR DANO MATERIAL E DECLARAR A NULIDADE DA FIANÇA – LEGITIMIDADE PASSIVA DA INSTITUIÇÃO FINANCEIRA. O artigo 114 da CF/88 expressamente atribui a competência da Justiça do Trabalho para processar e julgador ações de indenização por dano moral e material, assim como outras controvérsias decorrentes da relação de trabalho. A competência desta Justiça Especializada para processar e julgar a pretensão formulada a título de indenização por dano material deriva expressamente do inciso VI do artigo 114 da CF/88. Por outro lado, a pretensão concernente à declaração de nulidade da fiança bancária assinada pelo empregado em decorrência de coação da </w:t>
      </w:r>
      <w:proofErr w:type="spellStart"/>
      <w:r w:rsidRPr="00772E15">
        <w:rPr>
          <w:rFonts w:ascii="Open Sans" w:hAnsi="Open Sans" w:cs="Open Sans"/>
          <w:sz w:val="24"/>
          <w:szCs w:val="24"/>
        </w:rPr>
        <w:t>ex-empregadora</w:t>
      </w:r>
      <w:proofErr w:type="spellEnd"/>
      <w:r w:rsidRPr="00772E15">
        <w:rPr>
          <w:rFonts w:ascii="Open Sans" w:hAnsi="Open Sans" w:cs="Open Sans"/>
          <w:sz w:val="24"/>
          <w:szCs w:val="24"/>
        </w:rPr>
        <w:t xml:space="preserve"> igualmente se insere na competência prevista no inciso VI do dispositivo constitucional indicado, pois em decorrência daquele fato (assinatura do contrato de empréstimo, como fiador, em decorrência de coação) advieram diversos prejuízos materiais ao reclamante, o qual sofreu execução forçada da dívida contraída pela empregadora, teve o nome inscrito nos serviços de proteção ao crédito e foi impedido de realizar quaisquer outras atividades perante as instituições financeiras. Além disso, o inciso IX, do artigo 114 da CF/88, ao atribuir a competência desta Justiça Especializada para analisar e decidir </w:t>
      </w:r>
      <w:r w:rsidRPr="00772E15">
        <w:rPr>
          <w:rFonts w:ascii="Open Sans" w:hAnsi="Open Sans" w:cs="Open Sans"/>
          <w:i/>
          <w:sz w:val="24"/>
          <w:szCs w:val="24"/>
        </w:rPr>
        <w:t>“outras controvérsias decorrentes da relação de trabalho”</w:t>
      </w:r>
      <w:r w:rsidRPr="00772E15">
        <w:rPr>
          <w:rFonts w:ascii="Open Sans" w:hAnsi="Open Sans" w:cs="Open Sans"/>
          <w:sz w:val="24"/>
          <w:szCs w:val="24"/>
        </w:rPr>
        <w:t xml:space="preserve"> engloba a hipótese na qual a obrigação assumida pelo empregado decorreu essencialmente da coação exercida pelo então empregador sobre o indivíduo que estava sob sua subordinação. Acrescente-se que, nos termos fundamentados no acórdão recorrido, a coação imprimida pela empregadora colocou o reclamante na posição de assumir os riscos do empreendimento, passando a ser corresponsável pela dívida contraída pela empresa como meio de adimplir as próprias </w:t>
      </w:r>
      <w:proofErr w:type="gramStart"/>
      <w:r w:rsidRPr="00772E15">
        <w:rPr>
          <w:rFonts w:ascii="Open Sans" w:hAnsi="Open Sans" w:cs="Open Sans"/>
          <w:sz w:val="24"/>
          <w:szCs w:val="24"/>
        </w:rPr>
        <w:t>verbas</w:t>
      </w:r>
      <w:proofErr w:type="gramEnd"/>
      <w:r w:rsidRPr="00772E15">
        <w:rPr>
          <w:rFonts w:ascii="Open Sans" w:hAnsi="Open Sans" w:cs="Open Sans"/>
          <w:sz w:val="24"/>
          <w:szCs w:val="24"/>
        </w:rPr>
        <w:t xml:space="preserve"> trabalhistas devidas aos empregados. Portanto, não há como desvincular a assunção da responsabilidade decorrente da assinatura da fiança com o contrato de trabalho entre o reclamante e sua </w:t>
      </w:r>
      <w:proofErr w:type="spellStart"/>
      <w:r w:rsidRPr="00772E15">
        <w:rPr>
          <w:rFonts w:ascii="Open Sans" w:hAnsi="Open Sans" w:cs="Open Sans"/>
          <w:sz w:val="24"/>
          <w:szCs w:val="24"/>
        </w:rPr>
        <w:t>ex-empregadora</w:t>
      </w:r>
      <w:proofErr w:type="spellEnd"/>
      <w:r w:rsidRPr="00772E15">
        <w:rPr>
          <w:rFonts w:ascii="Open Sans" w:hAnsi="Open Sans" w:cs="Open Sans"/>
          <w:sz w:val="24"/>
          <w:szCs w:val="24"/>
        </w:rPr>
        <w:t xml:space="preserve">. </w:t>
      </w:r>
      <w:proofErr w:type="gramStart"/>
      <w:r w:rsidRPr="00772E15">
        <w:rPr>
          <w:rFonts w:ascii="Open Sans" w:hAnsi="Open Sans" w:cs="Open Sans"/>
          <w:sz w:val="24"/>
          <w:szCs w:val="24"/>
        </w:rPr>
        <w:t>Recurso de revista conhecido e provido.”</w:t>
      </w:r>
      <w:proofErr w:type="gramEnd"/>
      <w:r w:rsidRPr="00772E15">
        <w:rPr>
          <w:rFonts w:ascii="Open Sans" w:hAnsi="Open Sans" w:cs="Open Sans"/>
          <w:sz w:val="24"/>
          <w:szCs w:val="24"/>
        </w:rPr>
        <w:t xml:space="preserve"> (</w:t>
      </w:r>
      <w:hyperlink r:id="rId19" w:history="1">
        <w:r w:rsidRPr="00772E15">
          <w:rPr>
            <w:rStyle w:val="Hyperlink"/>
            <w:rFonts w:ascii="Open Sans" w:hAnsi="Open Sans" w:cs="Open Sans"/>
            <w:sz w:val="24"/>
            <w:szCs w:val="24"/>
          </w:rPr>
          <w:t>TST-RR-11232-57.2013.5.03.0062</w:t>
        </w:r>
      </w:hyperlink>
      <w:r w:rsidRPr="00772E15">
        <w:rPr>
          <w:rFonts w:ascii="Open Sans" w:hAnsi="Open Sans" w:cs="Open Sans"/>
          <w:sz w:val="24"/>
          <w:szCs w:val="24"/>
        </w:rPr>
        <w:t xml:space="preserve">, 7ª Turma, rel. Min. Renato de Lacerda Paiva, julgado em 16/3/2022.) </w:t>
      </w:r>
    </w:p>
    <w:p w14:paraId="3783726D" w14:textId="77777777" w:rsidR="00772E15" w:rsidRPr="00772E15" w:rsidRDefault="00772E15" w:rsidP="00772E15">
      <w:pPr>
        <w:ind w:left="-284" w:right="368"/>
        <w:jc w:val="both"/>
        <w:rPr>
          <w:rFonts w:ascii="Open Sans" w:hAnsi="Open Sans" w:cs="Open Sans"/>
          <w:sz w:val="24"/>
          <w:szCs w:val="24"/>
        </w:rPr>
      </w:pPr>
    </w:p>
    <w:p w14:paraId="48C999D0" w14:textId="77777777" w:rsidR="00772E15" w:rsidRPr="00772E15" w:rsidRDefault="00772E15" w:rsidP="00772E15">
      <w:pPr>
        <w:ind w:left="-284" w:right="368"/>
        <w:jc w:val="both"/>
        <w:rPr>
          <w:rFonts w:ascii="Open Sans" w:hAnsi="Open Sans" w:cs="Open Sans"/>
          <w:sz w:val="24"/>
          <w:szCs w:val="24"/>
        </w:rPr>
      </w:pPr>
      <w:proofErr w:type="gramStart"/>
      <w:r w:rsidRPr="00772E15">
        <w:rPr>
          <w:rFonts w:ascii="Open Sans" w:hAnsi="Open Sans" w:cs="Open Sans"/>
          <w:sz w:val="24"/>
          <w:szCs w:val="24"/>
        </w:rPr>
        <w:t>“RECURSO DE REVISTA DO AUTOR.</w:t>
      </w:r>
      <w:proofErr w:type="gramEnd"/>
      <w:r w:rsidRPr="00772E15">
        <w:rPr>
          <w:rFonts w:ascii="Open Sans" w:hAnsi="Open Sans" w:cs="Open Sans"/>
          <w:sz w:val="24"/>
          <w:szCs w:val="24"/>
        </w:rPr>
        <w:t xml:space="preserve"> CPC/2015. INSTRUÇÃO NORMATIVA Nº 40 DO TST. LEI Nº 13.467/2017. SUSPENSÃO DO PROCESSO. PREJUDICIALIDADE EXTERNA. ARTIGO 313, V, ‘A’, DO CPC. TRANSCENDÊNCIA JURÍDICA RECONHECIDA. O interesse de agir, na lição de </w:t>
      </w:r>
      <w:proofErr w:type="spellStart"/>
      <w:r w:rsidRPr="00772E15">
        <w:rPr>
          <w:rFonts w:ascii="Open Sans" w:hAnsi="Open Sans" w:cs="Open Sans"/>
          <w:sz w:val="24"/>
          <w:szCs w:val="24"/>
        </w:rPr>
        <w:t>Fredie</w:t>
      </w:r>
      <w:proofErr w:type="spellEnd"/>
      <w:r w:rsidRPr="00772E15">
        <w:rPr>
          <w:rFonts w:ascii="Open Sans" w:hAnsi="Open Sans" w:cs="Open Sans"/>
          <w:sz w:val="24"/>
          <w:szCs w:val="24"/>
        </w:rPr>
        <w:t xml:space="preserve"> Didier Jr., é definido como sendo </w:t>
      </w:r>
      <w:r w:rsidRPr="00772E15">
        <w:rPr>
          <w:rFonts w:ascii="Open Sans" w:hAnsi="Open Sans" w:cs="Open Sans"/>
          <w:i/>
          <w:sz w:val="24"/>
          <w:szCs w:val="24"/>
        </w:rPr>
        <w:t>“um requisito processual extrínseco positivo”</w:t>
      </w:r>
      <w:r w:rsidRPr="00772E15">
        <w:rPr>
          <w:rFonts w:ascii="Open Sans" w:hAnsi="Open Sans" w:cs="Open Sans"/>
          <w:sz w:val="24"/>
          <w:szCs w:val="24"/>
        </w:rPr>
        <w:t xml:space="preserve">, que deve existir para a instauração válida do processo. A sua constatação se faz sempre em concreto, diante da análise do caso descrito na demanda, a ser examinado em duas dimensões: utilidade (possibilidade de o processo alcançar o resultado pretendido) e necessidade (tutela jurisdicional como última forma para a solução do conflito). Já a </w:t>
      </w:r>
      <w:proofErr w:type="spellStart"/>
      <w:r w:rsidRPr="00772E15">
        <w:rPr>
          <w:rFonts w:ascii="Open Sans" w:hAnsi="Open Sans" w:cs="Open Sans"/>
          <w:sz w:val="24"/>
          <w:szCs w:val="24"/>
        </w:rPr>
        <w:t>prejudicialidade</w:t>
      </w:r>
      <w:proofErr w:type="spellEnd"/>
      <w:r w:rsidRPr="00772E15">
        <w:rPr>
          <w:rFonts w:ascii="Open Sans" w:hAnsi="Open Sans" w:cs="Open Sans"/>
          <w:sz w:val="24"/>
          <w:szCs w:val="24"/>
        </w:rPr>
        <w:t xml:space="preserve"> entre causas, segundo Cândido Rangel </w:t>
      </w:r>
      <w:proofErr w:type="spellStart"/>
      <w:r w:rsidRPr="00772E15">
        <w:rPr>
          <w:rFonts w:ascii="Open Sans" w:hAnsi="Open Sans" w:cs="Open Sans"/>
          <w:sz w:val="24"/>
          <w:szCs w:val="24"/>
        </w:rPr>
        <w:lastRenderedPageBreak/>
        <w:t>Dinamarco</w:t>
      </w:r>
      <w:proofErr w:type="spellEnd"/>
      <w:r w:rsidRPr="00772E15">
        <w:rPr>
          <w:rFonts w:ascii="Open Sans" w:hAnsi="Open Sans" w:cs="Open Sans"/>
          <w:sz w:val="24"/>
          <w:szCs w:val="24"/>
        </w:rPr>
        <w:t xml:space="preserve">, ocorrerá quando o julgamento de uma delas for </w:t>
      </w:r>
      <w:r w:rsidRPr="00772E15">
        <w:rPr>
          <w:rFonts w:ascii="Open Sans" w:hAnsi="Open Sans" w:cs="Open Sans"/>
          <w:i/>
          <w:sz w:val="24"/>
          <w:szCs w:val="24"/>
        </w:rPr>
        <w:t>“apto a influir no teor substancial do julgamento de outra”</w:t>
      </w:r>
      <w:r w:rsidRPr="00772E15">
        <w:rPr>
          <w:rFonts w:ascii="Open Sans" w:hAnsi="Open Sans" w:cs="Open Sans"/>
          <w:sz w:val="24"/>
          <w:szCs w:val="24"/>
        </w:rPr>
        <w:t xml:space="preserve">, em que a primeira é prejudicial à segunda (denominada prejudicada). Dessa forma, haverá entre elas uma relação de dependência lógica, de subordinação, isto é, a ação prejudicial terá reflexos no julgamento da ação prejudicada. No presente caso, o pedido de indenização por danos materiais decorrentes do não pagamento das horas superiores à 6ª diária como extraordinárias depende do reconhecimento do direito ao pagamento das pretendidas horas, como extras. Há, por derradeiro, o interesse de agir (necessidade e utilidade da demanda), bem como a dependência lógica e, por consequência, de </w:t>
      </w:r>
      <w:proofErr w:type="spellStart"/>
      <w:r w:rsidRPr="00772E15">
        <w:rPr>
          <w:rFonts w:ascii="Open Sans" w:hAnsi="Open Sans" w:cs="Open Sans"/>
          <w:sz w:val="24"/>
          <w:szCs w:val="24"/>
        </w:rPr>
        <w:t>prejudicialidade</w:t>
      </w:r>
      <w:proofErr w:type="spellEnd"/>
      <w:r w:rsidRPr="00772E15">
        <w:rPr>
          <w:rFonts w:ascii="Open Sans" w:hAnsi="Open Sans" w:cs="Open Sans"/>
          <w:sz w:val="24"/>
          <w:szCs w:val="24"/>
        </w:rPr>
        <w:t xml:space="preserve"> externa, visto que a matéria objeto desta ação depende do julgamento da ação nº 0001565-63.2017.5.10.0013. Saliente-se, ainda, que a iniciativa da parte mostra diligência e cautela, especialmente quanto às questões alusivas à prescrição, considerando os temas repetitivos n</w:t>
      </w:r>
      <w:r w:rsidRPr="00772E15">
        <w:rPr>
          <w:rFonts w:ascii="Open Sans" w:hAnsi="Open Sans" w:cs="Open Sans"/>
          <w:sz w:val="24"/>
          <w:szCs w:val="24"/>
          <w:vertAlign w:val="superscript"/>
        </w:rPr>
        <w:t>os</w:t>
      </w:r>
      <w:r w:rsidRPr="00772E15">
        <w:rPr>
          <w:rFonts w:ascii="Open Sans" w:hAnsi="Open Sans" w:cs="Open Sans"/>
          <w:sz w:val="24"/>
          <w:szCs w:val="24"/>
        </w:rPr>
        <w:t xml:space="preserve"> 1.021 e 955 do STJ, que enunciam a necessidade de provocação desta Justiça Especializada para obter a reparação do prejuízo atrelado à impossibilidade de inclusão dos reflexos de quaisquer verbas remuneratórias reconhecidas pela Justiça do Trabalho nos cálculos da renda </w:t>
      </w:r>
      <w:proofErr w:type="gramStart"/>
      <w:r w:rsidRPr="00772E15">
        <w:rPr>
          <w:rFonts w:ascii="Open Sans" w:hAnsi="Open Sans" w:cs="Open Sans"/>
          <w:sz w:val="24"/>
          <w:szCs w:val="24"/>
        </w:rPr>
        <w:t>mensal</w:t>
      </w:r>
      <w:proofErr w:type="gramEnd"/>
      <w:r w:rsidRPr="00772E15">
        <w:rPr>
          <w:rFonts w:ascii="Open Sans" w:hAnsi="Open Sans" w:cs="Open Sans"/>
          <w:sz w:val="24"/>
          <w:szCs w:val="24"/>
        </w:rPr>
        <w:t xml:space="preserve"> inicial dos benefícios de complementação de aposentadoria já concedidos – teses fixadas pouco antes do ajuizamento da presente reclamação. A suspensão do feito coaduna-se também com os princípios que consagram a efetividade da tutela jurisdicional e a economia processual, já que preserva atos já praticados e que teriam que ser repetidos futuramente, caso o direito às horas extras fosse efetivamente reconhecido. </w:t>
      </w:r>
      <w:proofErr w:type="gramStart"/>
      <w:r w:rsidRPr="00772E15">
        <w:rPr>
          <w:rFonts w:ascii="Open Sans" w:hAnsi="Open Sans" w:cs="Open Sans"/>
          <w:sz w:val="24"/>
          <w:szCs w:val="24"/>
        </w:rPr>
        <w:t>Recurso de revista conhecido e provido.”</w:t>
      </w:r>
      <w:proofErr w:type="gramEnd"/>
      <w:r w:rsidRPr="00772E15">
        <w:rPr>
          <w:rFonts w:ascii="Open Sans" w:hAnsi="Open Sans" w:cs="Open Sans"/>
          <w:sz w:val="24"/>
          <w:szCs w:val="24"/>
        </w:rPr>
        <w:t xml:space="preserve"> (</w:t>
      </w:r>
      <w:hyperlink r:id="rId20" w:history="1">
        <w:r w:rsidRPr="00772E15">
          <w:rPr>
            <w:rStyle w:val="Hyperlink"/>
            <w:rFonts w:ascii="Open Sans" w:hAnsi="Open Sans" w:cs="Open Sans"/>
            <w:sz w:val="24"/>
            <w:szCs w:val="24"/>
          </w:rPr>
          <w:t>TST-RR-166-19.2019.5.10.0016</w:t>
        </w:r>
      </w:hyperlink>
      <w:r w:rsidRPr="00772E15">
        <w:rPr>
          <w:rFonts w:ascii="Open Sans" w:hAnsi="Open Sans" w:cs="Open Sans"/>
          <w:sz w:val="24"/>
          <w:szCs w:val="24"/>
        </w:rPr>
        <w:t>, 7ª Turma, rel. Min. Cláudio Mascarenhas Brandão, julgado em 9/3/2022.)</w:t>
      </w:r>
    </w:p>
    <w:p w14:paraId="37EB1258" w14:textId="77777777" w:rsidR="002A1295" w:rsidRDefault="002A1295" w:rsidP="00E74527">
      <w:pPr>
        <w:ind w:left="-284" w:right="368"/>
        <w:jc w:val="both"/>
        <w:rPr>
          <w:rFonts w:ascii="Open Sans" w:hAnsi="Open Sans" w:cs="Open Sans"/>
          <w:sz w:val="24"/>
          <w:szCs w:val="24"/>
        </w:rPr>
      </w:pPr>
    </w:p>
    <w:p w14:paraId="2F86ABCC" w14:textId="77777777" w:rsidR="00772E15" w:rsidRPr="00772E15" w:rsidRDefault="00772E15" w:rsidP="00772E15">
      <w:pPr>
        <w:ind w:left="-284" w:right="368"/>
        <w:jc w:val="both"/>
        <w:rPr>
          <w:rFonts w:ascii="Open Sans" w:hAnsi="Open Sans" w:cs="Open Sans"/>
          <w:sz w:val="24"/>
          <w:szCs w:val="24"/>
        </w:rPr>
      </w:pPr>
      <w:r w:rsidRPr="00772E15">
        <w:rPr>
          <w:rFonts w:ascii="Open Sans" w:hAnsi="Open Sans" w:cs="Open Sans"/>
          <w:sz w:val="24"/>
          <w:szCs w:val="24"/>
        </w:rPr>
        <w:t xml:space="preserve">“[...] RECURSO DE REVISTA. LEI Nº 13.467/2017. AÇÃO COLETIVA. ATUAÇÃO DE ENTE SINDICAL COMO SUBSTITUTO PROCESSUAL. INTERVENÇÃO DO MINISTÉRIO PÚBLICO DO TRABALHO. NÃO OBRIGATORIEDADE. INEXISTÊNCIA DE NULIDADE PROCESSUAL. TRANSCENDÊNCIA POLÍTICA RECONHECIDA. A colenda </w:t>
      </w:r>
      <w:proofErr w:type="gramStart"/>
      <w:r w:rsidRPr="00772E15">
        <w:rPr>
          <w:rFonts w:ascii="Open Sans" w:hAnsi="Open Sans" w:cs="Open Sans"/>
          <w:sz w:val="24"/>
          <w:szCs w:val="24"/>
        </w:rPr>
        <w:t>SbDI</w:t>
      </w:r>
      <w:proofErr w:type="gramEnd"/>
      <w:r w:rsidRPr="00772E15">
        <w:rPr>
          <w:rFonts w:ascii="Open Sans" w:hAnsi="Open Sans" w:cs="Open Sans"/>
          <w:sz w:val="24"/>
          <w:szCs w:val="24"/>
        </w:rPr>
        <w:t>-2 deste Tribunal Superior, no julgamento do processo nº TST-RO-136-62.2014.5.08.0000, Redator Designado Ministro: Renato de Lacerda Paiva, firmou entendimento no sentido da inexistência de nulidade do processo por ausência de intervenção do Órgão Ministerial, como fiscal da ordem jurídica, ao fundamento de que o sindicato, ao ajuizar ação coletiva para defesa dos direitos dos empregados de sua categoria, agiu na condição de substituto processual, como autorizado pela Consolidação das Leis do Trabalho e pela Constituição Federal, não se tratando da hipótese prevista na Lei nº 8.078/90, que trata de ações civis coletivas, que objetivam a defesa do consumidor, devendo ser aplicada subsidiariamente tão somente nos casos de omissão das normas de processo do trabalho, que não é o caso em questão. Logo, se não há obrigatoriedade de intervenção do MPT, não subsiste a nulidade do processo, concluindo-se que o TRT erigiu obstáculo processual inexistente, incorrendo em violação do artigo 5º, LV, da CF. Recurso de revista conhecido e provido, para afastar a nulidade do processo e determinar o retorno dos autos ao TRT de origem, a fim de que julgue o apelo ordinário do sindicato autor, como entender de direito.” (</w:t>
      </w:r>
      <w:hyperlink r:id="rId21" w:history="1">
        <w:r w:rsidRPr="00772E15">
          <w:rPr>
            <w:rStyle w:val="Hyperlink"/>
            <w:rFonts w:ascii="Open Sans" w:hAnsi="Open Sans" w:cs="Open Sans"/>
            <w:sz w:val="24"/>
            <w:szCs w:val="24"/>
          </w:rPr>
          <w:t>TST-RR-1313-</w:t>
        </w:r>
        <w:r w:rsidRPr="00772E15">
          <w:rPr>
            <w:rStyle w:val="Hyperlink"/>
            <w:rFonts w:ascii="Open Sans" w:hAnsi="Open Sans" w:cs="Open Sans"/>
            <w:sz w:val="24"/>
            <w:szCs w:val="24"/>
          </w:rPr>
          <w:lastRenderedPageBreak/>
          <w:t>92.2014.5.20.0011</w:t>
        </w:r>
      </w:hyperlink>
      <w:r w:rsidRPr="00772E15">
        <w:rPr>
          <w:rFonts w:ascii="Open Sans" w:hAnsi="Open Sans" w:cs="Open Sans"/>
          <w:sz w:val="24"/>
          <w:szCs w:val="24"/>
        </w:rPr>
        <w:t>, 7ª Turma, rel. Min. Cláudio Mascarenhas Brandão, julgado em 9/3/2022.)</w:t>
      </w:r>
    </w:p>
    <w:p w14:paraId="307FBD1C" w14:textId="77777777" w:rsidR="00772E15" w:rsidRDefault="00772E15" w:rsidP="00E74527">
      <w:pPr>
        <w:ind w:left="-284" w:right="368"/>
        <w:jc w:val="both"/>
        <w:rPr>
          <w:rFonts w:ascii="Open Sans" w:hAnsi="Open Sans" w:cs="Open Sans"/>
          <w:sz w:val="24"/>
          <w:szCs w:val="24"/>
        </w:rPr>
      </w:pPr>
    </w:p>
    <w:p w14:paraId="01D19E51" w14:textId="77777777" w:rsidR="00772E15" w:rsidRPr="00772E15" w:rsidRDefault="00772E15" w:rsidP="00772E15">
      <w:pPr>
        <w:ind w:left="-284" w:right="368"/>
        <w:jc w:val="both"/>
        <w:rPr>
          <w:rFonts w:ascii="Open Sans" w:hAnsi="Open Sans" w:cs="Open Sans"/>
          <w:sz w:val="24"/>
          <w:szCs w:val="24"/>
        </w:rPr>
      </w:pPr>
      <w:r w:rsidRPr="00772E15">
        <w:rPr>
          <w:rFonts w:ascii="Open Sans" w:hAnsi="Open Sans" w:cs="Open Sans"/>
          <w:sz w:val="24"/>
          <w:szCs w:val="24"/>
        </w:rPr>
        <w:t xml:space="preserve">“RECURSOS DE REVISTA DOS RÉUS. LEI Nº 13.467/2017. RESPONSABILIDADE SOLIDÁRIA. GRUPO ECONÔMICO POR COORDENAÇÃO. RESPONSABILIDADE EXECUTIVA SECUNDÁRIA. APLICAÇÃO DA REGRA PREVISTA NO ARTIGO 790 DO CPC. JURISPRUDÊNCIA DO STJ. DIVERGÊNCIA ATUAL ENTRE TURMAS DESTA CORTE. APLICAÇÃO DO ARTIGO 2º, §§ 2º e 3º DA CLT, COM A REDAÇÃO DADA PELA LEI Nº 13.467/17 AOS PROCESSOS EM CURSO, AINDA QUE A RELAÇÃO JURÍDICA MATERIAL TENHA OCORRIDO ANTES DA VIGÊNCIA DA REFERIDA LEI. MATÉRIA COMUM. ANÁLISE CONJUNTA. TRANSCENDÊNCIA POLÍTICA CONSTATADA. A jurisprudência desta 7ª Turma se firmou no sentido de ser possível a configuração de grupo econômico "por coordenação", mesmo diante da ausência de hierarquia, desde que as empresas integrantes do grupo comunguem dos mesmos interesses. Segundo o referido entendimento, o artigo 2º, § 2º, da CLT, em sua redação anterior, disciplinava apenas uma das modalidades de formação do grupo econômico e não impede que a sua configuração possa ser definida por outros critérios. Por sua vez, a </w:t>
      </w:r>
      <w:proofErr w:type="spellStart"/>
      <w:proofErr w:type="gramStart"/>
      <w:r w:rsidRPr="00772E15">
        <w:rPr>
          <w:rFonts w:ascii="Open Sans" w:hAnsi="Open Sans" w:cs="Open Sans"/>
          <w:sz w:val="24"/>
          <w:szCs w:val="24"/>
        </w:rPr>
        <w:t>SbDI</w:t>
      </w:r>
      <w:proofErr w:type="spellEnd"/>
      <w:proofErr w:type="gramEnd"/>
      <w:r w:rsidRPr="00772E15">
        <w:rPr>
          <w:rFonts w:ascii="Open Sans" w:hAnsi="Open Sans" w:cs="Open Sans"/>
          <w:sz w:val="24"/>
          <w:szCs w:val="24"/>
        </w:rPr>
        <w:t xml:space="preserve">-I desta Corte, no julgamento do E-ED-RR-214940-39.2006.5.02.0472, Relator Ministro Horácio Raymundo de Senna Pires, firmou a tese no sentido de que </w:t>
      </w:r>
      <w:r w:rsidRPr="00772E15">
        <w:rPr>
          <w:rFonts w:ascii="Open Sans" w:hAnsi="Open Sans" w:cs="Open Sans"/>
          <w:i/>
          <w:sz w:val="24"/>
          <w:szCs w:val="24"/>
        </w:rPr>
        <w:t>“o simples fato de as empresas possuírem sócios em comum não autoriza o reconhecimento de grupo econômico”</w:t>
      </w:r>
      <w:r w:rsidRPr="00772E15">
        <w:rPr>
          <w:rFonts w:ascii="Open Sans" w:hAnsi="Open Sans" w:cs="Open Sans"/>
          <w:sz w:val="24"/>
          <w:szCs w:val="24"/>
        </w:rPr>
        <w:t xml:space="preserve">. Assim, no caso, mostra-se plenamente possível a aplicação analógica de outras fontes do direito que admitem a formação do grupo econômico com base na comunhão de interesses, a exemplo do artigo 3º, § 2º, da Lei nº 5.889/73, que, já antes da vigência da Lei nº 13.467/17, estabelecia a responsabilidade solidária do grupo por coordenação no âmbito rural. De todo modo, ainda que se entenda que tema se encontra suficientemente debatido e uniformizado em sentido contrário pela SBDI-1, julga-se existir novo fundamento a justificar a manutenção da jurisprudência desta e. Turma. Com a entrada em vigor da Lei nº 13.467/17, a redação do § 2º do artigo 2º da CLT foi alterada e incluído o § 3º, para contemplar a modalidade </w:t>
      </w:r>
      <w:proofErr w:type="gramStart"/>
      <w:r w:rsidRPr="00772E15">
        <w:rPr>
          <w:rFonts w:ascii="Open Sans" w:hAnsi="Open Sans" w:cs="Open Sans"/>
          <w:sz w:val="24"/>
          <w:szCs w:val="24"/>
        </w:rPr>
        <w:t>de</w:t>
      </w:r>
      <w:proofErr w:type="gramEnd"/>
      <w:r w:rsidRPr="00772E15">
        <w:rPr>
          <w:rFonts w:ascii="Open Sans" w:hAnsi="Open Sans" w:cs="Open Sans"/>
          <w:sz w:val="24"/>
          <w:szCs w:val="24"/>
        </w:rPr>
        <w:t xml:space="preserve"> grupo econômico formado a partir da comunhão de interesses e atuação conjunta das empresas. Mencionado artigo também deve ser aplicado às relações iniciadas ou já consolidadas antes da vigência da mencionada Lei nº 13.467/17. Consoante se verifica da referida norma, a regra nela estabelecida é voltada para a responsabilidade patrimonial executiva secundária das empresas integrantes do grupo, prevista no artigo 790 do CPC, que leva em consideração </w:t>
      </w:r>
      <w:r w:rsidRPr="00772E15">
        <w:rPr>
          <w:rFonts w:ascii="Open Sans" w:hAnsi="Open Sans" w:cs="Open Sans"/>
          <w:i/>
          <w:sz w:val="24"/>
          <w:szCs w:val="24"/>
        </w:rPr>
        <w:t>“tão somente, a participação de determinado sujeito no processo, sem que, necessariamente, essa participação decorra da ligação do legitimado com o direito material”</w:t>
      </w:r>
      <w:r w:rsidRPr="00772E15">
        <w:rPr>
          <w:rFonts w:ascii="Open Sans" w:hAnsi="Open Sans" w:cs="Open Sans"/>
          <w:sz w:val="24"/>
          <w:szCs w:val="24"/>
        </w:rPr>
        <w:t xml:space="preserve">. É o que extrai da expressão </w:t>
      </w:r>
      <w:r w:rsidRPr="00772E15">
        <w:rPr>
          <w:rFonts w:ascii="Open Sans" w:hAnsi="Open Sans" w:cs="Open Sans"/>
          <w:i/>
          <w:sz w:val="24"/>
          <w:szCs w:val="24"/>
        </w:rPr>
        <w:t>“serão responsáveis solidariamente pelas obrigações decorrentes da relação de emprego”</w:t>
      </w:r>
      <w:r w:rsidRPr="00772E15">
        <w:rPr>
          <w:rFonts w:ascii="Open Sans" w:hAnsi="Open Sans" w:cs="Open Sans"/>
          <w:sz w:val="24"/>
          <w:szCs w:val="24"/>
        </w:rPr>
        <w:t xml:space="preserve">. Tal responsabilidade, quando não admitida formalmente </w:t>
      </w:r>
      <w:proofErr w:type="gramStart"/>
      <w:r w:rsidRPr="00772E15">
        <w:rPr>
          <w:rFonts w:ascii="Open Sans" w:hAnsi="Open Sans" w:cs="Open Sans"/>
          <w:sz w:val="24"/>
          <w:szCs w:val="24"/>
        </w:rPr>
        <w:t>a</w:t>
      </w:r>
      <w:proofErr w:type="gramEnd"/>
      <w:r w:rsidRPr="00772E15">
        <w:rPr>
          <w:rFonts w:ascii="Open Sans" w:hAnsi="Open Sans" w:cs="Open Sans"/>
          <w:sz w:val="24"/>
          <w:szCs w:val="24"/>
        </w:rPr>
        <w:t xml:space="preserve"> constituição do grupo, somente é determinada em juízo quando constatados o descumprimento da obrigação e a ausência de patrimônio do empregador capaz de suportá-la. Isso porque, se as empresas integrantes do grupo forem demandadas, nesta condição, desde a fase de conhecimento, nenhuma dúvida haverá quanto ao fato de figurarem na relação jurídico-processual na condição de </w:t>
      </w:r>
      <w:r w:rsidRPr="00772E15">
        <w:rPr>
          <w:rFonts w:ascii="Open Sans" w:hAnsi="Open Sans" w:cs="Open Sans"/>
          <w:sz w:val="24"/>
          <w:szCs w:val="24"/>
        </w:rPr>
        <w:lastRenderedPageBreak/>
        <w:t xml:space="preserve">devedoras solidárias e, por conseguinte, legitimadas passivas primárias na execução, situação que permite ao credor exercer a opção que lhe assegura o artigo 275 do Código Civil. E não há novidade nesse aspecto, em face da diferença existente entre </w:t>
      </w:r>
      <w:r w:rsidRPr="00772E15">
        <w:rPr>
          <w:rFonts w:ascii="Open Sans" w:hAnsi="Open Sans" w:cs="Open Sans"/>
          <w:i/>
          <w:sz w:val="24"/>
          <w:szCs w:val="24"/>
        </w:rPr>
        <w:t>“débito”</w:t>
      </w:r>
      <w:r w:rsidRPr="00772E15">
        <w:rPr>
          <w:rFonts w:ascii="Open Sans" w:hAnsi="Open Sans" w:cs="Open Sans"/>
          <w:sz w:val="24"/>
          <w:szCs w:val="24"/>
        </w:rPr>
        <w:t xml:space="preserve"> e </w:t>
      </w:r>
      <w:r w:rsidRPr="00772E15">
        <w:rPr>
          <w:rFonts w:ascii="Open Sans" w:hAnsi="Open Sans" w:cs="Open Sans"/>
          <w:i/>
          <w:sz w:val="24"/>
          <w:szCs w:val="24"/>
        </w:rPr>
        <w:t>“responsabilidade”</w:t>
      </w:r>
      <w:r w:rsidRPr="00772E15">
        <w:rPr>
          <w:rFonts w:ascii="Open Sans" w:hAnsi="Open Sans" w:cs="Open Sans"/>
          <w:sz w:val="24"/>
          <w:szCs w:val="24"/>
        </w:rPr>
        <w:t xml:space="preserve"> e, mesmo nesta, a existência de responsabilidades primária e secundária, aquela atribuída ao devedor da obrigação, ou seja, quem efetivamente a contraiu (</w:t>
      </w:r>
      <w:proofErr w:type="spellStart"/>
      <w:r w:rsidRPr="00772E15">
        <w:rPr>
          <w:rFonts w:ascii="Open Sans" w:hAnsi="Open Sans" w:cs="Open Sans"/>
          <w:sz w:val="24"/>
          <w:szCs w:val="24"/>
        </w:rPr>
        <w:t>Shuld</w:t>
      </w:r>
      <w:proofErr w:type="spellEnd"/>
      <w:r w:rsidRPr="00772E15">
        <w:rPr>
          <w:rFonts w:ascii="Open Sans" w:hAnsi="Open Sans" w:cs="Open Sans"/>
          <w:sz w:val="24"/>
          <w:szCs w:val="24"/>
        </w:rPr>
        <w:t>), e, esta, a terceiro que não era originariamente vinculado (</w:t>
      </w:r>
      <w:proofErr w:type="spellStart"/>
      <w:r w:rsidRPr="00772E15">
        <w:rPr>
          <w:rFonts w:ascii="Open Sans" w:hAnsi="Open Sans" w:cs="Open Sans"/>
          <w:sz w:val="24"/>
          <w:szCs w:val="24"/>
        </w:rPr>
        <w:t>Haftung</w:t>
      </w:r>
      <w:proofErr w:type="spellEnd"/>
      <w:r w:rsidRPr="00772E15">
        <w:rPr>
          <w:rFonts w:ascii="Open Sans" w:hAnsi="Open Sans" w:cs="Open Sans"/>
          <w:sz w:val="24"/>
          <w:szCs w:val="24"/>
        </w:rPr>
        <w:t xml:space="preserve">). A peculiaridade do Direito Processual do Trabalho é existir um sujeito passivo específico, na condição de responsável executivo secundário – o grupo econômico empresarial –, que, na execução, ocupa o mesmo papel reservado aos demais legitimados passivos previstos no artigo 790 do CPC, </w:t>
      </w:r>
      <w:proofErr w:type="gramStart"/>
      <w:r w:rsidRPr="00772E15">
        <w:rPr>
          <w:rFonts w:ascii="Open Sans" w:hAnsi="Open Sans" w:cs="Open Sans"/>
          <w:sz w:val="24"/>
          <w:szCs w:val="24"/>
        </w:rPr>
        <w:t>alguns deles igualmente aplicáveis</w:t>
      </w:r>
      <w:proofErr w:type="gramEnd"/>
      <w:r w:rsidRPr="00772E15">
        <w:rPr>
          <w:rFonts w:ascii="Open Sans" w:hAnsi="Open Sans" w:cs="Open Sans"/>
          <w:sz w:val="24"/>
          <w:szCs w:val="24"/>
        </w:rPr>
        <w:t xml:space="preserve"> à seara processual trabalhista, como o sócio e demais responsáveis, nos casos da desconsideração da pessoa jurídica (incisos II e VII). Por isso, a jurisprudência desta Corte não exige que a empresa participante do grupo conste do título executivo judicial como pressuposto para integrar a lide somente na fase de execução, fato que ensejou o cancelamento da Súmula nº 205, o que se mostrou coerente na medida em que reconhece o grupo como empregador único (Súmula nº 129), tanto que não admite a configuração de múltiplas relações de emprego nas situações em que o trabalhador presta serviços para as diversas empresas que o compõem, nos </w:t>
      </w:r>
      <w:proofErr w:type="gramStart"/>
      <w:r w:rsidRPr="00772E15">
        <w:rPr>
          <w:rFonts w:ascii="Open Sans" w:hAnsi="Open Sans" w:cs="Open Sans"/>
          <w:sz w:val="24"/>
          <w:szCs w:val="24"/>
        </w:rPr>
        <w:t>mesmos local</w:t>
      </w:r>
      <w:proofErr w:type="gramEnd"/>
      <w:r w:rsidRPr="00772E15">
        <w:rPr>
          <w:rFonts w:ascii="Open Sans" w:hAnsi="Open Sans" w:cs="Open Sans"/>
          <w:sz w:val="24"/>
          <w:szCs w:val="24"/>
        </w:rPr>
        <w:t xml:space="preserve"> e horário de trabalho, e por elas é remunerado. Como a matéria da responsabilidade do grupo econômico é própria da execução, somente surge quando o devedor primário não dispõe de patrimônio suficiente para a garantia da execução e integra grupo econômico. Não depende, portanto, de existência pretérita. Essencial é, pois, que, ao tempo do inadimplemento da obrigação e da constatação da inexistência de patrimônio do obrigado primário capaz de garantir a execução, o novo legitimado passivo integre o grupo econômico. Terá, a partir de então, no momento processual adequado e segundo as regras pertinentes, oferecer as defesas que entender cabíveis. Não se trata, por conseguinte, de aplicação retroativa do novo regramento; ao contrário, é aplicação contemporânea à prática do ato no curso da execução, exatamente no momento processual em que se lhe atribui </w:t>
      </w:r>
      <w:proofErr w:type="gramStart"/>
      <w:r w:rsidRPr="00772E15">
        <w:rPr>
          <w:rFonts w:ascii="Open Sans" w:hAnsi="Open Sans" w:cs="Open Sans"/>
          <w:sz w:val="24"/>
          <w:szCs w:val="24"/>
        </w:rPr>
        <w:t>a</w:t>
      </w:r>
      <w:proofErr w:type="gramEnd"/>
      <w:r w:rsidRPr="00772E15">
        <w:rPr>
          <w:rFonts w:ascii="Open Sans" w:hAnsi="Open Sans" w:cs="Open Sans"/>
          <w:sz w:val="24"/>
          <w:szCs w:val="24"/>
        </w:rPr>
        <w:t xml:space="preserve"> responsabilidade executiva secundária. Assim, por se tratar de norma com natureza também processual, nesse ponto, nada impede sua aplicação imediata aos processos em curso, ainda que a relação jurídica material tenha se consolidado antes da vigência da Lei nº 13.467/17. Destarte, considerando que, no caso em análise, ficou constatada a conjugação de interesses e a atuação das reclamadas em ramos conexos, patente a caracterização do grupo econômico e a condição de responsável executivo secundário das empresas que o compõem e, pois, de legitimadas passivas. </w:t>
      </w:r>
      <w:proofErr w:type="gramStart"/>
      <w:r w:rsidRPr="00772E15">
        <w:rPr>
          <w:rFonts w:ascii="Open Sans" w:hAnsi="Open Sans" w:cs="Open Sans"/>
          <w:sz w:val="24"/>
          <w:szCs w:val="24"/>
        </w:rPr>
        <w:t>Recursos de revista não conhecidos.”</w:t>
      </w:r>
      <w:proofErr w:type="gramEnd"/>
      <w:r w:rsidRPr="00772E15">
        <w:rPr>
          <w:rFonts w:ascii="Open Sans" w:hAnsi="Open Sans" w:cs="Open Sans"/>
          <w:sz w:val="24"/>
          <w:szCs w:val="24"/>
        </w:rPr>
        <w:t xml:space="preserve"> (</w:t>
      </w:r>
      <w:hyperlink r:id="rId22" w:history="1">
        <w:r w:rsidRPr="00772E15">
          <w:rPr>
            <w:rStyle w:val="Hyperlink"/>
            <w:rFonts w:ascii="Open Sans" w:hAnsi="Open Sans" w:cs="Open Sans"/>
            <w:sz w:val="24"/>
            <w:szCs w:val="24"/>
          </w:rPr>
          <w:t>TST-RR-10581-48.2017.5.03.0009</w:t>
        </w:r>
      </w:hyperlink>
      <w:r w:rsidRPr="00772E15">
        <w:rPr>
          <w:rFonts w:ascii="Open Sans" w:hAnsi="Open Sans" w:cs="Open Sans"/>
          <w:sz w:val="24"/>
          <w:szCs w:val="24"/>
        </w:rPr>
        <w:t>, 7ª Turma, rel. Min. Cláudio Mascarenhas Brandão, julgado em 16/3/2022.)</w:t>
      </w:r>
    </w:p>
    <w:p w14:paraId="4AD391DA" w14:textId="77777777" w:rsidR="00E74527" w:rsidRDefault="00E74527" w:rsidP="00E74527">
      <w:pPr>
        <w:ind w:left="-284" w:right="368"/>
        <w:jc w:val="both"/>
        <w:rPr>
          <w:rFonts w:ascii="Open Sans" w:hAnsi="Open Sans" w:cs="Open Sans"/>
          <w:sz w:val="24"/>
          <w:szCs w:val="24"/>
        </w:rPr>
      </w:pPr>
    </w:p>
    <w:p w14:paraId="760626DC" w14:textId="77777777" w:rsidR="00772E15" w:rsidRDefault="00772E15" w:rsidP="00E74527">
      <w:pPr>
        <w:ind w:left="-284" w:right="368"/>
        <w:jc w:val="both"/>
        <w:rPr>
          <w:rFonts w:ascii="Open Sans" w:hAnsi="Open Sans" w:cs="Open Sans"/>
          <w:sz w:val="24"/>
          <w:szCs w:val="24"/>
        </w:rPr>
      </w:pPr>
      <w:bookmarkStart w:id="0" w:name="_GoBack"/>
      <w:bookmarkEnd w:id="0"/>
    </w:p>
    <w:p w14:paraId="650DB3C4" w14:textId="77777777" w:rsidR="00772E15" w:rsidRDefault="00772E15" w:rsidP="00E74527">
      <w:pPr>
        <w:ind w:left="-284" w:right="368"/>
        <w:jc w:val="both"/>
        <w:rPr>
          <w:rFonts w:ascii="Open Sans" w:hAnsi="Open Sans" w:cs="Open Sans"/>
          <w:sz w:val="24"/>
          <w:szCs w:val="24"/>
        </w:rPr>
      </w:pPr>
    </w:p>
    <w:p w14:paraId="59B64AFB" w14:textId="77777777" w:rsidR="00772E15" w:rsidRDefault="00772E15" w:rsidP="00E74527">
      <w:pPr>
        <w:ind w:left="-284" w:right="368"/>
        <w:jc w:val="both"/>
        <w:rPr>
          <w:rFonts w:ascii="Open Sans" w:hAnsi="Open Sans" w:cs="Open Sans"/>
          <w:sz w:val="24"/>
          <w:szCs w:val="24"/>
        </w:rPr>
      </w:pPr>
    </w:p>
    <w:p w14:paraId="416764C9" w14:textId="77777777" w:rsidR="00772E15" w:rsidRDefault="00772E15" w:rsidP="00E74527">
      <w:pPr>
        <w:ind w:left="-284" w:right="368"/>
        <w:jc w:val="both"/>
        <w:rPr>
          <w:rFonts w:ascii="Open Sans" w:hAnsi="Open Sans" w:cs="Open Sans"/>
          <w:sz w:val="24"/>
          <w:szCs w:val="24"/>
        </w:rPr>
      </w:pPr>
    </w:p>
    <w:p w14:paraId="3692588C" w14:textId="77777777" w:rsidR="00772E15" w:rsidRDefault="00772E15" w:rsidP="00E74527">
      <w:pPr>
        <w:ind w:left="-284" w:right="368"/>
        <w:jc w:val="both"/>
        <w:rPr>
          <w:rFonts w:ascii="Open Sans" w:hAnsi="Open Sans" w:cs="Open Sans"/>
          <w:sz w:val="24"/>
          <w:szCs w:val="24"/>
        </w:rPr>
      </w:pPr>
    </w:p>
    <w:p w14:paraId="275BD16C" w14:textId="77777777" w:rsidR="00772E15" w:rsidRPr="003509A3" w:rsidRDefault="00772E15" w:rsidP="00E74527">
      <w:pPr>
        <w:ind w:left="-284" w:right="368"/>
        <w:jc w:val="both"/>
        <w:rPr>
          <w:rFonts w:ascii="Open Sans" w:hAnsi="Open Sans" w:cs="Open Sans"/>
          <w:sz w:val="24"/>
          <w:szCs w:val="24"/>
        </w:rPr>
      </w:pPr>
    </w:p>
    <w:p w14:paraId="4C33E7C9" w14:textId="77777777" w:rsidR="00184590" w:rsidRPr="003509A3" w:rsidRDefault="00503095" w:rsidP="00E74527">
      <w:pPr>
        <w:pStyle w:val="Corpodetexto"/>
        <w:pBdr>
          <w:top w:val="single" w:sz="4" w:space="1" w:color="auto"/>
          <w:left w:val="single" w:sz="4" w:space="0"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w:t>
      </w:r>
      <w:r w:rsidR="00184590" w:rsidRPr="003509A3">
        <w:rPr>
          <w:rFonts w:ascii="Open Sans" w:hAnsi="Open Sans" w:cs="Open Sans"/>
          <w:b w:val="0"/>
          <w:bCs w:val="0"/>
          <w:snapToGrid w:val="0"/>
          <w:sz w:val="24"/>
          <w:szCs w:val="24"/>
        </w:rPr>
        <w:t xml:space="preserve">Informativo TST é mantido pela </w:t>
      </w:r>
    </w:p>
    <w:p w14:paraId="7E4FD59E" w14:textId="77777777" w:rsidR="00184590" w:rsidRPr="003509A3" w:rsidRDefault="00184590" w:rsidP="00E74527">
      <w:pPr>
        <w:pStyle w:val="Corpodetexto"/>
        <w:pBdr>
          <w:top w:val="single" w:sz="4" w:space="1" w:color="auto"/>
          <w:left w:val="single" w:sz="4" w:space="0"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r w:rsidR="00F83AC5" w:rsidRPr="003509A3">
        <w:rPr>
          <w:rFonts w:ascii="Open Sans" w:hAnsi="Open Sans" w:cs="Open Sans"/>
          <w:b w:val="0"/>
          <w:bCs w:val="0"/>
          <w:snapToGrid w:val="0"/>
          <w:sz w:val="24"/>
          <w:szCs w:val="24"/>
        </w:rPr>
        <w:t>.</w:t>
      </w:r>
    </w:p>
    <w:p w14:paraId="57C3192A" w14:textId="77777777" w:rsidR="007F02D5" w:rsidRPr="003509A3" w:rsidRDefault="007F02D5" w:rsidP="00E74527">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14:paraId="72A94961" w14:textId="77777777" w:rsidR="007614F1" w:rsidRPr="003509A3" w:rsidRDefault="00184590" w:rsidP="00E74527">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Informações/Sugestões/Críticas: (61)3043</w:t>
      </w:r>
      <w:r w:rsidR="00352B27" w:rsidRPr="003509A3">
        <w:rPr>
          <w:rFonts w:ascii="Open Sans" w:hAnsi="Open Sans" w:cs="Open Sans"/>
          <w:snapToGrid w:val="0"/>
          <w:sz w:val="24"/>
          <w:szCs w:val="24"/>
        </w:rPr>
        <w:t>-</w:t>
      </w:r>
      <w:r w:rsidRPr="003509A3">
        <w:rPr>
          <w:rFonts w:ascii="Open Sans" w:hAnsi="Open Sans" w:cs="Open Sans"/>
          <w:snapToGrid w:val="0"/>
          <w:sz w:val="24"/>
          <w:szCs w:val="24"/>
        </w:rPr>
        <w:t>4</w:t>
      </w:r>
      <w:r w:rsidR="000303C3" w:rsidRPr="003509A3">
        <w:rPr>
          <w:rFonts w:ascii="Open Sans" w:hAnsi="Open Sans" w:cs="Open Sans"/>
          <w:snapToGrid w:val="0"/>
          <w:sz w:val="24"/>
          <w:szCs w:val="24"/>
        </w:rPr>
        <w:t>612</w:t>
      </w:r>
      <w:r w:rsidR="007F02D5" w:rsidRPr="003509A3">
        <w:rPr>
          <w:rFonts w:ascii="Open Sans" w:hAnsi="Open Sans" w:cs="Open Sans"/>
          <w:snapToGrid w:val="0"/>
          <w:sz w:val="24"/>
          <w:szCs w:val="24"/>
        </w:rPr>
        <w:t xml:space="preserve"> ou </w:t>
      </w:r>
      <w:hyperlink r:id="rId23" w:history="1">
        <w:r w:rsidR="005F0522" w:rsidRPr="003509A3">
          <w:rPr>
            <w:rStyle w:val="Hyperlink"/>
            <w:rFonts w:ascii="Open Sans" w:hAnsi="Open Sans" w:cs="Open Sans"/>
            <w:snapToGrid w:val="0"/>
            <w:sz w:val="24"/>
            <w:szCs w:val="24"/>
          </w:rPr>
          <w:t>cjur@tst.jus.br</w:t>
        </w:r>
      </w:hyperlink>
    </w:p>
    <w:p w14:paraId="6371085F" w14:textId="77777777" w:rsidR="007F02D5" w:rsidRPr="003509A3" w:rsidRDefault="007F02D5" w:rsidP="00E74527">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14:paraId="025B015A" w14:textId="77777777" w:rsidR="00B15004" w:rsidRPr="003509A3" w:rsidRDefault="009E534D" w:rsidP="00E74527">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4" w:history="1">
        <w:r w:rsidR="00B15004" w:rsidRPr="003509A3">
          <w:rPr>
            <w:rStyle w:val="Hyperlink"/>
            <w:rFonts w:ascii="Open Sans" w:hAnsi="Open Sans" w:cs="Open Sans"/>
            <w:snapToGrid w:val="0"/>
            <w:sz w:val="24"/>
            <w:szCs w:val="24"/>
          </w:rPr>
          <w:t>http://www.tst.jus.br/web/guest/informativo-tst</w:t>
        </w:r>
      </w:hyperlink>
    </w:p>
    <w:p w14:paraId="784F8F31" w14:textId="77777777" w:rsidR="00B15004" w:rsidRPr="003509A3" w:rsidRDefault="00B15004" w:rsidP="00E74527">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14:paraId="1F353F2B" w14:textId="77777777" w:rsidR="009E534D" w:rsidRPr="003509A3" w:rsidRDefault="009E534D" w:rsidP="00E74527">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5" w:history="1">
        <w:r w:rsidRPr="003509A3">
          <w:rPr>
            <w:rStyle w:val="Hyperlink"/>
            <w:rFonts w:ascii="Open Sans" w:hAnsi="Open Sans" w:cs="Open Sans"/>
            <w:snapToGrid w:val="0"/>
            <w:sz w:val="24"/>
            <w:szCs w:val="24"/>
          </w:rPr>
          <w:t>http://www.tst.jus.br/push</w:t>
        </w:r>
      </w:hyperlink>
    </w:p>
    <w:sectPr w:rsidR="009E534D" w:rsidRPr="003509A3" w:rsidSect="00FD7994">
      <w:headerReference w:type="default" r:id="rId26"/>
      <w:footerReference w:type="default" r:id="rId27"/>
      <w:headerReference w:type="first" r:id="rId28"/>
      <w:footerReference w:type="first" r:id="rId29"/>
      <w:type w:val="continuous"/>
      <w:pgSz w:w="11907" w:h="16839" w:code="9"/>
      <w:pgMar w:top="1701" w:right="567" w:bottom="851" w:left="147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2A1295" w:rsidRDefault="002A1295">
      <w:r>
        <w:separator/>
      </w:r>
    </w:p>
  </w:endnote>
  <w:endnote w:type="continuationSeparator" w:id="0">
    <w:p w14:paraId="629A26F6" w14:textId="77777777" w:rsidR="002A1295" w:rsidRDefault="002A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2A1295" w:rsidRDefault="002A129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55DF">
      <w:rPr>
        <w:rStyle w:val="Nmerodepgina"/>
        <w:noProof/>
      </w:rPr>
      <w:t>14</w:t>
    </w:r>
    <w:r>
      <w:rPr>
        <w:rStyle w:val="Nmerodepgina"/>
      </w:rPr>
      <w:fldChar w:fldCharType="end"/>
    </w:r>
  </w:p>
  <w:p w14:paraId="6A601A3A" w14:textId="77777777" w:rsidR="002A1295" w:rsidRDefault="002A1295">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2A1295" w:rsidRDefault="002A1295">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5A587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2A1295" w:rsidRDefault="002A1295">
      <w:r>
        <w:separator/>
      </w:r>
    </w:p>
  </w:footnote>
  <w:footnote w:type="continuationSeparator" w:id="0">
    <w:p w14:paraId="6840175B" w14:textId="77777777" w:rsidR="002A1295" w:rsidRDefault="002A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0608B3D8" w:rsidR="002A1295" w:rsidRPr="00AF45B3" w:rsidRDefault="002A1295" w:rsidP="00E21DD2">
    <w:pPr>
      <w:pStyle w:val="Corpodetexto"/>
      <w:ind w:right="510"/>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Pr>
        <w:rFonts w:ascii="Open Sans" w:hAnsi="Open Sans" w:cs="Open Sans"/>
        <w:color w:val="006699"/>
        <w:sz w:val="28"/>
        <w:szCs w:val="28"/>
      </w:rPr>
      <w:t>51</w:t>
    </w:r>
  </w:p>
  <w:p w14:paraId="02CA5011" w14:textId="6D04FA37" w:rsidR="002A1295" w:rsidRPr="00AF45B3" w:rsidRDefault="002A1295" w:rsidP="00E21DD2">
    <w:pPr>
      <w:pStyle w:val="Cabealho"/>
      <w:ind w:right="510"/>
      <w:jc w:val="right"/>
      <w:rPr>
        <w:rFonts w:ascii="Open Sans" w:hAnsi="Open Sans" w:cs="Open Sans"/>
        <w:i/>
        <w:iCs/>
        <w:color w:val="005DA2"/>
        <w:sz w:val="22"/>
        <w:szCs w:val="2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C36CDA">
      <w:rPr>
        <w:rFonts w:ascii="Open Sans" w:hAnsi="Open Sans" w:cs="Open Sans"/>
        <w:i/>
        <w:iCs/>
        <w:color w:val="005DA2"/>
        <w:sz w:val="22"/>
        <w:szCs w:val="22"/>
      </w:rPr>
      <w:t xml:space="preserve"> </w:t>
    </w: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 xml:space="preserve">7 a 18 de março </w:t>
    </w:r>
    <w:r w:rsidRPr="00AF45B3">
      <w:rPr>
        <w:rFonts w:ascii="Open Sans" w:hAnsi="Open Sans" w:cs="Open Sans"/>
        <w:i/>
        <w:iCs/>
        <w:color w:val="005DA2"/>
        <w:sz w:val="22"/>
        <w:szCs w:val="22"/>
      </w:rPr>
      <w:t>de 202</w:t>
    </w:r>
    <w:r>
      <w:rPr>
        <w:rFonts w:ascii="Open Sans" w:hAnsi="Open Sans" w:cs="Open Sans"/>
        <w:i/>
        <w:iCs/>
        <w:color w:val="005DA2"/>
        <w:sz w:val="22"/>
        <w:szCs w:val="22"/>
      </w:rPr>
      <w:t>2</w:t>
    </w:r>
    <w:r w:rsidRPr="00AF45B3">
      <w:rPr>
        <w:rFonts w:ascii="Open Sans" w:hAnsi="Open Sans" w:cs="Open Sans"/>
        <w:i/>
        <w:iCs/>
        <w:color w:val="005DA2"/>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9957" w14:textId="0ABA6964" w:rsidR="002A1295" w:rsidRDefault="002A1295">
    <w:pPr>
      <w:pStyle w:val="Cabealho"/>
    </w:pPr>
    <w:r>
      <w:rPr>
        <w:noProof/>
      </w:rPr>
      <mc:AlternateContent>
        <mc:Choice Requires="wps">
          <w:drawing>
            <wp:anchor distT="0" distB="0" distL="114300" distR="114300" simplePos="0" relativeHeight="251661312" behindDoc="0" locked="0" layoutInCell="0" allowOverlap="1" wp14:anchorId="2C69D10F" wp14:editId="0A5CE590">
              <wp:simplePos x="0" y="0"/>
              <wp:positionH relativeFrom="column">
                <wp:posOffset>860764</wp:posOffset>
              </wp:positionH>
              <wp:positionV relativeFrom="paragraph">
                <wp:posOffset>81280</wp:posOffset>
              </wp:positionV>
              <wp:extent cx="2422800" cy="75600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14:paraId="2311036A" w14:textId="56081A8C" w:rsidR="002A1295" w:rsidRPr="00D50FBE" w:rsidRDefault="002A1295"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" o:allowincell="f" stroked="f">
              <v:textbox>
                <w:txbxContent>
                  <w:p w14:paraId="2311036A" w14:textId="56081A8C" w:rsidR="002A1295" w:rsidRPr="00D50FBE" w:rsidRDefault="002A1295"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813E71C" wp14:editId="12FCE56A">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14:paraId="7FEF40D8" w14:textId="77777777" w:rsidR="002A1295" w:rsidRDefault="002A1295">
    <w:pPr>
      <w:pStyle w:val="Cabealho"/>
    </w:pPr>
  </w:p>
  <w:p w14:paraId="76D35218" w14:textId="2892F312" w:rsidR="002A1295" w:rsidRDefault="002A1295">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2A1295" w:rsidRDefault="002A1295">
    <w:pPr>
      <w:pStyle w:val="Cabealho"/>
    </w:pPr>
  </w:p>
  <w:p w14:paraId="62769DEA" w14:textId="6333650F" w:rsidR="002A1295" w:rsidRPr="00CE124A" w:rsidRDefault="002A1295" w:rsidP="00E21DD2">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Pr>
        <w:rFonts w:ascii="Open Sans" w:hAnsi="Open Sans" w:cs="Open Sans"/>
        <w:b/>
        <w:color w:val="005DA2"/>
        <w:sz w:val="32"/>
        <w:szCs w:val="32"/>
      </w:rPr>
      <w:t>51</w:t>
    </w:r>
  </w:p>
  <w:p w14:paraId="1D2D7411" w14:textId="1D26B4C2" w:rsidR="002A1295" w:rsidRDefault="002A1295" w:rsidP="00FD7994">
    <w:pPr>
      <w:pStyle w:val="Cabealho"/>
      <w:ind w:right="510"/>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7 a 18 de março de 2022</w:t>
    </w:r>
    <w:r w:rsidRPr="00AF45B3">
      <w:rPr>
        <w:rFonts w:ascii="Open Sans" w:hAnsi="Open Sans" w:cs="Open Sans"/>
        <w:i/>
        <w:iCs/>
        <w:color w:val="005DA2"/>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56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76C"/>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28"/>
    <w:rsid w:val="000332F1"/>
    <w:rsid w:val="00034034"/>
    <w:rsid w:val="00040BBC"/>
    <w:rsid w:val="00041382"/>
    <w:rsid w:val="000425FC"/>
    <w:rsid w:val="000473A5"/>
    <w:rsid w:val="00047F3C"/>
    <w:rsid w:val="00050E85"/>
    <w:rsid w:val="0005125E"/>
    <w:rsid w:val="00052104"/>
    <w:rsid w:val="00052550"/>
    <w:rsid w:val="00052D74"/>
    <w:rsid w:val="00055A9D"/>
    <w:rsid w:val="00056752"/>
    <w:rsid w:val="0005765E"/>
    <w:rsid w:val="00057B87"/>
    <w:rsid w:val="0006020E"/>
    <w:rsid w:val="00063834"/>
    <w:rsid w:val="00064486"/>
    <w:rsid w:val="00065048"/>
    <w:rsid w:val="000665D5"/>
    <w:rsid w:val="00070DD1"/>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1A5B"/>
    <w:rsid w:val="000F260C"/>
    <w:rsid w:val="00102BD4"/>
    <w:rsid w:val="00106A93"/>
    <w:rsid w:val="001144F9"/>
    <w:rsid w:val="00114BFF"/>
    <w:rsid w:val="0011575C"/>
    <w:rsid w:val="00115E77"/>
    <w:rsid w:val="0011692E"/>
    <w:rsid w:val="00122C2A"/>
    <w:rsid w:val="0012383B"/>
    <w:rsid w:val="001257D7"/>
    <w:rsid w:val="00126A9E"/>
    <w:rsid w:val="0013008A"/>
    <w:rsid w:val="00130DCC"/>
    <w:rsid w:val="001365EE"/>
    <w:rsid w:val="00136E86"/>
    <w:rsid w:val="001370CC"/>
    <w:rsid w:val="00137403"/>
    <w:rsid w:val="00137564"/>
    <w:rsid w:val="00137DC1"/>
    <w:rsid w:val="00141630"/>
    <w:rsid w:val="00142C28"/>
    <w:rsid w:val="001444DA"/>
    <w:rsid w:val="00152238"/>
    <w:rsid w:val="001546D6"/>
    <w:rsid w:val="0015612D"/>
    <w:rsid w:val="001562A2"/>
    <w:rsid w:val="00161CDE"/>
    <w:rsid w:val="00161E91"/>
    <w:rsid w:val="00163142"/>
    <w:rsid w:val="001648F5"/>
    <w:rsid w:val="001677DC"/>
    <w:rsid w:val="00167E80"/>
    <w:rsid w:val="00176D15"/>
    <w:rsid w:val="00180140"/>
    <w:rsid w:val="0018174D"/>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A0C56"/>
    <w:rsid w:val="001B025A"/>
    <w:rsid w:val="001B2C08"/>
    <w:rsid w:val="001B560A"/>
    <w:rsid w:val="001C04D2"/>
    <w:rsid w:val="001C21FB"/>
    <w:rsid w:val="001C271F"/>
    <w:rsid w:val="001C3281"/>
    <w:rsid w:val="001C5885"/>
    <w:rsid w:val="001C6ABC"/>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861"/>
    <w:rsid w:val="001F2F34"/>
    <w:rsid w:val="001F3CD3"/>
    <w:rsid w:val="001F45E0"/>
    <w:rsid w:val="001F58BD"/>
    <w:rsid w:val="001F689A"/>
    <w:rsid w:val="00200A8C"/>
    <w:rsid w:val="002017D2"/>
    <w:rsid w:val="00204C97"/>
    <w:rsid w:val="00206810"/>
    <w:rsid w:val="00207149"/>
    <w:rsid w:val="00207D1D"/>
    <w:rsid w:val="00211D09"/>
    <w:rsid w:val="00212A1E"/>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973E0"/>
    <w:rsid w:val="002A1295"/>
    <w:rsid w:val="002A219D"/>
    <w:rsid w:val="002A22C6"/>
    <w:rsid w:val="002A37AE"/>
    <w:rsid w:val="002A521A"/>
    <w:rsid w:val="002A546D"/>
    <w:rsid w:val="002A5A74"/>
    <w:rsid w:val="002B0750"/>
    <w:rsid w:val="002B4738"/>
    <w:rsid w:val="002B518A"/>
    <w:rsid w:val="002B6377"/>
    <w:rsid w:val="002C2904"/>
    <w:rsid w:val="002C49CE"/>
    <w:rsid w:val="002C6261"/>
    <w:rsid w:val="002D0CF1"/>
    <w:rsid w:val="002D5A23"/>
    <w:rsid w:val="002E1277"/>
    <w:rsid w:val="002E34AB"/>
    <w:rsid w:val="002E3B9F"/>
    <w:rsid w:val="002E78CB"/>
    <w:rsid w:val="002F28E5"/>
    <w:rsid w:val="002F2E0F"/>
    <w:rsid w:val="002F3931"/>
    <w:rsid w:val="002F71BF"/>
    <w:rsid w:val="00305E83"/>
    <w:rsid w:val="003070C9"/>
    <w:rsid w:val="003074FC"/>
    <w:rsid w:val="0031207D"/>
    <w:rsid w:val="003137EF"/>
    <w:rsid w:val="00315A84"/>
    <w:rsid w:val="003200A0"/>
    <w:rsid w:val="00322E7E"/>
    <w:rsid w:val="00322F7A"/>
    <w:rsid w:val="00324A61"/>
    <w:rsid w:val="0033397A"/>
    <w:rsid w:val="003339E9"/>
    <w:rsid w:val="00334958"/>
    <w:rsid w:val="00340253"/>
    <w:rsid w:val="00340D16"/>
    <w:rsid w:val="00340E8D"/>
    <w:rsid w:val="00342846"/>
    <w:rsid w:val="00350184"/>
    <w:rsid w:val="003503FC"/>
    <w:rsid w:val="003509A3"/>
    <w:rsid w:val="00350ED0"/>
    <w:rsid w:val="00352B27"/>
    <w:rsid w:val="00353524"/>
    <w:rsid w:val="0035374D"/>
    <w:rsid w:val="00355A95"/>
    <w:rsid w:val="00361035"/>
    <w:rsid w:val="00363255"/>
    <w:rsid w:val="0036325E"/>
    <w:rsid w:val="00366D20"/>
    <w:rsid w:val="003671FE"/>
    <w:rsid w:val="0037018B"/>
    <w:rsid w:val="003708FD"/>
    <w:rsid w:val="003726D1"/>
    <w:rsid w:val="003745DE"/>
    <w:rsid w:val="0037667D"/>
    <w:rsid w:val="00377D5F"/>
    <w:rsid w:val="00380212"/>
    <w:rsid w:val="00383A89"/>
    <w:rsid w:val="00384075"/>
    <w:rsid w:val="00384531"/>
    <w:rsid w:val="00387F20"/>
    <w:rsid w:val="003908C5"/>
    <w:rsid w:val="00391575"/>
    <w:rsid w:val="00392A4F"/>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1ABD"/>
    <w:rsid w:val="004127FF"/>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846"/>
    <w:rsid w:val="00494DD1"/>
    <w:rsid w:val="004A094C"/>
    <w:rsid w:val="004A1432"/>
    <w:rsid w:val="004A14FC"/>
    <w:rsid w:val="004A2500"/>
    <w:rsid w:val="004A5264"/>
    <w:rsid w:val="004A5908"/>
    <w:rsid w:val="004A7C59"/>
    <w:rsid w:val="004B21AD"/>
    <w:rsid w:val="004B3120"/>
    <w:rsid w:val="004B49FB"/>
    <w:rsid w:val="004B63FB"/>
    <w:rsid w:val="004B74D0"/>
    <w:rsid w:val="004C011C"/>
    <w:rsid w:val="004C0FEA"/>
    <w:rsid w:val="004C14EA"/>
    <w:rsid w:val="004C2118"/>
    <w:rsid w:val="004C2612"/>
    <w:rsid w:val="004C749C"/>
    <w:rsid w:val="004C759F"/>
    <w:rsid w:val="004D6000"/>
    <w:rsid w:val="004D60CD"/>
    <w:rsid w:val="004D6415"/>
    <w:rsid w:val="004D697F"/>
    <w:rsid w:val="004D71E8"/>
    <w:rsid w:val="004E0EA6"/>
    <w:rsid w:val="004E1DD6"/>
    <w:rsid w:val="004E24CB"/>
    <w:rsid w:val="004E2E4B"/>
    <w:rsid w:val="004E393E"/>
    <w:rsid w:val="004E39DA"/>
    <w:rsid w:val="004E3BE3"/>
    <w:rsid w:val="004E4507"/>
    <w:rsid w:val="004E4619"/>
    <w:rsid w:val="004E77AD"/>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DE7"/>
    <w:rsid w:val="00536EDA"/>
    <w:rsid w:val="005405E7"/>
    <w:rsid w:val="00541717"/>
    <w:rsid w:val="005424CD"/>
    <w:rsid w:val="00543122"/>
    <w:rsid w:val="00543484"/>
    <w:rsid w:val="00543B94"/>
    <w:rsid w:val="005460BD"/>
    <w:rsid w:val="0055088E"/>
    <w:rsid w:val="005521C8"/>
    <w:rsid w:val="00552D4A"/>
    <w:rsid w:val="00553197"/>
    <w:rsid w:val="0055409E"/>
    <w:rsid w:val="00554139"/>
    <w:rsid w:val="005543D8"/>
    <w:rsid w:val="00555612"/>
    <w:rsid w:val="00556367"/>
    <w:rsid w:val="00556B35"/>
    <w:rsid w:val="005617FD"/>
    <w:rsid w:val="00561D76"/>
    <w:rsid w:val="005703D6"/>
    <w:rsid w:val="00572803"/>
    <w:rsid w:val="00573E13"/>
    <w:rsid w:val="005753DA"/>
    <w:rsid w:val="005767AA"/>
    <w:rsid w:val="005811A4"/>
    <w:rsid w:val="005833A4"/>
    <w:rsid w:val="00583DCD"/>
    <w:rsid w:val="00584496"/>
    <w:rsid w:val="005848D7"/>
    <w:rsid w:val="00584F82"/>
    <w:rsid w:val="00587673"/>
    <w:rsid w:val="005909E6"/>
    <w:rsid w:val="00591DFA"/>
    <w:rsid w:val="005A30AA"/>
    <w:rsid w:val="005A4ED6"/>
    <w:rsid w:val="005A5695"/>
    <w:rsid w:val="005A587A"/>
    <w:rsid w:val="005A7F18"/>
    <w:rsid w:val="005B031E"/>
    <w:rsid w:val="005B0A1C"/>
    <w:rsid w:val="005B22CE"/>
    <w:rsid w:val="005B2F00"/>
    <w:rsid w:val="005B3792"/>
    <w:rsid w:val="005B523B"/>
    <w:rsid w:val="005B57DE"/>
    <w:rsid w:val="005B6F6A"/>
    <w:rsid w:val="005C12EE"/>
    <w:rsid w:val="005C1886"/>
    <w:rsid w:val="005C48D4"/>
    <w:rsid w:val="005C6844"/>
    <w:rsid w:val="005C761E"/>
    <w:rsid w:val="005D0E5F"/>
    <w:rsid w:val="005D16C8"/>
    <w:rsid w:val="005D1DE4"/>
    <w:rsid w:val="005E18BC"/>
    <w:rsid w:val="005E1BDB"/>
    <w:rsid w:val="005E2A3F"/>
    <w:rsid w:val="005E35BD"/>
    <w:rsid w:val="005E3D4D"/>
    <w:rsid w:val="005E3F64"/>
    <w:rsid w:val="005E60E9"/>
    <w:rsid w:val="005E7FD1"/>
    <w:rsid w:val="005F0522"/>
    <w:rsid w:val="005F0545"/>
    <w:rsid w:val="005F0B97"/>
    <w:rsid w:val="005F2858"/>
    <w:rsid w:val="005F52AB"/>
    <w:rsid w:val="005F7866"/>
    <w:rsid w:val="005F7EDF"/>
    <w:rsid w:val="006002E3"/>
    <w:rsid w:val="00601414"/>
    <w:rsid w:val="00601706"/>
    <w:rsid w:val="00602FF7"/>
    <w:rsid w:val="0060683F"/>
    <w:rsid w:val="00606FB0"/>
    <w:rsid w:val="006145AC"/>
    <w:rsid w:val="00615F98"/>
    <w:rsid w:val="00616503"/>
    <w:rsid w:val="006207F5"/>
    <w:rsid w:val="00621112"/>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173E"/>
    <w:rsid w:val="00652D93"/>
    <w:rsid w:val="006542B6"/>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87A"/>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68C6"/>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1749"/>
    <w:rsid w:val="0071315F"/>
    <w:rsid w:val="007136F6"/>
    <w:rsid w:val="007159C7"/>
    <w:rsid w:val="00720057"/>
    <w:rsid w:val="00721942"/>
    <w:rsid w:val="00721DD7"/>
    <w:rsid w:val="00722A18"/>
    <w:rsid w:val="00722BE7"/>
    <w:rsid w:val="00723134"/>
    <w:rsid w:val="007254E8"/>
    <w:rsid w:val="00730CC7"/>
    <w:rsid w:val="00732DF2"/>
    <w:rsid w:val="0073442D"/>
    <w:rsid w:val="00735B8F"/>
    <w:rsid w:val="007403B3"/>
    <w:rsid w:val="007404B2"/>
    <w:rsid w:val="007446C7"/>
    <w:rsid w:val="00744F2E"/>
    <w:rsid w:val="00747941"/>
    <w:rsid w:val="00750B85"/>
    <w:rsid w:val="00752730"/>
    <w:rsid w:val="007568FD"/>
    <w:rsid w:val="007614F1"/>
    <w:rsid w:val="007618C5"/>
    <w:rsid w:val="00764066"/>
    <w:rsid w:val="0076427D"/>
    <w:rsid w:val="00764D55"/>
    <w:rsid w:val="00766B7B"/>
    <w:rsid w:val="00770DBC"/>
    <w:rsid w:val="00772E15"/>
    <w:rsid w:val="0077600F"/>
    <w:rsid w:val="007760AE"/>
    <w:rsid w:val="00776118"/>
    <w:rsid w:val="00781431"/>
    <w:rsid w:val="00781C77"/>
    <w:rsid w:val="00787495"/>
    <w:rsid w:val="00790F13"/>
    <w:rsid w:val="00792BFD"/>
    <w:rsid w:val="00793A1C"/>
    <w:rsid w:val="0079444E"/>
    <w:rsid w:val="00796745"/>
    <w:rsid w:val="007A28FF"/>
    <w:rsid w:val="007A4009"/>
    <w:rsid w:val="007A4F78"/>
    <w:rsid w:val="007A52F4"/>
    <w:rsid w:val="007A6AF4"/>
    <w:rsid w:val="007A7125"/>
    <w:rsid w:val="007B0DE0"/>
    <w:rsid w:val="007B0F83"/>
    <w:rsid w:val="007B5D65"/>
    <w:rsid w:val="007C0A4F"/>
    <w:rsid w:val="007C3805"/>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19D4"/>
    <w:rsid w:val="007E1C54"/>
    <w:rsid w:val="007E26A1"/>
    <w:rsid w:val="007E37B1"/>
    <w:rsid w:val="007E3F23"/>
    <w:rsid w:val="007E53A4"/>
    <w:rsid w:val="007F02D5"/>
    <w:rsid w:val="007F142E"/>
    <w:rsid w:val="007F289C"/>
    <w:rsid w:val="007F2BBE"/>
    <w:rsid w:val="007F33C8"/>
    <w:rsid w:val="007F3CEB"/>
    <w:rsid w:val="007F66BC"/>
    <w:rsid w:val="007F6A37"/>
    <w:rsid w:val="007F706E"/>
    <w:rsid w:val="007F7AFC"/>
    <w:rsid w:val="007F7B5E"/>
    <w:rsid w:val="00800B97"/>
    <w:rsid w:val="00801246"/>
    <w:rsid w:val="00801F11"/>
    <w:rsid w:val="00802B1A"/>
    <w:rsid w:val="00805CD2"/>
    <w:rsid w:val="0080615C"/>
    <w:rsid w:val="0081027F"/>
    <w:rsid w:val="0081352D"/>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57237"/>
    <w:rsid w:val="008601A7"/>
    <w:rsid w:val="0086211B"/>
    <w:rsid w:val="008622CF"/>
    <w:rsid w:val="008627C6"/>
    <w:rsid w:val="00863B86"/>
    <w:rsid w:val="00864932"/>
    <w:rsid w:val="008652A2"/>
    <w:rsid w:val="008706CD"/>
    <w:rsid w:val="0087169D"/>
    <w:rsid w:val="00871F69"/>
    <w:rsid w:val="00872052"/>
    <w:rsid w:val="008722F9"/>
    <w:rsid w:val="0087302E"/>
    <w:rsid w:val="00875A47"/>
    <w:rsid w:val="00876ACE"/>
    <w:rsid w:val="008813FA"/>
    <w:rsid w:val="00883391"/>
    <w:rsid w:val="008842D0"/>
    <w:rsid w:val="00884AC4"/>
    <w:rsid w:val="0088579D"/>
    <w:rsid w:val="00885841"/>
    <w:rsid w:val="00892883"/>
    <w:rsid w:val="008942D5"/>
    <w:rsid w:val="0089707B"/>
    <w:rsid w:val="008A1A58"/>
    <w:rsid w:val="008A28B9"/>
    <w:rsid w:val="008A4233"/>
    <w:rsid w:val="008A49DF"/>
    <w:rsid w:val="008A4AFF"/>
    <w:rsid w:val="008A5B8D"/>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174"/>
    <w:rsid w:val="008E12B6"/>
    <w:rsid w:val="008E2184"/>
    <w:rsid w:val="008E2AE5"/>
    <w:rsid w:val="008E2BCA"/>
    <w:rsid w:val="008E3CCE"/>
    <w:rsid w:val="008E3F89"/>
    <w:rsid w:val="008E5117"/>
    <w:rsid w:val="008E7C43"/>
    <w:rsid w:val="008E7D58"/>
    <w:rsid w:val="008F26CB"/>
    <w:rsid w:val="008F36EC"/>
    <w:rsid w:val="008F3D95"/>
    <w:rsid w:val="008F4CB6"/>
    <w:rsid w:val="008F5195"/>
    <w:rsid w:val="008F6509"/>
    <w:rsid w:val="008F65B6"/>
    <w:rsid w:val="008F79D9"/>
    <w:rsid w:val="009027C8"/>
    <w:rsid w:val="00910EEF"/>
    <w:rsid w:val="00914612"/>
    <w:rsid w:val="00917A23"/>
    <w:rsid w:val="00920B0C"/>
    <w:rsid w:val="00922AF4"/>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60A"/>
    <w:rsid w:val="00980944"/>
    <w:rsid w:val="009812BB"/>
    <w:rsid w:val="009815A9"/>
    <w:rsid w:val="00981FE8"/>
    <w:rsid w:val="00986D77"/>
    <w:rsid w:val="009914D7"/>
    <w:rsid w:val="00993A6E"/>
    <w:rsid w:val="009943EC"/>
    <w:rsid w:val="009A0896"/>
    <w:rsid w:val="009A16E8"/>
    <w:rsid w:val="009A1BAD"/>
    <w:rsid w:val="009A32D5"/>
    <w:rsid w:val="009A4CC2"/>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32AE"/>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04C95"/>
    <w:rsid w:val="00A06EF8"/>
    <w:rsid w:val="00A10D04"/>
    <w:rsid w:val="00A134B1"/>
    <w:rsid w:val="00A14B48"/>
    <w:rsid w:val="00A201D9"/>
    <w:rsid w:val="00A21529"/>
    <w:rsid w:val="00A27889"/>
    <w:rsid w:val="00A32D95"/>
    <w:rsid w:val="00A32FBF"/>
    <w:rsid w:val="00A3307E"/>
    <w:rsid w:val="00A407EA"/>
    <w:rsid w:val="00A40D9C"/>
    <w:rsid w:val="00A4138D"/>
    <w:rsid w:val="00A459B4"/>
    <w:rsid w:val="00A46D46"/>
    <w:rsid w:val="00A51749"/>
    <w:rsid w:val="00A521B6"/>
    <w:rsid w:val="00A56962"/>
    <w:rsid w:val="00A60D8C"/>
    <w:rsid w:val="00A62DD3"/>
    <w:rsid w:val="00A6382F"/>
    <w:rsid w:val="00A63855"/>
    <w:rsid w:val="00A6412C"/>
    <w:rsid w:val="00A70B84"/>
    <w:rsid w:val="00A72F01"/>
    <w:rsid w:val="00A72FAF"/>
    <w:rsid w:val="00A75419"/>
    <w:rsid w:val="00A76661"/>
    <w:rsid w:val="00A76D2A"/>
    <w:rsid w:val="00A80F60"/>
    <w:rsid w:val="00A81F5B"/>
    <w:rsid w:val="00A82081"/>
    <w:rsid w:val="00A83B97"/>
    <w:rsid w:val="00A8557E"/>
    <w:rsid w:val="00A8660B"/>
    <w:rsid w:val="00A87756"/>
    <w:rsid w:val="00A903E4"/>
    <w:rsid w:val="00A91181"/>
    <w:rsid w:val="00A925D6"/>
    <w:rsid w:val="00A93194"/>
    <w:rsid w:val="00A935AC"/>
    <w:rsid w:val="00A96424"/>
    <w:rsid w:val="00AA06DA"/>
    <w:rsid w:val="00AA3D5D"/>
    <w:rsid w:val="00AA3DE0"/>
    <w:rsid w:val="00AA5669"/>
    <w:rsid w:val="00AB04BD"/>
    <w:rsid w:val="00AB299E"/>
    <w:rsid w:val="00AB3847"/>
    <w:rsid w:val="00AB395A"/>
    <w:rsid w:val="00AB507C"/>
    <w:rsid w:val="00AB606E"/>
    <w:rsid w:val="00AB7B50"/>
    <w:rsid w:val="00AC096E"/>
    <w:rsid w:val="00AC306F"/>
    <w:rsid w:val="00AC4F6C"/>
    <w:rsid w:val="00AD0ED3"/>
    <w:rsid w:val="00AD1400"/>
    <w:rsid w:val="00AD2BB0"/>
    <w:rsid w:val="00AD6E76"/>
    <w:rsid w:val="00AE3EAA"/>
    <w:rsid w:val="00AE493B"/>
    <w:rsid w:val="00AE5EDF"/>
    <w:rsid w:val="00AE758A"/>
    <w:rsid w:val="00AF007B"/>
    <w:rsid w:val="00AF45B3"/>
    <w:rsid w:val="00AF6DC8"/>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3C1D"/>
    <w:rsid w:val="00B55AB4"/>
    <w:rsid w:val="00B60670"/>
    <w:rsid w:val="00B63508"/>
    <w:rsid w:val="00B645E4"/>
    <w:rsid w:val="00B73FFA"/>
    <w:rsid w:val="00B74A6E"/>
    <w:rsid w:val="00B77162"/>
    <w:rsid w:val="00B82CC4"/>
    <w:rsid w:val="00B836D2"/>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3B9D"/>
    <w:rsid w:val="00C070DE"/>
    <w:rsid w:val="00C071F9"/>
    <w:rsid w:val="00C07598"/>
    <w:rsid w:val="00C1383D"/>
    <w:rsid w:val="00C14420"/>
    <w:rsid w:val="00C15175"/>
    <w:rsid w:val="00C15EC0"/>
    <w:rsid w:val="00C1742B"/>
    <w:rsid w:val="00C216BD"/>
    <w:rsid w:val="00C21CDE"/>
    <w:rsid w:val="00C230F3"/>
    <w:rsid w:val="00C232C2"/>
    <w:rsid w:val="00C239E0"/>
    <w:rsid w:val="00C24A8C"/>
    <w:rsid w:val="00C2671D"/>
    <w:rsid w:val="00C26DFB"/>
    <w:rsid w:val="00C273FA"/>
    <w:rsid w:val="00C30CEF"/>
    <w:rsid w:val="00C30D06"/>
    <w:rsid w:val="00C32191"/>
    <w:rsid w:val="00C361FD"/>
    <w:rsid w:val="00C36CDA"/>
    <w:rsid w:val="00C37916"/>
    <w:rsid w:val="00C41058"/>
    <w:rsid w:val="00C42067"/>
    <w:rsid w:val="00C432D0"/>
    <w:rsid w:val="00C4398E"/>
    <w:rsid w:val="00C44218"/>
    <w:rsid w:val="00C4666E"/>
    <w:rsid w:val="00C51600"/>
    <w:rsid w:val="00C524B7"/>
    <w:rsid w:val="00C54185"/>
    <w:rsid w:val="00C57073"/>
    <w:rsid w:val="00C5761D"/>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5DF6"/>
    <w:rsid w:val="00C86418"/>
    <w:rsid w:val="00C8747B"/>
    <w:rsid w:val="00C87D5B"/>
    <w:rsid w:val="00C92A5A"/>
    <w:rsid w:val="00C932D0"/>
    <w:rsid w:val="00C94FF6"/>
    <w:rsid w:val="00C963F8"/>
    <w:rsid w:val="00C96700"/>
    <w:rsid w:val="00C96BB1"/>
    <w:rsid w:val="00C970C8"/>
    <w:rsid w:val="00CA2F80"/>
    <w:rsid w:val="00CA3ECF"/>
    <w:rsid w:val="00CA4AE6"/>
    <w:rsid w:val="00CA6DBD"/>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06B6C"/>
    <w:rsid w:val="00D11B24"/>
    <w:rsid w:val="00D11C18"/>
    <w:rsid w:val="00D12FFF"/>
    <w:rsid w:val="00D133C8"/>
    <w:rsid w:val="00D14DB8"/>
    <w:rsid w:val="00D17339"/>
    <w:rsid w:val="00D244D5"/>
    <w:rsid w:val="00D2639E"/>
    <w:rsid w:val="00D2776A"/>
    <w:rsid w:val="00D27C9E"/>
    <w:rsid w:val="00D31480"/>
    <w:rsid w:val="00D31541"/>
    <w:rsid w:val="00D4021B"/>
    <w:rsid w:val="00D4059E"/>
    <w:rsid w:val="00D413DB"/>
    <w:rsid w:val="00D41890"/>
    <w:rsid w:val="00D41D4E"/>
    <w:rsid w:val="00D420E2"/>
    <w:rsid w:val="00D42248"/>
    <w:rsid w:val="00D4459D"/>
    <w:rsid w:val="00D44B24"/>
    <w:rsid w:val="00D50E54"/>
    <w:rsid w:val="00D50FBE"/>
    <w:rsid w:val="00D52863"/>
    <w:rsid w:val="00D530B9"/>
    <w:rsid w:val="00D56BB6"/>
    <w:rsid w:val="00D570E4"/>
    <w:rsid w:val="00D573F9"/>
    <w:rsid w:val="00D57533"/>
    <w:rsid w:val="00D60532"/>
    <w:rsid w:val="00D6058B"/>
    <w:rsid w:val="00D60814"/>
    <w:rsid w:val="00D608E5"/>
    <w:rsid w:val="00D60A95"/>
    <w:rsid w:val="00D61A05"/>
    <w:rsid w:val="00D61C4D"/>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1339"/>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1CBC"/>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1DD2"/>
    <w:rsid w:val="00E220DD"/>
    <w:rsid w:val="00E24A50"/>
    <w:rsid w:val="00E25A69"/>
    <w:rsid w:val="00E26DC5"/>
    <w:rsid w:val="00E31469"/>
    <w:rsid w:val="00E327C6"/>
    <w:rsid w:val="00E3296A"/>
    <w:rsid w:val="00E35639"/>
    <w:rsid w:val="00E361AB"/>
    <w:rsid w:val="00E3622E"/>
    <w:rsid w:val="00E402E1"/>
    <w:rsid w:val="00E4188A"/>
    <w:rsid w:val="00E41E54"/>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53CF"/>
    <w:rsid w:val="00E67BAE"/>
    <w:rsid w:val="00E711AE"/>
    <w:rsid w:val="00E716F3"/>
    <w:rsid w:val="00E737AD"/>
    <w:rsid w:val="00E74527"/>
    <w:rsid w:val="00E76789"/>
    <w:rsid w:val="00E76A95"/>
    <w:rsid w:val="00E774F6"/>
    <w:rsid w:val="00E8106F"/>
    <w:rsid w:val="00E811B6"/>
    <w:rsid w:val="00E91A0E"/>
    <w:rsid w:val="00E931FF"/>
    <w:rsid w:val="00E9405F"/>
    <w:rsid w:val="00E9503C"/>
    <w:rsid w:val="00E956D9"/>
    <w:rsid w:val="00EA02E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419F"/>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060B"/>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2659"/>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5BC2"/>
    <w:rsid w:val="00F96061"/>
    <w:rsid w:val="00F96CA7"/>
    <w:rsid w:val="00F9711D"/>
    <w:rsid w:val="00FA011F"/>
    <w:rsid w:val="00FA1DCF"/>
    <w:rsid w:val="00FA27DD"/>
    <w:rsid w:val="00FA3E3A"/>
    <w:rsid w:val="00FA6D0F"/>
    <w:rsid w:val="00FA70AD"/>
    <w:rsid w:val="00FA7544"/>
    <w:rsid w:val="00FA75E0"/>
    <w:rsid w:val="00FA7771"/>
    <w:rsid w:val="00FB0AFB"/>
    <w:rsid w:val="00FB0C06"/>
    <w:rsid w:val="00FB0DC9"/>
    <w:rsid w:val="00FB20B1"/>
    <w:rsid w:val="00FB27AA"/>
    <w:rsid w:val="00FB3AB4"/>
    <w:rsid w:val="00FB55DF"/>
    <w:rsid w:val="00FB6188"/>
    <w:rsid w:val="00FB78D2"/>
    <w:rsid w:val="00FC1D88"/>
    <w:rsid w:val="00FC2CE8"/>
    <w:rsid w:val="00FC35EC"/>
    <w:rsid w:val="00FC4A8B"/>
    <w:rsid w:val="00FC56A4"/>
    <w:rsid w:val="00FC6872"/>
    <w:rsid w:val="00FD029A"/>
    <w:rsid w:val="00FD049C"/>
    <w:rsid w:val="00FD3D06"/>
    <w:rsid w:val="00FD5662"/>
    <w:rsid w:val="00FD642E"/>
    <w:rsid w:val="00FD72B6"/>
    <w:rsid w:val="00FD7994"/>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 w:type="paragraph" w:customStyle="1" w:styleId="ementa0">
    <w:name w:val="ementa"/>
    <w:basedOn w:val="Normal"/>
    <w:rsid w:val="002A1295"/>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 w:type="paragraph" w:customStyle="1" w:styleId="ementa0">
    <w:name w:val="ementa"/>
    <w:basedOn w:val="Normal"/>
    <w:rsid w:val="002A1295"/>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6825242">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3065513">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183713792">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06708612">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05803910">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517697249">
      <w:bodyDiv w:val="1"/>
      <w:marLeft w:val="0"/>
      <w:marRight w:val="0"/>
      <w:marTop w:val="0"/>
      <w:marBottom w:val="0"/>
      <w:divBdr>
        <w:top w:val="none" w:sz="0" w:space="0" w:color="auto"/>
        <w:left w:val="none" w:sz="0" w:space="0" w:color="auto"/>
        <w:bottom w:val="none" w:sz="0" w:space="0" w:color="auto"/>
        <w:right w:val="none" w:sz="0" w:space="0" w:color="auto"/>
      </w:divBdr>
    </w:div>
    <w:div w:id="681973569">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894900572">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164396487">
      <w:bodyDiv w:val="1"/>
      <w:marLeft w:val="0"/>
      <w:marRight w:val="0"/>
      <w:marTop w:val="0"/>
      <w:marBottom w:val="0"/>
      <w:divBdr>
        <w:top w:val="none" w:sz="0" w:space="0" w:color="auto"/>
        <w:left w:val="none" w:sz="0" w:space="0" w:color="auto"/>
        <w:bottom w:val="none" w:sz="0" w:space="0" w:color="auto"/>
        <w:right w:val="none" w:sz="0" w:space="0" w:color="auto"/>
      </w:divBdr>
    </w:div>
    <w:div w:id="1198351951">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1974788">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623225810">
      <w:bodyDiv w:val="1"/>
      <w:marLeft w:val="0"/>
      <w:marRight w:val="0"/>
      <w:marTop w:val="0"/>
      <w:marBottom w:val="0"/>
      <w:divBdr>
        <w:top w:val="none" w:sz="0" w:space="0" w:color="auto"/>
        <w:left w:val="none" w:sz="0" w:space="0" w:color="auto"/>
        <w:bottom w:val="none" w:sz="0" w:space="0" w:color="auto"/>
        <w:right w:val="none" w:sz="0" w:space="0" w:color="auto"/>
      </w:divBdr>
    </w:div>
    <w:div w:id="1694258282">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898708994">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5.tst.jus.br/consultaProcessual/resumoForm.do?consulta=1&amp;numeroInt=167737&amp;anoInt=2017" TargetMode="External"/><Relationship Id="rId18" Type="http://schemas.openxmlformats.org/officeDocument/2006/relationships/hyperlink" Target="https://consultaprocessual.tst.jus.br/consultaProcessual/consultaTstNumUnica.do?consulta=Consultar&amp;conscsjt=&amp;numeroTst=1828&amp;digitoTst=10&amp;anoTst=2012&amp;orgaoTst=5&amp;tribunalTst=10&amp;varaTst=00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onsultaprocessual.tst.jus.br/consultaProcessual/consultaTstNumUnica.do?consulta=Consultar&amp;conscsjt=&amp;numeroTst=1313&amp;digitoTst=92&amp;anoTst=2014&amp;orgaoTst=5&amp;tribunalTst=20&amp;varaTst=0011&amp;submit=Consultar" TargetMode="External"/><Relationship Id="rId7" Type="http://schemas.openxmlformats.org/officeDocument/2006/relationships/footnotes" Target="footnotes.xml"/><Relationship Id="rId12" Type="http://schemas.openxmlformats.org/officeDocument/2006/relationships/hyperlink" Target="https://consultaprocessual.tst.jus.br/consultaProcessual/consultaTstNumUnica.do?consulta=Consultar&amp;conscsjt=&amp;numeroTst=11009&amp;digitoTst=88&amp;anoTst=2013&amp;orgaoTst=5&amp;tribunalTst=01&amp;varaTst=0053&amp;submit=Consultar" TargetMode="External"/><Relationship Id="rId17" Type="http://schemas.openxmlformats.org/officeDocument/2006/relationships/hyperlink" Target="https://consultaprocessual.tst.jus.br/consultaProcessual/consultaTstNumUnica.do?consulta=Consultar&amp;conscsjt=&amp;numeroTst=333&amp;digitoTst=07&amp;anoTst=2017&amp;orgaoTst=5&amp;tribunalTst=09&amp;varaTst=0122&amp;submit=Consultar" TargetMode="External"/><Relationship Id="rId25" Type="http://schemas.openxmlformats.org/officeDocument/2006/relationships/hyperlink" Target="http://www.tst.jus.br/push" TargetMode="External"/><Relationship Id="rId2" Type="http://schemas.openxmlformats.org/officeDocument/2006/relationships/numbering" Target="numbering.xml"/><Relationship Id="rId16" Type="http://schemas.openxmlformats.org/officeDocument/2006/relationships/hyperlink" Target="http://aplicacao5.tst.jus.br/consultaProcessual/resumoForm.do?consulta=1&amp;numeroInt=181193&amp;anoInt=2021" TargetMode="External"/><Relationship Id="rId20" Type="http://schemas.openxmlformats.org/officeDocument/2006/relationships/hyperlink" Target="https://consultaprocessual.tst.jus.br/consultaProcessual/consultaTstNumUnica.do?consulta=Consultar&amp;conscsjt=&amp;numeroTst=166&amp;digitoTst=19&amp;anoTst=2019&amp;orgaoTst=5&amp;tribunalTst=10&amp;varaTst=0016&amp;submit=Consult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processual.tst.jus.br/consultaProcessual/consultaTstNumUnica.do?consulta=Consultar&amp;conscsjt=&amp;numeroTst=63&amp;digitoTst=31&amp;anoTst=2020&amp;orgaoTst=5&amp;tribunalTst=17&amp;varaTst=0000&amp;submit=Consultar" TargetMode="External"/><Relationship Id="rId24" Type="http://schemas.openxmlformats.org/officeDocument/2006/relationships/hyperlink" Target="http://www.tst.jus.br/web/guest/informativo-tst" TargetMode="External"/><Relationship Id="rId5" Type="http://schemas.openxmlformats.org/officeDocument/2006/relationships/settings" Target="settings.xml"/><Relationship Id="rId15" Type="http://schemas.openxmlformats.org/officeDocument/2006/relationships/hyperlink" Target="http://aplicacao5.tst.jus.br/consultaProcessual/resumoForm.do?consulta=1&amp;numeroInt=43159&amp;anoInt=2021" TargetMode="External"/><Relationship Id="rId23" Type="http://schemas.openxmlformats.org/officeDocument/2006/relationships/hyperlink" Target="mailto:cjur@tst.jus.br" TargetMode="External"/><Relationship Id="rId28" Type="http://schemas.openxmlformats.org/officeDocument/2006/relationships/header" Target="header2.xml"/><Relationship Id="rId10" Type="http://schemas.openxmlformats.org/officeDocument/2006/relationships/hyperlink" Target="http://aplicacao5.tst.jus.br/consultaProcessual/resumoForm.do?consulta=1&amp;numeroInt=307519&amp;anoInt=2018" TargetMode="External"/><Relationship Id="rId19" Type="http://schemas.openxmlformats.org/officeDocument/2006/relationships/hyperlink" Target="https://consultaprocessual.tst.jus.br/consultaProcessual/consultaTstNumUnica.do?consulta=Consultar&amp;conscsjt=&amp;numeroTst=11232&amp;digitoTst=57&amp;anoTst=2013&amp;orgaoTst=5&amp;tribunalTst=03&amp;varaTst=0062&amp;submit=Consulta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nsultaprocessual.tst.jus.br/consultaProcessual/consultaTstNumUnica.do?consulta=Consultar&amp;conscsjt=&amp;numeroTst=907&amp;digitoTst=68&amp;anoTst=2012&amp;orgaoTst=5&amp;tribunalTst=05&amp;varaTst=0493&amp;submit=Consultar" TargetMode="External"/><Relationship Id="rId14" Type="http://schemas.openxmlformats.org/officeDocument/2006/relationships/hyperlink" Target="http://aplicacao5.tst.jus.br/consultaProcessual/resumoForm.do?consulta=1&amp;numeroInt=329260&amp;anoInt=2018" TargetMode="External"/><Relationship Id="rId22" Type="http://schemas.openxmlformats.org/officeDocument/2006/relationships/hyperlink" Target="https://consultaprocessual.tst.jus.br/consultaProcessual/consultaTstNumUnica.do?consulta=Consultar&amp;conscsjt=&amp;numeroTst=10581&amp;digitoTst=48&amp;anoTst=2017&amp;orgaoTst=5&amp;tribunalTst=03&amp;varaTst=0009&amp;submit=Consulta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AAF4-A866-4ED5-B763-70CF2FB0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14</Pages>
  <Words>6253</Words>
  <Characters>38166</Characters>
  <Application>Microsoft Office Word</Application>
  <DocSecurity>0</DocSecurity>
  <Lines>318</Lines>
  <Paragraphs>88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44331</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196</cp:revision>
  <cp:lastPrinted>2021-12-16T12:30:00Z</cp:lastPrinted>
  <dcterms:created xsi:type="dcterms:W3CDTF">2021-07-22T20:32:00Z</dcterms:created>
  <dcterms:modified xsi:type="dcterms:W3CDTF">2022-03-24T19:43:00Z</dcterms:modified>
</cp:coreProperties>
</file>