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2" w:type="dxa"/>
        <w:tblInd w:w="-214" w:type="dxa"/>
        <w:tblLayout w:type="fixed"/>
        <w:tblCellMar>
          <w:left w:w="70" w:type="dxa"/>
          <w:right w:w="70" w:type="dxa"/>
        </w:tblCellMar>
        <w:tblLook w:val="0000" w:firstRow="0" w:lastRow="0" w:firstColumn="0" w:lastColumn="0" w:noHBand="0" w:noVBand="0"/>
      </w:tblPr>
      <w:tblGrid>
        <w:gridCol w:w="10122"/>
      </w:tblGrid>
      <w:tr w:rsidR="00C26DFB" w:rsidRPr="003509A3" w14:paraId="19F29D7E" w14:textId="77777777" w:rsidTr="00F95BC2">
        <w:trPr>
          <w:trHeight w:val="537"/>
        </w:trPr>
        <w:tc>
          <w:tcPr>
            <w:tcW w:w="10122" w:type="dxa"/>
            <w:tcBorders>
              <w:top w:val="single" w:sz="4" w:space="0" w:color="auto"/>
            </w:tcBorders>
          </w:tcPr>
          <w:p w14:paraId="36C0B528" w14:textId="529C3CF0" w:rsidR="008D5CA9" w:rsidRPr="003509A3" w:rsidRDefault="00C26DFB" w:rsidP="00F95BC2">
            <w:pPr>
              <w:pStyle w:val="Cabealho"/>
              <w:tabs>
                <w:tab w:val="clear" w:pos="4419"/>
                <w:tab w:val="clear" w:pos="8838"/>
              </w:tabs>
              <w:ind w:left="-70" w:right="270"/>
              <w:jc w:val="both"/>
              <w:rPr>
                <w:rFonts w:ascii="Open Sans" w:hAnsi="Open Sans" w:cs="Open Sans"/>
              </w:rPr>
            </w:pPr>
            <w:r w:rsidRPr="003509A3">
              <w:rPr>
                <w:rFonts w:ascii="Open Sans" w:hAnsi="Open Sans" w:cs="Open Sans"/>
              </w:rPr>
              <w:t>Este Informativo, elaborado a partir de notas tomadas nas sessões de julgamento, contém resumos não</w:t>
            </w:r>
            <w:r w:rsidR="00DC50EB" w:rsidRPr="003509A3">
              <w:rPr>
                <w:rFonts w:ascii="Open Sans" w:hAnsi="Open Sans" w:cs="Open Sans"/>
              </w:rPr>
              <w:t xml:space="preserve"> </w:t>
            </w:r>
            <w:r w:rsidRPr="003509A3">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3509A3">
              <w:rPr>
                <w:rFonts w:ascii="Open Sans" w:hAnsi="Open Sans" w:cs="Open Sans"/>
              </w:rPr>
              <w:t xml:space="preserve"> Eletrônico </w:t>
            </w:r>
            <w:r w:rsidRPr="003509A3">
              <w:rPr>
                <w:rFonts w:ascii="Open Sans" w:hAnsi="Open Sans" w:cs="Open Sans"/>
              </w:rPr>
              <w:t>da Justiça</w:t>
            </w:r>
            <w:r w:rsidR="00980944" w:rsidRPr="003509A3">
              <w:rPr>
                <w:rFonts w:ascii="Open Sans" w:hAnsi="Open Sans" w:cs="Open Sans"/>
              </w:rPr>
              <w:t xml:space="preserve"> do Trabalho</w:t>
            </w:r>
            <w:r w:rsidRPr="003509A3">
              <w:rPr>
                <w:rFonts w:ascii="Open Sans" w:hAnsi="Open Sans" w:cs="Open Sans"/>
              </w:rPr>
              <w:t>.</w:t>
            </w:r>
          </w:p>
        </w:tc>
      </w:tr>
    </w:tbl>
    <w:p w14:paraId="67351906" w14:textId="029B51E2" w:rsidR="005909E6" w:rsidRPr="003509A3" w:rsidRDefault="005909E6" w:rsidP="00F95BC2">
      <w:pPr>
        <w:spacing w:line="360" w:lineRule="auto"/>
        <w:ind w:left="-142" w:right="368" w:firstLine="142"/>
        <w:jc w:val="both"/>
        <w:rPr>
          <w:rFonts w:ascii="Open Sans" w:eastAsiaTheme="minorHAnsi" w:hAnsi="Open Sans" w:cs="Open Sans"/>
          <w:sz w:val="24"/>
          <w:szCs w:val="24"/>
          <w:lang w:eastAsia="en-US"/>
        </w:rPr>
      </w:pPr>
      <w:r w:rsidRPr="003509A3">
        <w:rPr>
          <w:rFonts w:ascii="Open Sans" w:hAnsi="Open Sans" w:cs="Open Sans"/>
          <w:sz w:val="24"/>
          <w:szCs w:val="24"/>
        </w:rPr>
        <w:tab/>
      </w:r>
    </w:p>
    <w:p w14:paraId="7B0DDF95" w14:textId="77E497B9" w:rsidR="005909E6" w:rsidRPr="003509A3" w:rsidRDefault="002F2E0F" w:rsidP="008F4CB6">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TRIBUNAL PLENO</w:t>
      </w:r>
    </w:p>
    <w:p w14:paraId="2E473E9B" w14:textId="77777777" w:rsidR="00D81339" w:rsidRPr="003509A3" w:rsidRDefault="00D81339" w:rsidP="00D81339">
      <w:pPr>
        <w:jc w:val="both"/>
        <w:rPr>
          <w:rFonts w:ascii="Open Sans" w:hAnsi="Open Sans" w:cs="Open Sans"/>
          <w:b/>
          <w:i/>
          <w:sz w:val="24"/>
          <w:szCs w:val="24"/>
        </w:rPr>
      </w:pPr>
    </w:p>
    <w:p w14:paraId="2006C566" w14:textId="77777777" w:rsidR="005D16C8" w:rsidRPr="003509A3" w:rsidRDefault="00D81339" w:rsidP="005D16C8">
      <w:pPr>
        <w:ind w:left="-284" w:right="369"/>
        <w:jc w:val="both"/>
        <w:rPr>
          <w:rFonts w:ascii="Open Sans" w:hAnsi="Open Sans" w:cs="Open Sans"/>
          <w:b/>
          <w:i/>
          <w:sz w:val="24"/>
          <w:szCs w:val="24"/>
        </w:rPr>
      </w:pPr>
      <w:r w:rsidRPr="003509A3">
        <w:rPr>
          <w:rFonts w:ascii="Open Sans" w:hAnsi="Open Sans" w:cs="Open Sans"/>
          <w:b/>
          <w:i/>
          <w:sz w:val="24"/>
          <w:szCs w:val="24"/>
        </w:rPr>
        <w:t xml:space="preserve">Incidente de Recursos Repetitivos. Tema nº 0018. Definição da espécie e dos efeitos jurídicos do litisconsórcio passivo nos casos de lide acerca da licitude da terceirização de serviços em atividade-fim. </w:t>
      </w:r>
    </w:p>
    <w:p w14:paraId="6111C39A" w14:textId="3ECF8D3B" w:rsidR="005D16C8" w:rsidRPr="003509A3" w:rsidRDefault="005D16C8" w:rsidP="005D16C8">
      <w:pPr>
        <w:ind w:left="-284" w:right="369"/>
        <w:jc w:val="both"/>
        <w:rPr>
          <w:rFonts w:ascii="Open Sans" w:hAnsi="Open Sans" w:cs="Open Sans"/>
          <w:b/>
          <w:i/>
          <w:sz w:val="24"/>
          <w:szCs w:val="24"/>
        </w:rPr>
      </w:pPr>
      <w:r w:rsidRPr="003509A3">
        <w:rPr>
          <w:rFonts w:ascii="Open Sans" w:hAnsi="Open Sans" w:cs="Open Sans"/>
          <w:sz w:val="24"/>
          <w:szCs w:val="24"/>
        </w:rPr>
        <w:t>O Tribunal Pleno, em sede de incidente de recurso repetitivo, analisando a questão acerca das características e consequências jurídicas do litisconsórcio passivo nos processos em que se debate a licitude da terceirização de serviços em atividade-fim, em virtude do efeito vinculante da interpretação fixada pelo Supremo Tribunal Federal (artigo 102, § 2º, da Constituição Federal), no julgamento da ADPF nº 324 e do Recurso Extraordinário com Repercussão Geral nº 958.252, decidiu, por maioria, sem modulação de efeitos, aprovar as seguintes teses jurídicas para o Tema Repetitivo nº 0018: “1) </w:t>
      </w:r>
      <w:r w:rsidRPr="003509A3">
        <w:rPr>
          <w:rFonts w:ascii="Open Sans" w:hAnsi="Open Sans" w:cs="Open Sans"/>
          <w:bCs/>
          <w:sz w:val="24"/>
          <w:szCs w:val="24"/>
        </w:rPr>
        <w:t>Nos casos de lides decorrentes da alegação de fraude, sob o fundamento de ilicitude da terceirização de atividade-fim, o litisconsórcio passivo é necessário e unitário</w:t>
      </w:r>
      <w:r w:rsidRPr="003509A3">
        <w:rPr>
          <w:rFonts w:ascii="Open Sans" w:hAnsi="Open Sans" w:cs="Open Sans"/>
          <w:sz w:val="24"/>
          <w:szCs w:val="24"/>
        </w:rPr>
        <w:t xml:space="preserve">. Necessário, porque é manifesto o interesse jurídico da empresa de terceirização em compor essas lides e defender seus interesses e posições, entre os quais a validade dos contratos de prestação de serviços terceirizados e, por conseguinte, dos próprios contratos de trabalho celebrados; Unitário, pois o juiz terá que resolver a lide de maneira uniforme para ambas </w:t>
      </w:r>
      <w:proofErr w:type="gramStart"/>
      <w:r w:rsidRPr="003509A3">
        <w:rPr>
          <w:rFonts w:ascii="Open Sans" w:hAnsi="Open Sans" w:cs="Open Sans"/>
          <w:sz w:val="24"/>
          <w:szCs w:val="24"/>
        </w:rPr>
        <w:t>as</w:t>
      </w:r>
      <w:proofErr w:type="gramEnd"/>
      <w:r w:rsidRPr="003509A3">
        <w:rPr>
          <w:rFonts w:ascii="Open Sans" w:hAnsi="Open Sans" w:cs="Open Sans"/>
          <w:sz w:val="24"/>
          <w:szCs w:val="24"/>
        </w:rPr>
        <w:t xml:space="preserve"> empresas, pois incindíveis, para efeito de análise de sua validade jurídica, os vínculos materiais constituídos entre os atores da relação triangular de terceirização. 2</w:t>
      </w:r>
      <w:r w:rsidRPr="003509A3">
        <w:rPr>
          <w:rFonts w:ascii="Open Sans" w:hAnsi="Open Sans" w:cs="Open Sans"/>
          <w:bCs/>
          <w:sz w:val="24"/>
          <w:szCs w:val="24"/>
        </w:rPr>
        <w:t>) A renúncia à pretensão formulada na ação não depende de anuência da parte contrária e pode ser requerida a qualquer tempo e grau de jurisdição</w:t>
      </w:r>
      <w:r w:rsidRPr="003509A3">
        <w:rPr>
          <w:rFonts w:ascii="Open Sans" w:hAnsi="Open Sans" w:cs="Open Sans"/>
          <w:sz w:val="24"/>
          <w:szCs w:val="24"/>
        </w:rPr>
        <w:t>; cumpre apenas ao magistrado averiguar se o advogado signatário da renúncia possui poderes para tanto e se o objeto envolve direitos disponíveis. Assim, </w:t>
      </w:r>
      <w:r w:rsidRPr="003509A3">
        <w:rPr>
          <w:rFonts w:ascii="Open Sans" w:hAnsi="Open Sans" w:cs="Open Sans"/>
          <w:bCs/>
          <w:sz w:val="24"/>
          <w:szCs w:val="24"/>
        </w:rPr>
        <w:t xml:space="preserve">é plenamente possível o pedido de homologação, ressalvando-se, porém, ao magistrado o exame da situação concreta, quando necessário preservar, por isonomia e segurança jurídica, os efeitos das decisões vinculantes (CF, art. 102, § 2º; art. 10, § 3º, da Lei 9.882/99) e obrigatórias (CPC, art. 927, I a V) proferidas pelos órgãos do </w:t>
      </w:r>
      <w:r w:rsidRPr="003509A3">
        <w:rPr>
          <w:rFonts w:ascii="Open Sans" w:hAnsi="Open Sans" w:cs="Open Sans"/>
          <w:bCs/>
          <w:sz w:val="24"/>
          <w:szCs w:val="24"/>
        </w:rPr>
        <w:lastRenderedPageBreak/>
        <w:t xml:space="preserve">Poder Judiciário, afastando-se manobras processuais lesivas ao </w:t>
      </w:r>
      <w:proofErr w:type="gramStart"/>
      <w:r w:rsidRPr="003509A3">
        <w:rPr>
          <w:rFonts w:ascii="Open Sans" w:hAnsi="Open Sans" w:cs="Open Sans"/>
          <w:bCs/>
          <w:sz w:val="24"/>
          <w:szCs w:val="24"/>
        </w:rPr>
        <w:t>postulado</w:t>
      </w:r>
      <w:proofErr w:type="gramEnd"/>
      <w:r w:rsidRPr="003509A3">
        <w:rPr>
          <w:rFonts w:ascii="Open Sans" w:hAnsi="Open Sans" w:cs="Open Sans"/>
          <w:bCs/>
          <w:sz w:val="24"/>
          <w:szCs w:val="24"/>
        </w:rPr>
        <w:t xml:space="preserve"> da boa-fé processual (CPC, art. 80, I, V e VI)</w:t>
      </w:r>
      <w:r w:rsidRPr="003509A3">
        <w:rPr>
          <w:rFonts w:ascii="Open Sans" w:hAnsi="Open Sans" w:cs="Open Sans"/>
          <w:sz w:val="24"/>
          <w:szCs w:val="24"/>
        </w:rPr>
        <w:t xml:space="preserve">. 2.1) Depois da homologação, parte autora não poderá deduzir pretensão contra quaisquer das empresas - prestadora-contratada e tomadora-contratante - com suporte na ilicitude da terceirização da atividade-fim (causa de pedir). </w:t>
      </w:r>
      <w:proofErr w:type="gramStart"/>
      <w:r w:rsidRPr="003509A3">
        <w:rPr>
          <w:rFonts w:ascii="Open Sans" w:hAnsi="Open Sans" w:cs="Open Sans"/>
          <w:sz w:val="24"/>
          <w:szCs w:val="24"/>
        </w:rPr>
        <w:t>2.2)</w:t>
      </w:r>
      <w:proofErr w:type="gramEnd"/>
      <w:r w:rsidRPr="003509A3">
        <w:rPr>
          <w:rFonts w:ascii="Open Sans" w:hAnsi="Open Sans" w:cs="Open Sans"/>
          <w:sz w:val="24"/>
          <w:szCs w:val="24"/>
        </w:rPr>
        <w:t> </w:t>
      </w:r>
      <w:r w:rsidRPr="003509A3">
        <w:rPr>
          <w:rFonts w:ascii="Open Sans" w:hAnsi="Open Sans" w:cs="Open Sans"/>
          <w:bCs/>
          <w:sz w:val="24"/>
          <w:szCs w:val="24"/>
        </w:rPr>
        <w:t>O ato homologatório, uma vez praticado, acarreta a extinção do processo e, por ficção legal, resolve o mérito da causa (artigo 487, III, “c”, do CPC), produz coisa julgada material, atinge a relação jurídica que deu origem ao processo, somente é passível de desconstituição por ação rescisória (CPC, arts. 525, § 15, 535, § 8º, e 966) ou ainda pela via da impugnação à execução (CPC, art. 525, §12) ou dos embargos à execução (CPC, art. 535, § 5º) e acarretará a perda do interesse jurídico no exame do recurso pendente de julgamento</w:t>
      </w:r>
      <w:r w:rsidRPr="003509A3">
        <w:rPr>
          <w:rFonts w:ascii="Open Sans" w:hAnsi="Open Sans" w:cs="Open Sans"/>
          <w:sz w:val="24"/>
          <w:szCs w:val="24"/>
        </w:rPr>
        <w:t>. 3) Em sede de mudança de entendimento desta Corte, por força da unitariedade imposta pela decisão do STF (“superação abrupta"), a ausência de prejuízo decorrente da falta de sucumbência cede espaço para a impossibilidade de reconhecimento da ilicitude da terceirização. Sendo assim, </w:t>
      </w:r>
      <w:r w:rsidRPr="003509A3">
        <w:rPr>
          <w:rFonts w:ascii="Open Sans" w:hAnsi="Open Sans" w:cs="Open Sans"/>
          <w:bCs/>
          <w:sz w:val="24"/>
          <w:szCs w:val="24"/>
        </w:rPr>
        <w:t>como litisconsorte necessário, a empresa prestadora que, apesar de figurar no polo passivo, não sofreu condenação, possui interesse em recorrer da decisão que reconheceu o vínculo de emprego entre a parte autora e a empresa tomadora dos serviços</w:t>
      </w:r>
      <w:r w:rsidRPr="003509A3">
        <w:rPr>
          <w:rFonts w:ascii="Open Sans" w:hAnsi="Open Sans" w:cs="Open Sans"/>
          <w:sz w:val="24"/>
          <w:szCs w:val="24"/>
        </w:rPr>
        <w:t xml:space="preserve">. </w:t>
      </w:r>
      <w:proofErr w:type="gramStart"/>
      <w:r w:rsidRPr="003509A3">
        <w:rPr>
          <w:rFonts w:ascii="Open Sans" w:hAnsi="Open Sans" w:cs="Open Sans"/>
          <w:sz w:val="24"/>
          <w:szCs w:val="24"/>
        </w:rPr>
        <w:t>4</w:t>
      </w:r>
      <w:proofErr w:type="gramEnd"/>
      <w:r w:rsidRPr="003509A3">
        <w:rPr>
          <w:rFonts w:ascii="Open Sans" w:hAnsi="Open Sans" w:cs="Open Sans"/>
          <w:sz w:val="24"/>
          <w:szCs w:val="24"/>
        </w:rPr>
        <w:t>) Diante da existência de </w:t>
      </w:r>
      <w:r w:rsidRPr="003509A3">
        <w:rPr>
          <w:rFonts w:ascii="Open Sans" w:hAnsi="Open Sans" w:cs="Open Sans"/>
          <w:bCs/>
          <w:sz w:val="24"/>
          <w:szCs w:val="24"/>
        </w:rPr>
        <w:t>litisconsórcio necessário e unitário</w:t>
      </w:r>
      <w:r w:rsidRPr="003509A3">
        <w:rPr>
          <w:rFonts w:ascii="Open Sans" w:hAnsi="Open Sans" w:cs="Open Sans"/>
          <w:sz w:val="24"/>
          <w:szCs w:val="24"/>
        </w:rPr>
        <w:t xml:space="preserve">, a decisão obrigatoriamente produzirá idênticos efeitos para as empresas prestadora e tomadora dos serviços no plano do direito material. </w:t>
      </w:r>
      <w:proofErr w:type="gramStart"/>
      <w:r w:rsidRPr="003509A3">
        <w:rPr>
          <w:rFonts w:ascii="Open Sans" w:hAnsi="Open Sans" w:cs="Open Sans"/>
          <w:sz w:val="24"/>
          <w:szCs w:val="24"/>
        </w:rPr>
        <w:t>Logo, </w:t>
      </w:r>
      <w:r w:rsidRPr="003509A3">
        <w:rPr>
          <w:rFonts w:ascii="Open Sans" w:hAnsi="Open Sans" w:cs="Open Sans"/>
          <w:bCs/>
          <w:sz w:val="24"/>
          <w:szCs w:val="24"/>
        </w:rPr>
        <w:t>a decisão em sede de juízo de retratação, mesmo quando apenas uma das rés interpôs o recurso extraordinário, alcançará os litisconsortes de maneira idêntica</w:t>
      </w:r>
      <w:r w:rsidRPr="003509A3">
        <w:rPr>
          <w:rFonts w:ascii="Open Sans" w:hAnsi="Open Sans" w:cs="Open Sans"/>
          <w:sz w:val="24"/>
          <w:szCs w:val="24"/>
        </w:rPr>
        <w:t>.”</w:t>
      </w:r>
      <w:proofErr w:type="gramEnd"/>
      <w:r w:rsidRPr="003509A3">
        <w:rPr>
          <w:rFonts w:ascii="Open Sans" w:hAnsi="Open Sans" w:cs="Open Sans"/>
          <w:sz w:val="24"/>
          <w:szCs w:val="24"/>
        </w:rPr>
        <w:t xml:space="preserve"> Vencidos parcialmente os Ministros Cláudio Mascarenhas Brandão, relator, Breno Medeiros, Alberto Bastos Balazeiro, Augusto César Leite de Carvalho,  Lelio Bentes Corrêa, Mauricio Godinho Delgado, José Roberto Freire Pimenta, Hugo Carlos Scheuermann e Alexandre de Souza Agra Belmonte e as Ministras Maria Helena Mallmann e Delaíde Alves Miranda Arantes. </w:t>
      </w:r>
      <w:hyperlink r:id="rId9" w:history="1">
        <w:r w:rsidRPr="003509A3">
          <w:rPr>
            <w:rStyle w:val="Hyperlink"/>
            <w:rFonts w:ascii="Open Sans" w:hAnsi="Open Sans" w:cs="Open Sans"/>
            <w:sz w:val="24"/>
            <w:szCs w:val="24"/>
          </w:rPr>
          <w:t>TST-IncJulgRREmbRep-1000-71.2012.5.06.0018</w:t>
        </w:r>
      </w:hyperlink>
      <w:r w:rsidRPr="003509A3">
        <w:rPr>
          <w:rFonts w:ascii="Open Sans" w:hAnsi="Open Sans" w:cs="Open Sans"/>
          <w:sz w:val="24"/>
          <w:szCs w:val="24"/>
          <w:u w:val="single"/>
        </w:rPr>
        <w:t>, Tribunal Pleno, red. p/ acórdão Min. Douglas Alencar Rodrigues, 22/2/2022.</w:t>
      </w:r>
    </w:p>
    <w:p w14:paraId="3747BFA4" w14:textId="77777777" w:rsidR="00D81339" w:rsidRPr="003509A3" w:rsidRDefault="00D81339" w:rsidP="005D16C8">
      <w:pPr>
        <w:spacing w:line="360" w:lineRule="auto"/>
        <w:ind w:left="-142" w:right="369" w:firstLine="142"/>
        <w:jc w:val="both"/>
        <w:rPr>
          <w:rFonts w:ascii="Open Sans" w:eastAsiaTheme="minorHAnsi" w:hAnsi="Open Sans" w:cs="Open Sans"/>
          <w:sz w:val="24"/>
          <w:szCs w:val="24"/>
          <w:lang w:eastAsia="en-US"/>
        </w:rPr>
      </w:pPr>
      <w:r w:rsidRPr="003509A3">
        <w:rPr>
          <w:rFonts w:ascii="Open Sans" w:hAnsi="Open Sans" w:cs="Open Sans"/>
          <w:sz w:val="24"/>
          <w:szCs w:val="24"/>
        </w:rPr>
        <w:tab/>
      </w:r>
    </w:p>
    <w:p w14:paraId="568FC986" w14:textId="77777777" w:rsidR="00D81339" w:rsidRPr="003509A3" w:rsidRDefault="00D81339" w:rsidP="008F4CB6">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SUBSEÇÃO I ESPECIALIZADA EM DISSÍDIOS INDIVIDUAIS</w:t>
      </w:r>
    </w:p>
    <w:p w14:paraId="3DDD445F" w14:textId="77777777" w:rsidR="00D81339" w:rsidRPr="003509A3" w:rsidRDefault="00D81339" w:rsidP="00D81339">
      <w:pPr>
        <w:pStyle w:val="Identificao"/>
        <w:rPr>
          <w:rFonts w:ascii="Open Sans" w:hAnsi="Open Sans" w:cs="Open Sans"/>
          <w:b/>
          <w:i/>
          <w:lang w:val="pt-BR"/>
        </w:rPr>
      </w:pPr>
    </w:p>
    <w:p w14:paraId="2F32432D" w14:textId="77777777" w:rsidR="00885841" w:rsidRPr="003509A3" w:rsidRDefault="00D81339" w:rsidP="00885841">
      <w:pPr>
        <w:pStyle w:val="Identificao"/>
        <w:ind w:left="-284" w:right="368"/>
        <w:rPr>
          <w:rFonts w:ascii="Open Sans" w:hAnsi="Open Sans" w:cs="Open Sans"/>
          <w:b/>
          <w:i/>
          <w:lang w:val="pt-BR"/>
        </w:rPr>
      </w:pPr>
      <w:r w:rsidRPr="003509A3">
        <w:rPr>
          <w:rFonts w:ascii="Open Sans" w:hAnsi="Open Sans" w:cs="Open Sans"/>
          <w:b/>
          <w:i/>
          <w:lang w:val="pt-BR"/>
        </w:rPr>
        <w:t>Dispensa discriminatória. Configuração. Empregada portadora de câncer. Presunção de preconceito ou de estigma. Aplicação da Súmula n° 443 do TST.</w:t>
      </w:r>
    </w:p>
    <w:p w14:paraId="7A745F6A" w14:textId="3647D9D5" w:rsidR="00885841" w:rsidRPr="003509A3" w:rsidRDefault="00885841" w:rsidP="00885841">
      <w:pPr>
        <w:pStyle w:val="Identificao"/>
        <w:ind w:left="-284" w:right="368"/>
        <w:rPr>
          <w:rFonts w:ascii="Open Sans" w:hAnsi="Open Sans" w:cs="Open Sans"/>
          <w:b/>
          <w:i/>
          <w:lang w:val="pt-BR"/>
        </w:rPr>
      </w:pPr>
      <w:r w:rsidRPr="003509A3">
        <w:rPr>
          <w:rFonts w:ascii="Open Sans" w:hAnsi="Open Sans" w:cs="Open Sans"/>
          <w:lang w:val="pt-BR"/>
        </w:rPr>
        <w:t xml:space="preserve">A neoplasia maligna (câncer) é doença grave comumente associada a estigma, o que possibilita a presunção de dispensa discriminatória do empregado acometido com a moléstia, em consonância com a Súmula nº 443 do TST. Cabe ao empregador, destarte, demonstrar de forma insofismável que a demissão não foi motivada direta ou indiretamente pela enfermidade.  No caso, a empregada foi diagnosticada com câncer de mama e foi dispensada após sua cirurgia, enquanto era submetida </w:t>
      </w:r>
      <w:proofErr w:type="gramStart"/>
      <w:r w:rsidRPr="003509A3">
        <w:rPr>
          <w:rFonts w:ascii="Open Sans" w:hAnsi="Open Sans" w:cs="Open Sans"/>
          <w:lang w:val="pt-BR"/>
        </w:rPr>
        <w:t>a</w:t>
      </w:r>
      <w:proofErr w:type="gramEnd"/>
      <w:r w:rsidRPr="003509A3">
        <w:rPr>
          <w:rFonts w:ascii="Open Sans" w:hAnsi="Open Sans" w:cs="Open Sans"/>
          <w:lang w:val="pt-BR"/>
        </w:rPr>
        <w:t xml:space="preserve"> terapia hormonal adjuvante para evitar a recidiva da doença. Para tanto, a ré utilizou-se de uma única avaliação de desempenho insuficiente para motivar a dispensa da autora, o que não caracteriza elemento hábil para afastar a presunção de discriminação, </w:t>
      </w:r>
      <w:r w:rsidRPr="003509A3">
        <w:rPr>
          <w:rFonts w:ascii="Open Sans" w:hAnsi="Open Sans" w:cs="Open Sans"/>
          <w:lang w:val="pt-BR"/>
        </w:rPr>
        <w:lastRenderedPageBreak/>
        <w:t xml:space="preserve">mormente quando a avaliação foi realizada durante o seu tratamento, situação em que é previsível a ocorrência de variações do desempenho de qualquer pessoa. Sob esses fundamentos, a SBDI-1, por maioria, conheceu do recurso de embargos, por má aplicação da Súmula nº 443 do TST e, no mérito, deu-lhe provimento para restabelecer o acórdão do Tribunal Regional, que reconhecera a dispensa discriminatória da reclamante. Vencidas as Ministras Maria Cristina Irigoyen Peduzzi e Dora Maria da Costa e vencido o Ministro Alexandre Luiz Ramos. </w:t>
      </w:r>
      <w:hyperlink r:id="rId10" w:history="1">
        <w:r w:rsidRPr="003509A3">
          <w:rPr>
            <w:rStyle w:val="Hyperlink"/>
            <w:rFonts w:ascii="Open Sans" w:hAnsi="Open Sans" w:cs="Open Sans"/>
            <w:lang w:val="pt-BR"/>
          </w:rPr>
          <w:t>TST-E-RR-10953-57.2018.5.03.0107</w:t>
        </w:r>
      </w:hyperlink>
      <w:r w:rsidRPr="003509A3">
        <w:rPr>
          <w:rFonts w:ascii="Open Sans" w:hAnsi="Open Sans" w:cs="Open Sans"/>
          <w:u w:val="single"/>
          <w:lang w:val="pt-BR"/>
        </w:rPr>
        <w:t>, SBDI-I, rel. Min. Cláudio Mascarenhas Brandão, 24/2/2022.</w:t>
      </w:r>
    </w:p>
    <w:p w14:paraId="13889978" w14:textId="77777777" w:rsidR="00885841" w:rsidRPr="003509A3" w:rsidRDefault="00885841" w:rsidP="00885841">
      <w:pPr>
        <w:pStyle w:val="Corpo"/>
        <w:spacing w:line="360" w:lineRule="auto"/>
        <w:ind w:left="-284" w:right="368" w:firstLine="0"/>
        <w:rPr>
          <w:rFonts w:ascii="Open Sans" w:hAnsi="Open Sans" w:cs="Open Sans"/>
          <w:lang w:val="pt-BR"/>
        </w:rPr>
      </w:pPr>
    </w:p>
    <w:p w14:paraId="7217D15D" w14:textId="77777777" w:rsidR="009A76A2" w:rsidRPr="003509A3" w:rsidRDefault="009A76A2" w:rsidP="008F4CB6">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14:paraId="16C7DDD1" w14:textId="77777777" w:rsidR="009A76A2" w:rsidRPr="003509A3" w:rsidRDefault="009A76A2" w:rsidP="00F95BC2">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 xml:space="preserve">Transcrição de ementas selecionadas </w:t>
      </w:r>
      <w:r w:rsidR="009D2FB1" w:rsidRPr="003509A3">
        <w:rPr>
          <w:rFonts w:ascii="Open Sans" w:hAnsi="Open Sans" w:cs="Open Sans"/>
          <w:i/>
        </w:rPr>
        <w:t>n</w:t>
      </w:r>
      <w:r w:rsidRPr="003509A3">
        <w:rPr>
          <w:rFonts w:ascii="Open Sans" w:hAnsi="Open Sans" w:cs="Open Sans"/>
          <w:i/>
        </w:rPr>
        <w:t>as sessões de julgamento das Turmas do TST.</w:t>
      </w:r>
    </w:p>
    <w:p w14:paraId="6A986D99" w14:textId="77777777" w:rsidR="00F95BC2" w:rsidRPr="003509A3" w:rsidRDefault="00F95BC2" w:rsidP="00F95BC2">
      <w:pPr>
        <w:ind w:right="368"/>
        <w:jc w:val="both"/>
        <w:rPr>
          <w:rFonts w:ascii="Open Sans" w:hAnsi="Open Sans" w:cs="Open Sans"/>
          <w:sz w:val="24"/>
          <w:szCs w:val="24"/>
        </w:rPr>
      </w:pPr>
    </w:p>
    <w:p w14:paraId="582021BB"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RECURSO DE REVISTA. PROCESSO SOB A ÉGIDE DA LEI 13.015/2014 E ANTERIOR À LEI 13.467/17. COMPETÊNCIA DA JUSTIÇA DO TRABALHO. SERVIDOR ESTATUTÁRIO CEDIDO A EMPRESA PÚBLICA (PERÍODO DE 03.12.2004 A 18.10.2011). SAQUES DE FGTS DEPOSITADOS PELA CESSIONÁRIA EM CONTA VINCULADA EM NOME DO RECLAMANTE. ART. 114, I, DA CRFB. Cinge-se a controvérsia acerca da competência desta Justiça Especializada para processar e julgar pedido de servidor público federal para levantamento dos valores depositados na conta vinculada do fundo de garantia, no período de 03/12/2004 a 18/10/2011, quando se encontrava cedido para a Empresa Brasileira de Correios e Telégrafos. O Pleno do STF referendou liminar concedida pelo Ministro Nelson Jobim no julgamento da Medida Cautelar na ADI 3.395-6/DF, no sentido de que, mesmo após a EC nº 45/2004, a Justiça do Trabalho não tem Competência para processar e julgar causas instauradas entre o Poder Público e o servidor que a ele seja vinculado por relação jurídico-administrativa. No mesmo sentido, o Supremo Tribunal Federal tem reconhecido a competência da Justiça Comum para pronunciar-se sobre a existência, a validade e a eficácia das relações entre servidores e o Poder Público fundadas em vínculo jurídico-administrativo, registrando ser irrelevante a argumentação de que o contrato é temporário ou precário, ou que tenha sido extrapolado seu prazo inicial. (Rcl 11325 </w:t>
      </w:r>
      <w:proofErr w:type="gramStart"/>
      <w:r w:rsidRPr="003509A3">
        <w:rPr>
          <w:rFonts w:ascii="Open Sans" w:hAnsi="Open Sans" w:cs="Open Sans"/>
          <w:sz w:val="24"/>
          <w:szCs w:val="24"/>
        </w:rPr>
        <w:t>AgR</w:t>
      </w:r>
      <w:proofErr w:type="gramEnd"/>
      <w:r w:rsidRPr="003509A3">
        <w:rPr>
          <w:rFonts w:ascii="Open Sans" w:hAnsi="Open Sans" w:cs="Open Sans"/>
          <w:sz w:val="24"/>
          <w:szCs w:val="24"/>
        </w:rPr>
        <w:t xml:space="preserve">/CE - CEARÁ, AG.REG. NA RECLAMAÇÃO, Relator(a) p/ Acórdão: Min. DIAS TOFFOLI, Julgamento: 06/05/2014. Órgão Julgador: Primeira Turma). Ocorre, contudo, que não se discute na presente hipótese a existência de vício na relação jurídico-administrativa de modo a descaracterizá-la. Como visto, o Reclamante pretende a liberação de depósitos do FGTS recolhidos pela pessoa jurídica cessionária, durante o período da cessão. Impõe-se, ainda, ressaltar que, conforme se extraem das premissas fáticas constantes do voto vencido, e não contrapostas pelo voto vencedor, a cessão do Reclamante - </w:t>
      </w:r>
      <w:proofErr w:type="gramStart"/>
      <w:r w:rsidRPr="003509A3">
        <w:rPr>
          <w:rFonts w:ascii="Open Sans" w:hAnsi="Open Sans" w:cs="Open Sans"/>
          <w:sz w:val="24"/>
          <w:szCs w:val="24"/>
        </w:rPr>
        <w:t>servidor</w:t>
      </w:r>
      <w:proofErr w:type="gramEnd"/>
      <w:r w:rsidRPr="003509A3">
        <w:rPr>
          <w:rFonts w:ascii="Open Sans" w:hAnsi="Open Sans" w:cs="Open Sans"/>
          <w:sz w:val="24"/>
          <w:szCs w:val="24"/>
        </w:rPr>
        <w:t xml:space="preserve"> público estatutário - para a ECT foi realizada com ônus para a cessionária. Com efeito, inobstante ser o Reclamante servidor público integrante dos quadros do Ministério das Comunicações, e, sendo certo, que a cessão do servidor não transmuda o vínculo administrativo, consoante destacado pelo acórdão regional, a pretensão deduzida tem origem no liame havido entre o Reclamante e empresa cessionária que se submete ao </w:t>
      </w:r>
      <w:r w:rsidRPr="003509A3">
        <w:rPr>
          <w:rFonts w:ascii="Open Sans" w:hAnsi="Open Sans" w:cs="Open Sans"/>
          <w:sz w:val="24"/>
          <w:szCs w:val="24"/>
        </w:rPr>
        <w:lastRenderedPageBreak/>
        <w:t xml:space="preserve">regime celetista, circunstância que atrai a competência material da Justiça do Trabalho, nos termos do art. 114, I da CF. Nessa diretriz, o Superior Tribunal de Justiça, examinando, em sede de Conflito de Competência, casos envolvendo discussão acerca de parcelas de natureza trabalhistas </w:t>
      </w:r>
      <w:proofErr w:type="gramStart"/>
      <w:r w:rsidRPr="003509A3">
        <w:rPr>
          <w:rFonts w:ascii="Open Sans" w:hAnsi="Open Sans" w:cs="Open Sans"/>
          <w:sz w:val="24"/>
          <w:szCs w:val="24"/>
        </w:rPr>
        <w:t>pagas a servidor público estatutário</w:t>
      </w:r>
      <w:proofErr w:type="gramEnd"/>
      <w:r w:rsidRPr="003509A3">
        <w:rPr>
          <w:rFonts w:ascii="Open Sans" w:hAnsi="Open Sans" w:cs="Open Sans"/>
          <w:sz w:val="24"/>
          <w:szCs w:val="24"/>
        </w:rPr>
        <w:t xml:space="preserve"> pela empresa cessionária no decurso da cessão, declarou a competência desta Justiça Especializada para o processamento do feito. Logo, a declaração de incompetência da Justiça do Trabalho para julgar a presente lide afronta o art. 114, I, da CF</w:t>
      </w:r>
      <w:proofErr w:type="gramStart"/>
      <w:r w:rsidRPr="003509A3">
        <w:rPr>
          <w:rFonts w:ascii="Open Sans" w:hAnsi="Open Sans" w:cs="Open Sans"/>
          <w:sz w:val="24"/>
          <w:szCs w:val="24"/>
        </w:rPr>
        <w:t>. Recurso de revista conhecido e provido.”</w:t>
      </w:r>
      <w:proofErr w:type="gramEnd"/>
      <w:r w:rsidRPr="003509A3">
        <w:rPr>
          <w:rFonts w:ascii="Open Sans" w:hAnsi="Open Sans" w:cs="Open Sans"/>
          <w:sz w:val="24"/>
          <w:szCs w:val="24"/>
        </w:rPr>
        <w:t xml:space="preserve"> (</w:t>
      </w:r>
      <w:hyperlink r:id="rId11" w:history="1">
        <w:r w:rsidRPr="003509A3">
          <w:rPr>
            <w:rStyle w:val="Hyperlink"/>
            <w:rFonts w:ascii="Open Sans" w:hAnsi="Open Sans" w:cs="Open Sans"/>
            <w:sz w:val="24"/>
            <w:szCs w:val="24"/>
          </w:rPr>
          <w:t>TST-RR-1044-27.2017.5.10.0011</w:t>
        </w:r>
      </w:hyperlink>
      <w:r w:rsidRPr="003509A3">
        <w:rPr>
          <w:rFonts w:ascii="Open Sans" w:hAnsi="Open Sans" w:cs="Open Sans"/>
          <w:sz w:val="24"/>
          <w:szCs w:val="24"/>
        </w:rPr>
        <w:t>, 3ª Turma, rel. Min. Mauricio Godinho Delgado, julgado em 9/2/2022.)</w:t>
      </w:r>
    </w:p>
    <w:p w14:paraId="63BAD654" w14:textId="77777777" w:rsidR="003509A3" w:rsidRPr="003509A3" w:rsidRDefault="003509A3" w:rsidP="003509A3">
      <w:pPr>
        <w:ind w:left="-284" w:right="368"/>
        <w:jc w:val="both"/>
        <w:rPr>
          <w:rFonts w:ascii="Open Sans" w:hAnsi="Open Sans" w:cs="Open Sans"/>
          <w:sz w:val="24"/>
          <w:szCs w:val="24"/>
        </w:rPr>
      </w:pPr>
    </w:p>
    <w:p w14:paraId="11BD34BA" w14:textId="532E321F" w:rsidR="003509A3" w:rsidRPr="003509A3" w:rsidRDefault="003509A3" w:rsidP="003509A3">
      <w:pPr>
        <w:pStyle w:val="Ementa"/>
        <w:ind w:left="-284" w:right="368"/>
        <w:rPr>
          <w:rFonts w:ascii="Open Sans" w:hAnsi="Open Sans" w:cs="Open Sans"/>
          <w:color w:val="auto"/>
          <w:lang w:val="pt-BR"/>
        </w:rPr>
      </w:pPr>
      <w:r w:rsidRPr="003509A3">
        <w:rPr>
          <w:rFonts w:ascii="Open Sans" w:hAnsi="Open Sans" w:cs="Open Sans"/>
          <w:color w:val="auto"/>
          <w:lang w:val="pt-BR"/>
        </w:rPr>
        <w:t>“[</w:t>
      </w:r>
      <w:proofErr w:type="gramStart"/>
      <w:r w:rsidRPr="003509A3">
        <w:rPr>
          <w:rFonts w:ascii="Open Sans" w:hAnsi="Open Sans" w:cs="Open Sans"/>
          <w:color w:val="auto"/>
          <w:lang w:val="pt-BR"/>
        </w:rPr>
        <w:t>...] B)</w:t>
      </w:r>
      <w:proofErr w:type="gramEnd"/>
      <w:r w:rsidRPr="003509A3">
        <w:rPr>
          <w:rFonts w:ascii="Open Sans" w:hAnsi="Open Sans" w:cs="Open Sans"/>
          <w:color w:val="auto"/>
          <w:lang w:val="pt-BR"/>
        </w:rPr>
        <w:t xml:space="preserve"> RECURSO DE REVISTA. PROCESSO SOB A ÉGIDE DA LEI 13.015/2014 E ANTERIOR À LEI 13.467/2017. AÇÃO CIVIL PÚBLICA COM PEDIDO DE TUTELA INIBITÓRIA. SERVIÇO DE VIGILÂNCIA. EXIGÊNCIA DE APRESENTAÇÃO AO SERVIÇO COM CABELO E BARBA APARADOS. CONDUTA DISCRIMINATÓRIA. CABIMENTO DE INDENIZAÇÃO POR DANO MORAL COLETIVO. Discriminação é a conduta pela qual se nega à pessoa - em face de critério injustamente desqualificante - tratamento compatível com o padrão jurídico assentado para a situação concreta por ela vivenciada. O princípio da não discriminação tem por finalidade precípua assegurar a proteção, a resistência, sendo denegatório de conduta que se considera gravemente censurável. Portanto, labora sobre um piso de civilidade que se considera mínimo para a convivência entre as pessoas. A conquista e afirmação da dignidade da pessoa humana não mais podem se restringir à sua liberdade e intangibilidade física e psíquica, envolvendo, naturalmente, também a conquista e afirmação de sua individualidade no meio econômico e social, com repercussões positivas conexas no plano cultural - o que se faz, de maneira geral, considerado o conjunto mais amplo e diversificado das pessoas, mediante o trabalho e, particularmente, o emprego. As proteções jurídicas contra discriminações na relação de emprego são distintas. A par das proteções que envolvem discriminações com direta e principal repercussão na temática salarial, há as proteções jurídicas contra discriminações em geral, que envolvem tipos diversos e variados de empregados ou tipos de situações contratuais. Embora grande parte desses casos acabe por ter, também, repercussões salariais, o que os distingue é a circunstância de serem discriminações de dimensão e face diversificadas, não se concentrando apenas (ou fundamentalmente) no aspecto salarial. Por outro lado, releva ponderar que, para a configuração do dano moral coletivo se exige a constatação de lesão a uma coletividade, um dano social que ultrapasse a esfera de </w:t>
      </w:r>
      <w:proofErr w:type="gramStart"/>
      <w:r w:rsidRPr="003509A3">
        <w:rPr>
          <w:rFonts w:ascii="Open Sans" w:hAnsi="Open Sans" w:cs="Open Sans"/>
          <w:color w:val="auto"/>
          <w:lang w:val="pt-BR"/>
        </w:rPr>
        <w:t>interesse</w:t>
      </w:r>
      <w:proofErr w:type="gramEnd"/>
      <w:r w:rsidRPr="003509A3">
        <w:rPr>
          <w:rFonts w:ascii="Open Sans" w:hAnsi="Open Sans" w:cs="Open Sans"/>
          <w:color w:val="auto"/>
          <w:lang w:val="pt-BR"/>
        </w:rPr>
        <w:t xml:space="preserve"> meramente particular, individual do ser humano, por mais que a conduta ofensora atinja, igualmente, a esfera privada do indivíduo. No caso dos autos, apesar de o TRT ter consignado que apenas um único empregado foi dispensado por tratamento discriminatório, decorrente da sua recusa em retirar o cavanhaque, assentou também que o</w:t>
      </w:r>
      <w:r w:rsidRPr="00FA6D0F">
        <w:rPr>
          <w:rFonts w:ascii="Open Sans" w:hAnsi="Open Sans" w:cs="Open Sans"/>
          <w:i/>
          <w:color w:val="auto"/>
          <w:lang w:val="pt-BR"/>
        </w:rPr>
        <w:t xml:space="preserve"> “Regimento Interno da Divisão de Vigilância e Segurança Patrimonial- DIVIG, da Universidade Federal de Uberlândia, estabelece que um dos deveres dos membros da divisão é se apresentar ao serviço corretamente uniformizado, cabelo e barba aparados”</w:t>
      </w:r>
      <w:r w:rsidRPr="003509A3">
        <w:rPr>
          <w:rFonts w:ascii="Open Sans" w:hAnsi="Open Sans" w:cs="Open Sans"/>
          <w:color w:val="auto"/>
          <w:lang w:val="pt-BR"/>
        </w:rPr>
        <w:t xml:space="preserve">. Tais circunstâncias demonstram que a referida disposição normativa indica restrição </w:t>
      </w:r>
      <w:r w:rsidRPr="003509A3">
        <w:rPr>
          <w:rFonts w:ascii="Open Sans" w:hAnsi="Open Sans" w:cs="Open Sans"/>
          <w:color w:val="auto"/>
          <w:lang w:val="pt-BR"/>
        </w:rPr>
        <w:lastRenderedPageBreak/>
        <w:t xml:space="preserve">discriminatória quanto à imagem pessoal dos empregados do setor de vigilância, postura que não condiz com o nosso Ordenamento Jurídico (artigos 1º, III, e 3º, IV, da CF). Com efeito, o fato de apenas um único empregado ter se insurgido contra a exigência prevista no Regimento Interno da Divisão de Vigilância e Segurança Patrimonial- DIVIG, da Universidade Federal de Uberlândia, não retira o caráter discriminatório da norma interna. Dessa maneira, verifica-se cabível a indenização por dano moral coletivo, a ser revertida ao FAT, como medida punitiva e pedagógica em face da ilegalidade perpetrada. </w:t>
      </w:r>
      <w:proofErr w:type="gramStart"/>
      <w:r w:rsidRPr="003509A3">
        <w:rPr>
          <w:rFonts w:ascii="Open Sans" w:hAnsi="Open Sans" w:cs="Open Sans"/>
          <w:color w:val="auto"/>
          <w:lang w:val="pt-BR"/>
        </w:rPr>
        <w:t>Recurso de revista conhecido e provido.”</w:t>
      </w:r>
      <w:proofErr w:type="gramEnd"/>
      <w:r w:rsidRPr="003509A3">
        <w:rPr>
          <w:rFonts w:ascii="Open Sans" w:hAnsi="Open Sans" w:cs="Open Sans"/>
          <w:color w:val="auto"/>
          <w:lang w:val="pt-BR"/>
        </w:rPr>
        <w:t xml:space="preserve"> (</w:t>
      </w:r>
      <w:hyperlink r:id="rId12" w:history="1">
        <w:r w:rsidRPr="003509A3">
          <w:rPr>
            <w:rStyle w:val="Hyperlink"/>
            <w:rFonts w:ascii="Open Sans" w:hAnsi="Open Sans" w:cs="Open Sans"/>
            <w:lang w:val="pt-BR"/>
          </w:rPr>
          <w:t>TST-R</w:t>
        </w:r>
        <w:r w:rsidRPr="003509A3">
          <w:rPr>
            <w:rStyle w:val="Hyperlink"/>
            <w:rFonts w:ascii="Open Sans" w:hAnsi="Open Sans" w:cs="Open Sans"/>
            <w:lang w:val="pt-BR"/>
          </w:rPr>
          <w:t>R</w:t>
        </w:r>
        <w:r w:rsidRPr="003509A3">
          <w:rPr>
            <w:rStyle w:val="Hyperlink"/>
            <w:rFonts w:ascii="Open Sans" w:hAnsi="Open Sans" w:cs="Open Sans"/>
            <w:lang w:val="pt-BR"/>
          </w:rPr>
          <w:t>-1257-47.2014.5.03.0071</w:t>
        </w:r>
      </w:hyperlink>
      <w:r w:rsidRPr="003509A3">
        <w:rPr>
          <w:rFonts w:ascii="Open Sans" w:hAnsi="Open Sans" w:cs="Open Sans"/>
          <w:color w:val="auto"/>
          <w:lang w:val="pt-BR"/>
        </w:rPr>
        <w:t>, 3ª Turma, rel. Min. Mauricio Godinho Delgado, julgado em 16/2/2022.)</w:t>
      </w:r>
    </w:p>
    <w:p w14:paraId="229C7FBD" w14:textId="77777777" w:rsidR="003509A3" w:rsidRPr="003509A3" w:rsidRDefault="003509A3" w:rsidP="003509A3">
      <w:pPr>
        <w:ind w:left="-284" w:right="368"/>
        <w:jc w:val="both"/>
        <w:rPr>
          <w:rFonts w:ascii="Open Sans" w:hAnsi="Open Sans" w:cs="Open Sans"/>
          <w:sz w:val="24"/>
          <w:szCs w:val="24"/>
        </w:rPr>
      </w:pPr>
    </w:p>
    <w:p w14:paraId="68DD4A07" w14:textId="77777777" w:rsidR="003509A3" w:rsidRPr="003509A3" w:rsidRDefault="003509A3" w:rsidP="003509A3">
      <w:pPr>
        <w:pStyle w:val="Ementa"/>
        <w:ind w:left="-284" w:right="368"/>
        <w:rPr>
          <w:rFonts w:ascii="Open Sans" w:hAnsi="Open Sans" w:cs="Open Sans"/>
          <w:bCs/>
          <w:color w:val="auto"/>
          <w:lang w:val="pt-BR"/>
        </w:rPr>
      </w:pPr>
      <w:proofErr w:type="gramStart"/>
      <w:r w:rsidRPr="003509A3">
        <w:rPr>
          <w:rFonts w:ascii="Open Sans" w:hAnsi="Open Sans" w:cs="Open Sans"/>
          <w:color w:val="auto"/>
          <w:lang w:val="pt-BR"/>
        </w:rPr>
        <w:t>“RECURSO DE REVISTA.</w:t>
      </w:r>
      <w:proofErr w:type="gramEnd"/>
      <w:r w:rsidRPr="003509A3">
        <w:rPr>
          <w:rFonts w:ascii="Open Sans" w:hAnsi="Open Sans" w:cs="Open Sans"/>
          <w:color w:val="auto"/>
          <w:lang w:val="pt-BR"/>
        </w:rPr>
        <w:t xml:space="preserve"> PROCESSO SOB A ÉGIDE DAS LEIS 13.015/2014 E 13.467/2017. HONORÁRIOS ADVOCATÍCIOS SUCUMBENCIAIS - BENEFICIÁRIO DA JUSTIÇA GRATUITA - ART. 791-A, § 4º, DA CLT INCLUÍDO PELA LEI 13.467/2017. A Lei 13.467/2017 (Lei da Reforma Trabalhista) trouxe, no regramento contido no artigo 791-A da CLT, alterações impactantes no tocante ao regime de concessão dos honorários advocatícios de sucumbência. Nos termos do novo texto legal, os honorários advocatícios têm pertinência em distintas hipóteses de sucumbência: a) na sucumbência total ou parcial do empregador; b) na sucumbência total ou parcial do trabalhador; c) na sucumbência do empregador ou do trabalhador em situações que envolvam reconvenção. Seguindo a diretriz contida na IN 41/2018 desta Corte Superior, que dispõe sobre a aplicação das normas processuais da CLT alteradas pela Lei 13.467/2017, a condenação em honorários advocatícios sucumbenciais, prevista no art. 790-A da CLT, será aplicável às ações propostas após 11 de novembro de 2017 (Lei nº 13.467/2017). Contudo a aplicação da nova disciplina sobre a matéria, no plano processual trabalhista, deve ser realizada para além de uma simples leitura literal e isolada do dispositivo em análise, buscando uma interpretação lógico-racional, sistemática e teleológica, de forma a garantir a harmonia do novo regramento dos</w:t>
      </w:r>
      <w:r w:rsidRPr="003509A3">
        <w:rPr>
          <w:rFonts w:ascii="Open Sans" w:hAnsi="Open Sans" w:cs="Open Sans"/>
          <w:b/>
          <w:bCs/>
          <w:color w:val="auto"/>
          <w:lang w:val="pt-BR"/>
        </w:rPr>
        <w:t xml:space="preserve"> </w:t>
      </w:r>
      <w:r w:rsidRPr="003509A3">
        <w:rPr>
          <w:rFonts w:ascii="Open Sans" w:hAnsi="Open Sans" w:cs="Open Sans"/>
          <w:color w:val="auto"/>
          <w:lang w:val="pt-BR"/>
        </w:rPr>
        <w:t>honorários advocatícios de sucumbência</w:t>
      </w:r>
      <w:r w:rsidRPr="003509A3">
        <w:rPr>
          <w:rFonts w:ascii="Open Sans" w:hAnsi="Open Sans" w:cs="Open Sans"/>
          <w:b/>
          <w:bCs/>
          <w:color w:val="auto"/>
          <w:lang w:val="pt-BR"/>
        </w:rPr>
        <w:t xml:space="preserve"> </w:t>
      </w:r>
      <w:r w:rsidRPr="003509A3">
        <w:rPr>
          <w:rFonts w:ascii="Open Sans" w:hAnsi="Open Sans" w:cs="Open Sans"/>
          <w:color w:val="auto"/>
          <w:lang w:val="pt-BR"/>
        </w:rPr>
        <w:t xml:space="preserve">com o ordenamento jurídico pátrio, em especial, com as normas e princípios constitucionais. Importante pontuar que o reconhecimento do direito aos honorários </w:t>
      </w:r>
      <w:proofErr w:type="gramStart"/>
      <w:r w:rsidRPr="003509A3">
        <w:rPr>
          <w:rFonts w:ascii="Open Sans" w:hAnsi="Open Sans" w:cs="Open Sans"/>
          <w:color w:val="auto"/>
          <w:lang w:val="pt-BR"/>
        </w:rPr>
        <w:t>de</w:t>
      </w:r>
      <w:proofErr w:type="gramEnd"/>
      <w:r w:rsidRPr="003509A3">
        <w:rPr>
          <w:rFonts w:ascii="Open Sans" w:hAnsi="Open Sans" w:cs="Open Sans"/>
          <w:color w:val="auto"/>
          <w:lang w:val="pt-BR"/>
        </w:rPr>
        <w:t xml:space="preserve"> sucumbência ao advogado, nos termos do </w:t>
      </w:r>
      <w:r w:rsidRPr="003509A3">
        <w:rPr>
          <w:rFonts w:ascii="Open Sans" w:hAnsi="Open Sans" w:cs="Open Sans"/>
          <w:i/>
          <w:iCs/>
          <w:color w:val="auto"/>
          <w:lang w:val="pt-BR"/>
        </w:rPr>
        <w:t>caput</w:t>
      </w:r>
      <w:r w:rsidRPr="003509A3">
        <w:rPr>
          <w:rFonts w:ascii="Open Sans" w:hAnsi="Open Sans" w:cs="Open Sans"/>
          <w:color w:val="auto"/>
          <w:lang w:val="pt-BR"/>
        </w:rPr>
        <w:t xml:space="preserve"> do artigo 791-A da CLT, conquanto impacte os custos da ação trabalhista, tornando-a mais onerosa para a Parte que os deva suportar, não apresenta, em si, uma barreira de acesso à Justiça aos segmentos sociais vulneráveis e hipossuficientes. Todavia, esse entendimento desaparece diante do regramento contido no § 4º do art. 791-A da CLT, que, ao estender ao beneficiário da justiça gratuita a responsabilidade pelo pagamento de honorários advocatícios de sucumbência, trouxe uma patente, significativa e comprometedora redução dos direitos fundamentais ao acesso à Justiça e à justiça gratuita. No Brasil, a preocupação em torno da necessidade de proteção jurídica aos pobres e excluídos da sociedade culminou com o reconhecimento da assistência judiciária na Constituição de 1934, que, com exceção da Carta autoritária de 1937, teve assento nos textos constitucionais seguintes, consoante retratado por Peter Messitte, no artigo intitulado “</w:t>
      </w:r>
      <w:r w:rsidRPr="003509A3">
        <w:rPr>
          <w:rFonts w:ascii="Open Sans" w:hAnsi="Open Sans" w:cs="Open Sans"/>
          <w:i/>
          <w:iCs/>
          <w:color w:val="auto"/>
          <w:lang w:val="pt-BR"/>
        </w:rPr>
        <w:t>Assistência judiciária no Brasil: uma pequena história</w:t>
      </w:r>
      <w:r w:rsidRPr="003509A3">
        <w:rPr>
          <w:rFonts w:ascii="Open Sans" w:hAnsi="Open Sans" w:cs="Open Sans"/>
          <w:color w:val="auto"/>
          <w:lang w:val="pt-BR"/>
        </w:rPr>
        <w:t xml:space="preserve">”. A Constituição da República considera como </w:t>
      </w:r>
      <w:r w:rsidRPr="003509A3">
        <w:rPr>
          <w:rFonts w:ascii="Open Sans" w:hAnsi="Open Sans" w:cs="Open Sans"/>
          <w:color w:val="auto"/>
          <w:lang w:val="pt-BR"/>
        </w:rPr>
        <w:lastRenderedPageBreak/>
        <w:t xml:space="preserve">direito e </w:t>
      </w:r>
      <w:proofErr w:type="gramStart"/>
      <w:r w:rsidRPr="003509A3">
        <w:rPr>
          <w:rFonts w:ascii="Open Sans" w:hAnsi="Open Sans" w:cs="Open Sans"/>
          <w:color w:val="auto"/>
          <w:lang w:val="pt-BR"/>
        </w:rPr>
        <w:t>garantia fundamentais, inseridos no Título II da CF (“Dos Direitos e Garantias Fundamentais”)</w:t>
      </w:r>
      <w:proofErr w:type="gramEnd"/>
      <w:r w:rsidRPr="003509A3">
        <w:rPr>
          <w:rFonts w:ascii="Open Sans" w:hAnsi="Open Sans" w:cs="Open Sans"/>
          <w:color w:val="auto"/>
          <w:lang w:val="pt-BR"/>
        </w:rPr>
        <w:t xml:space="preserve">, o amplo acesso das pessoas ao Poder Judiciário (art. 5º, XXXV, da CF), além da prestação, pelo Estado, de </w:t>
      </w:r>
      <w:r w:rsidRPr="004C0FEA">
        <w:rPr>
          <w:rFonts w:ascii="Open Sans" w:hAnsi="Open Sans" w:cs="Open Sans"/>
          <w:i/>
          <w:color w:val="auto"/>
          <w:lang w:val="pt-BR"/>
        </w:rPr>
        <w:t xml:space="preserve">“assistência jurídica integral e gratuita aos que comprovarem insuficiência de recursos” </w:t>
      </w:r>
      <w:r w:rsidRPr="003509A3">
        <w:rPr>
          <w:rFonts w:ascii="Open Sans" w:hAnsi="Open Sans" w:cs="Open Sans"/>
          <w:color w:val="auto"/>
          <w:lang w:val="pt-BR"/>
        </w:rPr>
        <w:t xml:space="preserve">(art. 5º, LXXIV, CF). Para as pessoas economicamente (ou socialmente) vulneráveis, o amplo acesso à jurisdição somente se torna possível e real caso haja, de fato, a efetiva garantia da graciosidade dos atos judiciais. Ora, sabendo-se que a restrição monetária, relativamente aos segmentos sociais sem lastro econômico-financeiro (os segmentos sociais hipossuficientes e vulneráveis, enfatize-se), assume o caráter de restrição absoluta ou quase absoluta, percebe-se que os comandos constitucionais expressos nos incisos XXXV (princípio do amplo acesso à jurisdição) e LXXIV (instituto da justiça gratuita) do art. 5º da CF/88 se mostram flagrantemente desrespeitados pela nova sistemática trazida pela Lei 13.467/2017, em especial, quanto à responsabilização do beneficiário da justiça gratuita ao pagamento dos honorários </w:t>
      </w:r>
      <w:proofErr w:type="gramStart"/>
      <w:r w:rsidRPr="003509A3">
        <w:rPr>
          <w:rFonts w:ascii="Open Sans" w:hAnsi="Open Sans" w:cs="Open Sans"/>
          <w:color w:val="auto"/>
          <w:lang w:val="pt-BR"/>
        </w:rPr>
        <w:t>advocatícios inserida</w:t>
      </w:r>
      <w:proofErr w:type="gramEnd"/>
      <w:r w:rsidRPr="003509A3">
        <w:rPr>
          <w:rFonts w:ascii="Open Sans" w:hAnsi="Open Sans" w:cs="Open Sans"/>
          <w:color w:val="auto"/>
          <w:lang w:val="pt-BR"/>
        </w:rPr>
        <w:t xml:space="preserve"> no § 4º do art. 791-A da CLT. Note-se que os dispositivos legais referidos também agridem, de maneira direta, o princípio constitucional da igualdade, em seu sentido material, pois inviabilizam o remédio legal corretivo, pela lei processual, da situação profundamente desigual que se abate sobre os segmentos sociais hipossuficientes e vulneráveis. Com efeito, </w:t>
      </w:r>
      <w:r w:rsidRPr="003509A3">
        <w:rPr>
          <w:rFonts w:ascii="Open Sans" w:hAnsi="Open Sans" w:cs="Open Sans"/>
          <w:bCs/>
          <w:color w:val="auto"/>
          <w:lang w:val="pt-BR"/>
        </w:rPr>
        <w:t xml:space="preserve">a efetividade da norma contida no </w:t>
      </w:r>
      <w:r w:rsidRPr="003509A3">
        <w:rPr>
          <w:rFonts w:ascii="Open Sans" w:hAnsi="Open Sans" w:cs="Open Sans"/>
          <w:bCs/>
          <w:i/>
          <w:color w:val="auto"/>
          <w:lang w:val="pt-BR"/>
        </w:rPr>
        <w:t xml:space="preserve">caput </w:t>
      </w:r>
      <w:r w:rsidRPr="003509A3">
        <w:rPr>
          <w:rFonts w:ascii="Open Sans" w:hAnsi="Open Sans" w:cs="Open Sans"/>
          <w:bCs/>
          <w:color w:val="auto"/>
          <w:lang w:val="pt-BR"/>
        </w:rPr>
        <w:t>do artigo 791-A da CLT não pode se sobrepor aos direitos fundamentais do acesso à Justiça e da justiça gratuita (art. 5º, XXXV e LXXIV, da CF) - integrantes do núcleo essencial da Constituição da República e protegidos pela cláusula pétrea disposta no art. 60, § 4º, da CF -, que visam equacionar a igualdade das partes dentro do processo e a desigualdade econômico-social dos litigantes, com o fim de garantir, indistintamente, a tutela jurisdicional a todos, inclusive aos segmentos sociais vulneráveis, hipossuficientes e tradicionalmente excluídos do campo institucionalizado do Direito.</w:t>
      </w:r>
      <w:r w:rsidRPr="003509A3">
        <w:rPr>
          <w:rFonts w:ascii="Open Sans" w:hAnsi="Open Sans" w:cs="Open Sans"/>
          <w:color w:val="auto"/>
          <w:lang w:val="pt-BR"/>
        </w:rPr>
        <w:t xml:space="preserve"> </w:t>
      </w:r>
      <w:proofErr w:type="gramStart"/>
      <w:r w:rsidRPr="003509A3">
        <w:rPr>
          <w:rFonts w:ascii="Open Sans" w:hAnsi="Open Sans" w:cs="Open Sans"/>
          <w:color w:val="auto"/>
          <w:lang w:val="pt-BR"/>
        </w:rPr>
        <w:t>Assente-se</w:t>
      </w:r>
      <w:proofErr w:type="gramEnd"/>
      <w:r w:rsidRPr="003509A3">
        <w:rPr>
          <w:rFonts w:ascii="Open Sans" w:hAnsi="Open Sans" w:cs="Open Sans"/>
          <w:color w:val="auto"/>
          <w:lang w:val="pt-BR"/>
        </w:rPr>
        <w:t xml:space="preserve">, ainda, que a inclusão, pela Lei 13.467/2017, do regramento contido no § 4º do art. 791-A da CLT também </w:t>
      </w:r>
      <w:r w:rsidRPr="003509A3">
        <w:rPr>
          <w:rFonts w:ascii="Open Sans" w:hAnsi="Open Sans" w:cs="Open Sans"/>
          <w:i/>
          <w:iCs/>
          <w:color w:val="auto"/>
          <w:lang w:val="pt-BR"/>
        </w:rPr>
        <w:t>desnatura o conceito de justiça social</w:t>
      </w:r>
      <w:r w:rsidRPr="003509A3">
        <w:rPr>
          <w:rFonts w:ascii="Open Sans" w:hAnsi="Open Sans" w:cs="Open Sans"/>
          <w:color w:val="auto"/>
          <w:lang w:val="pt-BR"/>
        </w:rPr>
        <w:t xml:space="preserve">, alicerçada nos princípios da proteção, da progressividade social e da vedação do retrocesso. A vedação a qualquer medida de retrocesso social é diretriz decisiva para que os Direitos Humanos demonstrem seu </w:t>
      </w:r>
      <w:r w:rsidRPr="003509A3">
        <w:rPr>
          <w:rFonts w:ascii="Open Sans" w:hAnsi="Open Sans" w:cs="Open Sans"/>
          <w:i/>
          <w:iCs/>
          <w:color w:val="auto"/>
          <w:lang w:val="pt-BR"/>
        </w:rPr>
        <w:t>caráter progressivo permanente</w:t>
      </w:r>
      <w:r w:rsidRPr="003509A3">
        <w:rPr>
          <w:rFonts w:ascii="Open Sans" w:hAnsi="Open Sans" w:cs="Open Sans"/>
          <w:color w:val="auto"/>
          <w:lang w:val="pt-BR"/>
        </w:rPr>
        <w:t xml:space="preserve">, na perspectiva do denominado princípio da progressividade social. </w:t>
      </w:r>
      <w:r w:rsidRPr="003509A3">
        <w:rPr>
          <w:rFonts w:ascii="Open Sans" w:hAnsi="Open Sans" w:cs="Open Sans"/>
          <w:bCs/>
          <w:color w:val="auto"/>
          <w:lang w:val="pt-BR"/>
        </w:rPr>
        <w:t xml:space="preserve">No Brasil, </w:t>
      </w:r>
      <w:proofErr w:type="gramStart"/>
      <w:r w:rsidRPr="003509A3">
        <w:rPr>
          <w:rFonts w:ascii="Open Sans" w:hAnsi="Open Sans" w:cs="Open Sans"/>
          <w:bCs/>
          <w:color w:val="auto"/>
          <w:lang w:val="pt-BR"/>
        </w:rPr>
        <w:t>o princípio da progressividade dos direitos humanos, bem como o da vedação do retrocesso social estão</w:t>
      </w:r>
      <w:proofErr w:type="gramEnd"/>
      <w:r w:rsidRPr="003509A3">
        <w:rPr>
          <w:rFonts w:ascii="Open Sans" w:hAnsi="Open Sans" w:cs="Open Sans"/>
          <w:bCs/>
          <w:color w:val="auto"/>
          <w:lang w:val="pt-BR"/>
        </w:rPr>
        <w:t xml:space="preserve"> incorporados na norma constante do § 2º do art. 5º da Constituição da República, que estatui explicitamente: </w:t>
      </w:r>
      <w:r w:rsidRPr="003509A3">
        <w:rPr>
          <w:rFonts w:ascii="Open Sans" w:hAnsi="Open Sans" w:cs="Open Sans"/>
          <w:bCs/>
          <w:i/>
          <w:color w:val="auto"/>
          <w:lang w:val="pt-BR"/>
        </w:rPr>
        <w:t xml:space="preserve">“Os direitos e garantias expressos nesta Constituição </w:t>
      </w:r>
      <w:r w:rsidRPr="003509A3">
        <w:rPr>
          <w:rFonts w:ascii="Open Sans" w:hAnsi="Open Sans" w:cs="Open Sans"/>
          <w:bCs/>
          <w:i/>
          <w:iCs/>
          <w:color w:val="auto"/>
          <w:lang w:val="pt-BR"/>
        </w:rPr>
        <w:t>não excluem outros decorrentes do regime e dos princípios por ela adotados</w:t>
      </w:r>
      <w:r w:rsidRPr="003509A3">
        <w:rPr>
          <w:rFonts w:ascii="Open Sans" w:hAnsi="Open Sans" w:cs="Open Sans"/>
          <w:bCs/>
          <w:i/>
          <w:color w:val="auto"/>
          <w:lang w:val="pt-BR"/>
        </w:rPr>
        <w:t>, ou dos tratados internacionais em que a República Federativa do Brasil seja parte</w:t>
      </w:r>
      <w:r w:rsidRPr="003509A3">
        <w:rPr>
          <w:rFonts w:ascii="Open Sans" w:hAnsi="Open Sans" w:cs="Open Sans"/>
          <w:bCs/>
          <w:color w:val="auto"/>
          <w:lang w:val="pt-BR"/>
        </w:rPr>
        <w:t>”</w:t>
      </w:r>
      <w:r w:rsidRPr="003509A3">
        <w:rPr>
          <w:rFonts w:ascii="Open Sans" w:hAnsi="Open Sans" w:cs="Open Sans"/>
          <w:color w:val="auto"/>
          <w:lang w:val="pt-BR"/>
        </w:rPr>
        <w:t xml:space="preserve">. </w:t>
      </w:r>
      <w:r w:rsidRPr="003509A3">
        <w:rPr>
          <w:rFonts w:ascii="Open Sans" w:hAnsi="Open Sans" w:cs="Open Sans"/>
          <w:bCs/>
          <w:color w:val="auto"/>
          <w:lang w:val="pt-BR"/>
        </w:rPr>
        <w:t xml:space="preserve">No plano internacional, a garantia do acesso à Justiça se encontra consagrada na Declaração Universal dos Direitos Humanos, art. 10, no Pacto Internacional sobre Direitos Civil e Políticos, art. 14, 1, e na Convenção Americana sobre Direitos Humanos (Pacto de São José da Costa Rica), art. 8, 1. Portanto, a norma insculpida no § 4º do art. 791-A da CLT, ao criar artifício de esvaziamento e corrosão do direito à justiça gratuita, acaba por diminuir o princípio da igualdade processual, além da redução das desigualdades reais, gerando um obstáculo ao acesso à Justiça, que, na lição de Mauro </w:t>
      </w:r>
      <w:r w:rsidRPr="003509A3">
        <w:rPr>
          <w:rFonts w:ascii="Open Sans" w:hAnsi="Open Sans" w:cs="Open Sans"/>
          <w:bCs/>
          <w:color w:val="auto"/>
          <w:lang w:val="pt-BR"/>
        </w:rPr>
        <w:lastRenderedPageBreak/>
        <w:t>Cappelletti e Bryant Garth, configura “</w:t>
      </w:r>
      <w:r w:rsidRPr="003509A3">
        <w:rPr>
          <w:rFonts w:ascii="Open Sans" w:hAnsi="Open Sans" w:cs="Open Sans"/>
          <w:bCs/>
          <w:i/>
          <w:iCs/>
          <w:color w:val="auto"/>
          <w:lang w:val="pt-BR"/>
        </w:rPr>
        <w:t>o mais básico dos direitos humanos – de um sistema jurídico moderno e igualitário que pretenda garantir, e não apenas proclamar os direitos de todos</w:t>
      </w:r>
      <w:r w:rsidRPr="003509A3">
        <w:rPr>
          <w:rFonts w:ascii="Open Sans" w:hAnsi="Open Sans" w:cs="Open Sans"/>
          <w:bCs/>
          <w:color w:val="auto"/>
          <w:lang w:val="pt-BR"/>
        </w:rPr>
        <w:t xml:space="preserve">.” Importante acentuar que parte significativa dos autores de ações trabalhistas no Brasil </w:t>
      </w:r>
      <w:proofErr w:type="gramStart"/>
      <w:r w:rsidRPr="003509A3">
        <w:rPr>
          <w:rFonts w:ascii="Open Sans" w:hAnsi="Open Sans" w:cs="Open Sans"/>
          <w:bCs/>
          <w:color w:val="auto"/>
          <w:lang w:val="pt-BR"/>
        </w:rPr>
        <w:t>são</w:t>
      </w:r>
      <w:proofErr w:type="gramEnd"/>
      <w:r w:rsidRPr="003509A3">
        <w:rPr>
          <w:rFonts w:ascii="Open Sans" w:hAnsi="Open Sans" w:cs="Open Sans"/>
          <w:bCs/>
          <w:color w:val="auto"/>
          <w:lang w:val="pt-BR"/>
        </w:rPr>
        <w:t xml:space="preserve"> trabalhadores desempregados que litigam contra seus ex-empregadores ou são trabalhadores com renda salarial relativamente modesta – ambos os grupos assumindo, nessa medida, o papel de lídimos destinatários da justiça gratuita. Nesse aspecto, a norma inserta no § 4º do art. 791-A da CLT, incluída pela Lei 13.467/2017, ao criar um mecanismo fictício de perda da condição de hipossuficiência econômica afronta o próprio direito fundamental à gratuidade da Justiça. A compatibilização da previsão contida no </w:t>
      </w:r>
      <w:r w:rsidRPr="003509A3">
        <w:rPr>
          <w:rFonts w:ascii="Open Sans" w:hAnsi="Open Sans" w:cs="Open Sans"/>
          <w:bCs/>
          <w:i/>
          <w:iCs/>
          <w:color w:val="auto"/>
          <w:lang w:val="pt-BR"/>
        </w:rPr>
        <w:t>caput</w:t>
      </w:r>
      <w:r w:rsidRPr="003509A3">
        <w:rPr>
          <w:rFonts w:ascii="Open Sans" w:hAnsi="Open Sans" w:cs="Open Sans"/>
          <w:bCs/>
          <w:color w:val="auto"/>
          <w:lang w:val="pt-BR"/>
        </w:rPr>
        <w:t xml:space="preserve"> do art. 791-A da CLT, inserido pela Lei da Reforma Trabalhista, com a concessão da justiça gratuita ao litigante declarado hipossuficiente econômico, como realização do amplo acesso à Justiça, não pode ser alcançada mediante a utilização de artifício que se mostra incompatível, em si, com a ordem constitucional. </w:t>
      </w:r>
      <w:r w:rsidRPr="003509A3">
        <w:rPr>
          <w:rFonts w:ascii="Open Sans" w:hAnsi="Open Sans" w:cs="Open Sans"/>
          <w:color w:val="auto"/>
          <w:lang w:val="pt-BR"/>
        </w:rPr>
        <w:t xml:space="preserve">Dessa forma, em consonância com os fundamentos anteriormente expostos, este Relator sempre entendeu pela flagrante inconstitucionalidade do § 4º do art. 791-A da CLT, por afronta direta ao art. 5º, XXXV, LXXIV, da CF/88. Em virtude disso, este Relator havia suscitado o incidente de inconstitucionalidade de referido dispositivo no âmbito desta 3ª Turma. Ocorre que com o advento da recentíssima decisão proferida pelo Tribunal Pleno do Supremo Tribunal Federal, nos autos da ADI 5766, que julgou parcialmente procedente o pedido formulado na ação direta, para declarar inconstitucional o artigo 791-A, § 4º, da CLT, a matéria perdeu objeto no âmbito desta Corte Trabalhista. Assim, na presente hipótese, reconhecida pela Instância Ordinária a qualidade de hipossuficiente econômico do Reclamante, com a concessão do benefício da justiça gratuita, a condenação do Reclamante ao pagamento dos honorários advocatícios sucumbenciais implica ofensa direta ao artigo 5º, XXXV e LXXIV, da CF. </w:t>
      </w:r>
      <w:r w:rsidRPr="003509A3">
        <w:rPr>
          <w:rFonts w:ascii="Open Sans" w:hAnsi="Open Sans" w:cs="Open Sans"/>
          <w:bCs/>
          <w:color w:val="auto"/>
          <w:lang w:val="pt-BR"/>
        </w:rPr>
        <w:t>Recurso de revista conhecido e provido.” (</w:t>
      </w:r>
      <w:hyperlink r:id="rId13" w:history="1">
        <w:r w:rsidRPr="003509A3">
          <w:rPr>
            <w:rStyle w:val="Hyperlink"/>
            <w:rFonts w:ascii="Open Sans" w:hAnsi="Open Sans" w:cs="Open Sans"/>
            <w:lang w:val="pt-BR"/>
          </w:rPr>
          <w:t>TST-RR-1000850-60.2018.5.02.0443</w:t>
        </w:r>
      </w:hyperlink>
      <w:r w:rsidRPr="003509A3">
        <w:rPr>
          <w:rFonts w:ascii="Open Sans" w:hAnsi="Open Sans" w:cs="Open Sans"/>
          <w:bCs/>
          <w:color w:val="auto"/>
          <w:lang w:val="pt-BR"/>
        </w:rPr>
        <w:t>, 3ª Turma, rel. Min. Mauricio Godinho Delgado, julgado em 23/2/2022.</w:t>
      </w:r>
      <w:proofErr w:type="gramStart"/>
      <w:r w:rsidRPr="003509A3">
        <w:rPr>
          <w:rFonts w:ascii="Open Sans" w:hAnsi="Open Sans" w:cs="Open Sans"/>
          <w:bCs/>
          <w:color w:val="auto"/>
          <w:lang w:val="pt-BR"/>
        </w:rPr>
        <w:t>)</w:t>
      </w:r>
      <w:proofErr w:type="gramEnd"/>
      <w:r w:rsidRPr="003509A3">
        <w:rPr>
          <w:rFonts w:ascii="Open Sans" w:hAnsi="Open Sans" w:cs="Open Sans"/>
          <w:bCs/>
          <w:color w:val="auto"/>
          <w:lang w:val="pt-BR"/>
        </w:rPr>
        <w:t xml:space="preserve"> </w:t>
      </w:r>
    </w:p>
    <w:p w14:paraId="0C6DDC9E" w14:textId="77777777" w:rsidR="003509A3" w:rsidRPr="003509A3" w:rsidRDefault="003509A3" w:rsidP="003509A3">
      <w:pPr>
        <w:pStyle w:val="Ementa"/>
        <w:ind w:left="-284" w:right="368"/>
        <w:rPr>
          <w:rFonts w:ascii="Open Sans" w:hAnsi="Open Sans" w:cs="Open Sans"/>
          <w:color w:val="auto"/>
          <w:lang w:val="pt-BR"/>
        </w:rPr>
      </w:pPr>
    </w:p>
    <w:p w14:paraId="6DB5465A" w14:textId="77777777" w:rsidR="003509A3" w:rsidRPr="003509A3" w:rsidRDefault="003509A3" w:rsidP="003509A3">
      <w:pPr>
        <w:ind w:left="-284" w:right="368"/>
        <w:jc w:val="both"/>
        <w:rPr>
          <w:rFonts w:ascii="Open Sans" w:hAnsi="Open Sans" w:cs="Open Sans"/>
          <w:bCs/>
          <w:sz w:val="24"/>
          <w:szCs w:val="24"/>
        </w:rPr>
      </w:pPr>
      <w:proofErr w:type="gramStart"/>
      <w:r w:rsidRPr="003509A3">
        <w:rPr>
          <w:rFonts w:ascii="Open Sans" w:hAnsi="Open Sans" w:cs="Open Sans"/>
          <w:bCs/>
          <w:sz w:val="24"/>
          <w:szCs w:val="24"/>
        </w:rPr>
        <w:t>“AGRAVO.</w:t>
      </w:r>
      <w:proofErr w:type="gramEnd"/>
      <w:r w:rsidRPr="003509A3">
        <w:rPr>
          <w:rFonts w:ascii="Open Sans" w:hAnsi="Open Sans" w:cs="Open Sans"/>
          <w:bCs/>
          <w:sz w:val="24"/>
          <w:szCs w:val="24"/>
        </w:rPr>
        <w:t xml:space="preserve"> AGRAVO DE INSTRUMENTO EM RECURSO DE REVISTA. PROCESSO SOB A ÉGIDE DA LEI Nº 13.015/2014 E ANTERIOR À LEI Nº 13.467/2017. INDENIZAÇÃO POR DANO MORAL. COBRADORA DE ÔNIBUS - ASSALTOS SOFRIDOS DURANTE O TRABALHO. ATIVIDADE DE RISCO. RESPONSABILIDADE OBJETIVA. A</w:t>
      </w:r>
      <w:r w:rsidRPr="003509A3">
        <w:rPr>
          <w:rFonts w:ascii="Open Sans" w:hAnsi="Open Sans" w:cs="Open Sans"/>
          <w:sz w:val="24"/>
          <w:szCs w:val="24"/>
        </w:rPr>
        <w:t xml:space="preserve"> indenização por dano moral é devida quando presentes os requisitos essenciais para a responsabilização empresarial. É necessária, de maneira geral, a configuração da culpa do empregador ou de suas chefias pelo ato ou situação que provocou o dano no empregado. É que a responsabilidade civil de particulares, no Direito Brasileiro, ainda se funda, predominantemente, no critério da culpa (negligência, imprudência ou imperícia), nos moldes do art. 186 do CCB, que dispõe: "</w:t>
      </w:r>
      <w:r w:rsidRPr="003509A3">
        <w:rPr>
          <w:rFonts w:ascii="Open Sans" w:hAnsi="Open Sans" w:cs="Open Sans"/>
          <w:i/>
          <w:sz w:val="24"/>
          <w:szCs w:val="24"/>
        </w:rPr>
        <w:t>Aquele que, por ação ou omissão voluntária, negligência ou imprudência, violar direito e causar dano a outrem, ainda que exclusivamente moral, comete ato ilícito</w:t>
      </w:r>
      <w:r w:rsidRPr="003509A3">
        <w:rPr>
          <w:rFonts w:ascii="Open Sans" w:hAnsi="Open Sans" w:cs="Open Sans"/>
          <w:sz w:val="24"/>
          <w:szCs w:val="24"/>
        </w:rPr>
        <w:t>". Contudo, por exceção, o art. 927 do CCB, em seu parágrafo único, trata da responsabilidade objetiva independentemente de culpa - "</w:t>
      </w:r>
      <w:r w:rsidRPr="003509A3">
        <w:rPr>
          <w:rFonts w:ascii="Open Sans" w:hAnsi="Open Sans" w:cs="Open Sans"/>
          <w:i/>
          <w:sz w:val="24"/>
          <w:szCs w:val="24"/>
        </w:rPr>
        <w:t xml:space="preserve">quando a atividade normalmente desenvolvida pelo autor do dano implicar, por sua </w:t>
      </w:r>
      <w:r w:rsidRPr="003509A3">
        <w:rPr>
          <w:rFonts w:ascii="Open Sans" w:hAnsi="Open Sans" w:cs="Open Sans"/>
          <w:i/>
          <w:sz w:val="24"/>
          <w:szCs w:val="24"/>
        </w:rPr>
        <w:lastRenderedPageBreak/>
        <w:t>natureza, risco para os direitos de outrem</w:t>
      </w:r>
      <w:r w:rsidRPr="003509A3">
        <w:rPr>
          <w:rFonts w:ascii="Open Sans" w:hAnsi="Open Sans" w:cs="Open Sans"/>
          <w:sz w:val="24"/>
          <w:szCs w:val="24"/>
        </w:rPr>
        <w:t xml:space="preserve">". Nessa hipótese excepcional, a regra objetivadora do Código Civil também se aplica ao Direito do Trabalho, uma vez que a Constituição da República manifestamente adota, no mesmo cenário normativo, o princípio da norma mais favorável (art. 7º, </w:t>
      </w:r>
      <w:r w:rsidRPr="003509A3">
        <w:rPr>
          <w:rFonts w:ascii="Open Sans" w:hAnsi="Open Sans" w:cs="Open Sans"/>
          <w:i/>
          <w:sz w:val="24"/>
          <w:szCs w:val="24"/>
        </w:rPr>
        <w:t>caput</w:t>
      </w:r>
      <w:r w:rsidRPr="003509A3">
        <w:rPr>
          <w:rFonts w:ascii="Open Sans" w:hAnsi="Open Sans" w:cs="Open Sans"/>
          <w:sz w:val="24"/>
          <w:szCs w:val="24"/>
        </w:rPr>
        <w:t xml:space="preserve">: </w:t>
      </w:r>
      <w:r w:rsidRPr="003509A3">
        <w:rPr>
          <w:rFonts w:ascii="Open Sans" w:hAnsi="Open Sans" w:cs="Open Sans"/>
          <w:i/>
          <w:sz w:val="24"/>
          <w:szCs w:val="24"/>
        </w:rPr>
        <w:t>"... além de outros que visem à melhoria de sua condição social</w:t>
      </w:r>
      <w:r w:rsidRPr="003509A3">
        <w:rPr>
          <w:rFonts w:ascii="Open Sans" w:hAnsi="Open Sans" w:cs="Open Sans"/>
          <w:sz w:val="24"/>
          <w:szCs w:val="24"/>
        </w:rPr>
        <w:t xml:space="preserve">"), permitindo a incidência de regras infraconstitucionais que aperfeiçoem a condição social dos trabalhadores. Releva salientar a decisão proferida pelo Supremo Tribunal Federal, em 12/03/2020, com repercussão geral reconhecida, de Relatoria do Ministro Alexandre de Moraes, no julgamento do Recurso Extraordinário nº RE 828.040, no sentido de reconhecer a constitucionalidade (art. 7º, XXVIII, da Lei Maior) da responsabilização civil objetiva do empregador, no caso de acidente de trabalho, nos moldes previstos no art. 927, </w:t>
      </w:r>
      <w:proofErr w:type="gramStart"/>
      <w:r w:rsidRPr="003509A3">
        <w:rPr>
          <w:rFonts w:ascii="Open Sans" w:hAnsi="Open Sans" w:cs="Open Sans"/>
          <w:sz w:val="24"/>
          <w:szCs w:val="24"/>
        </w:rPr>
        <w:t>parágrafo</w:t>
      </w:r>
      <w:proofErr w:type="gramEnd"/>
      <w:r w:rsidRPr="003509A3">
        <w:rPr>
          <w:rFonts w:ascii="Open Sans" w:hAnsi="Open Sans" w:cs="Open Sans"/>
          <w:sz w:val="24"/>
          <w:szCs w:val="24"/>
        </w:rPr>
        <w:t xml:space="preserve"> único, do Código Civil – pontuando-se que a respectiva ata de julgamento foi publicada no DJE em 20/03/2020. Faz-se pertinente transcrever a seguinte tese extraída do site do Supremo Tribunal Federal (em 16/04/2020): “</w:t>
      </w:r>
      <w:r w:rsidRPr="003509A3">
        <w:rPr>
          <w:rFonts w:ascii="Open Sans" w:hAnsi="Open Sans" w:cs="Open Sans"/>
          <w:i/>
          <w:sz w:val="24"/>
          <w:szCs w:val="24"/>
        </w:rPr>
        <w:t>O Tribunal, por maioria, fixou a seguinte tese de repercussão geral: "O artigo 927, parágrafo único, do Código Civil é compatível com o artigo 7º, XXVIII, da Constituição Federal, sendo constitucional a responsabilização objetiva do empregador por danos decorrentes de acidentes de trabalho, nos casos especificados em lei, ou quando a atividade normalmente desenvolvida, por sua natureza, apresentar exposição habitual a risco especial, com potencialidade lesiva e implicar ao trabalhador ônus maior do que aos demais membros da coletividade"</w:t>
      </w:r>
      <w:r w:rsidRPr="003509A3">
        <w:rPr>
          <w:rFonts w:ascii="Open Sans" w:hAnsi="Open Sans" w:cs="Open Sans"/>
          <w:sz w:val="24"/>
          <w:szCs w:val="24"/>
        </w:rPr>
        <w:t xml:space="preserve">, nos termos do voto do Ministro Alexandre de Moraes (Relator). A jurisprudência do TST é nesse sentido e considera objetiva a responsabilidade por danos morais resultantes do evento "assalto" e seus consectários, relativamente a empregados que exerçam atividade de alto risco, tais como </w:t>
      </w:r>
      <w:proofErr w:type="gramStart"/>
      <w:r w:rsidRPr="003509A3">
        <w:rPr>
          <w:rFonts w:ascii="Open Sans" w:hAnsi="Open Sans" w:cs="Open Sans"/>
          <w:sz w:val="24"/>
          <w:szCs w:val="24"/>
        </w:rPr>
        <w:t>bancários, motoristas</w:t>
      </w:r>
      <w:proofErr w:type="gramEnd"/>
      <w:r w:rsidRPr="003509A3">
        <w:rPr>
          <w:rFonts w:ascii="Open Sans" w:hAnsi="Open Sans" w:cs="Open Sans"/>
          <w:sz w:val="24"/>
          <w:szCs w:val="24"/>
        </w:rPr>
        <w:t xml:space="preserve"> de carga, motoristas de transporte coletivo e outros (art. 927, parágrafo único, CCB).</w:t>
      </w:r>
      <w:r w:rsidRPr="003509A3">
        <w:rPr>
          <w:rFonts w:ascii="Open Sans" w:hAnsi="Open Sans" w:cs="Open Sans"/>
          <w:b/>
          <w:sz w:val="24"/>
          <w:szCs w:val="24"/>
        </w:rPr>
        <w:t xml:space="preserve"> </w:t>
      </w:r>
      <w:r w:rsidRPr="003509A3">
        <w:rPr>
          <w:rFonts w:ascii="Open Sans" w:hAnsi="Open Sans" w:cs="Open Sans"/>
          <w:sz w:val="24"/>
          <w:szCs w:val="24"/>
        </w:rPr>
        <w:t xml:space="preserve">No caso concreto, consta na decisão recorrida que o ônibus no qual a Autora trabalhava como cobradora foi assaltado e que a atuação violenta dos assaltantes – ameaças verbais e desferimento de tiro na cabeça de uma passageira, cujos pedaços do cérebro voaram sobre a Autora – implicou o adoecimento psiquiátrico da Obreira, que foi afastada das atividades laborais para o gozo de benefício previdenciário de fevereiro de 2008 até 2019. Anote-se que, em relação ao dano moral, não há necessidade de prova de prejuízo concreto, até porque a tutela jurídica, neste caso, incide sobre um interesse imaterial (art. 1º, III, da CF). Os danos foram patentes, pois o TRT descreve a extrema violência física e psíquica empregada pelos assaltantes no assalto e o adoecimento psíquico da Autora em decorrência de tal evento. Assim, enquadrando-se a situação dos autos nessa hipótese extensiva de responsabilização, deve ser mantida a condenação da Reclamada no </w:t>
      </w:r>
      <w:proofErr w:type="gramStart"/>
      <w:r w:rsidRPr="003509A3">
        <w:rPr>
          <w:rFonts w:ascii="Open Sans" w:hAnsi="Open Sans" w:cs="Open Sans"/>
          <w:sz w:val="24"/>
          <w:szCs w:val="24"/>
        </w:rPr>
        <w:t>pagamento</w:t>
      </w:r>
      <w:proofErr w:type="gramEnd"/>
      <w:r w:rsidRPr="003509A3">
        <w:rPr>
          <w:rFonts w:ascii="Open Sans" w:hAnsi="Open Sans" w:cs="Open Sans"/>
          <w:sz w:val="24"/>
          <w:szCs w:val="24"/>
        </w:rPr>
        <w:t xml:space="preserve"> de indenização por danos morais, em conformidade com os arts. 1º, III, 5º, V e X, da CF; e </w:t>
      </w:r>
      <w:proofErr w:type="gramStart"/>
      <w:r w:rsidRPr="003509A3">
        <w:rPr>
          <w:rFonts w:ascii="Open Sans" w:hAnsi="Open Sans" w:cs="Open Sans"/>
          <w:sz w:val="24"/>
          <w:szCs w:val="24"/>
        </w:rPr>
        <w:t>927, parágrafo</w:t>
      </w:r>
      <w:proofErr w:type="gramEnd"/>
      <w:r w:rsidRPr="003509A3">
        <w:rPr>
          <w:rFonts w:ascii="Open Sans" w:hAnsi="Open Sans" w:cs="Open Sans"/>
          <w:sz w:val="24"/>
          <w:szCs w:val="24"/>
        </w:rPr>
        <w:t xml:space="preserve"> único, do Código Civil. De outra face, decidida a matéria com base no conjunto probatório produzido nos autos, o processamento do recurso de revista fica obstado, por depender do reexame de fatos e provas (Súmula 126 do TST). </w:t>
      </w:r>
      <w:r w:rsidRPr="003509A3">
        <w:rPr>
          <w:rFonts w:ascii="Open Sans" w:hAnsi="Open Sans" w:cs="Open Sans"/>
          <w:bCs/>
          <w:sz w:val="24"/>
          <w:szCs w:val="24"/>
        </w:rPr>
        <w:t xml:space="preserve">Assim sendo, a decisão agravada foi proferida em estrita observância às normas processuais (art. 557, </w:t>
      </w:r>
      <w:r w:rsidRPr="003509A3">
        <w:rPr>
          <w:rFonts w:ascii="Open Sans" w:hAnsi="Open Sans" w:cs="Open Sans"/>
          <w:bCs/>
          <w:i/>
          <w:sz w:val="24"/>
          <w:szCs w:val="24"/>
        </w:rPr>
        <w:t>caput</w:t>
      </w:r>
      <w:r w:rsidRPr="003509A3">
        <w:rPr>
          <w:rFonts w:ascii="Open Sans" w:hAnsi="Open Sans" w:cs="Open Sans"/>
          <w:bCs/>
          <w:sz w:val="24"/>
          <w:szCs w:val="24"/>
        </w:rPr>
        <w:t>, do CPC/1973; arts. 14 e 932, IV, “a</w:t>
      </w:r>
      <w:r w:rsidRPr="003509A3">
        <w:rPr>
          <w:rFonts w:ascii="Open Sans" w:hAnsi="Open Sans" w:cs="Open Sans"/>
          <w:bCs/>
          <w:i/>
          <w:sz w:val="24"/>
          <w:szCs w:val="24"/>
        </w:rPr>
        <w:t>”,</w:t>
      </w:r>
      <w:r w:rsidRPr="003509A3">
        <w:rPr>
          <w:rFonts w:ascii="Open Sans" w:hAnsi="Open Sans" w:cs="Open Sans"/>
          <w:bCs/>
          <w:sz w:val="24"/>
          <w:szCs w:val="24"/>
        </w:rPr>
        <w:t xml:space="preserve"> do CPC/2015), razão pela qual é insuscetível de reforma ou reconsideração</w:t>
      </w:r>
      <w:r w:rsidRPr="003509A3">
        <w:rPr>
          <w:rFonts w:ascii="Open Sans" w:hAnsi="Open Sans" w:cs="Open Sans"/>
          <w:b/>
          <w:bCs/>
          <w:sz w:val="24"/>
          <w:szCs w:val="24"/>
        </w:rPr>
        <w:t xml:space="preserve">. </w:t>
      </w:r>
      <w:proofErr w:type="gramStart"/>
      <w:r w:rsidRPr="003509A3">
        <w:rPr>
          <w:rFonts w:ascii="Open Sans" w:hAnsi="Open Sans" w:cs="Open Sans"/>
          <w:bCs/>
          <w:sz w:val="24"/>
          <w:szCs w:val="24"/>
        </w:rPr>
        <w:t>Agravo desprovido.”</w:t>
      </w:r>
      <w:proofErr w:type="gramEnd"/>
      <w:r w:rsidRPr="003509A3">
        <w:rPr>
          <w:rFonts w:ascii="Open Sans" w:hAnsi="Open Sans" w:cs="Open Sans"/>
          <w:bCs/>
          <w:sz w:val="24"/>
          <w:szCs w:val="24"/>
        </w:rPr>
        <w:t xml:space="preserve"> (</w:t>
      </w:r>
      <w:hyperlink r:id="rId14" w:history="1">
        <w:r w:rsidRPr="003509A3">
          <w:rPr>
            <w:rStyle w:val="Hyperlink"/>
            <w:rFonts w:ascii="Open Sans" w:hAnsi="Open Sans" w:cs="Open Sans"/>
            <w:sz w:val="24"/>
            <w:szCs w:val="24"/>
          </w:rPr>
          <w:t>TST-Ag-AIRR-20732-</w:t>
        </w:r>
        <w:r w:rsidRPr="003509A3">
          <w:rPr>
            <w:rStyle w:val="Hyperlink"/>
            <w:rFonts w:ascii="Open Sans" w:hAnsi="Open Sans" w:cs="Open Sans"/>
            <w:sz w:val="24"/>
            <w:szCs w:val="24"/>
          </w:rPr>
          <w:lastRenderedPageBreak/>
          <w:t>79.2019.5.04.0331</w:t>
        </w:r>
      </w:hyperlink>
      <w:r w:rsidRPr="003509A3">
        <w:rPr>
          <w:rFonts w:ascii="Open Sans" w:hAnsi="Open Sans" w:cs="Open Sans"/>
          <w:bCs/>
          <w:sz w:val="24"/>
          <w:szCs w:val="24"/>
        </w:rPr>
        <w:t>, 3ª Turma, rel. Min. Mauricio Godinho Delgado, julgado em 23/2/2022.)</w:t>
      </w:r>
    </w:p>
    <w:p w14:paraId="5E58EA4C" w14:textId="77777777" w:rsidR="003509A3" w:rsidRPr="003509A3" w:rsidRDefault="003509A3" w:rsidP="003509A3">
      <w:pPr>
        <w:ind w:left="-284" w:right="368"/>
        <w:jc w:val="both"/>
        <w:rPr>
          <w:rFonts w:ascii="Open Sans" w:hAnsi="Open Sans" w:cs="Open Sans"/>
          <w:bCs/>
          <w:sz w:val="24"/>
          <w:szCs w:val="24"/>
        </w:rPr>
      </w:pPr>
    </w:p>
    <w:p w14:paraId="14214C57"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w:t>
      </w:r>
      <w:proofErr w:type="gramStart"/>
      <w:r w:rsidRPr="003509A3">
        <w:rPr>
          <w:rFonts w:ascii="Open Sans" w:hAnsi="Open Sans" w:cs="Open Sans"/>
          <w:sz w:val="24"/>
          <w:szCs w:val="24"/>
        </w:rPr>
        <w:t>2</w:t>
      </w:r>
      <w:proofErr w:type="gramEnd"/>
      <w:r w:rsidRPr="003509A3">
        <w:rPr>
          <w:rFonts w:ascii="Open Sans" w:hAnsi="Open Sans" w:cs="Open Sans"/>
          <w:sz w:val="24"/>
          <w:szCs w:val="24"/>
        </w:rPr>
        <w:t xml:space="preserve">. ANISTIA. LEI 8.878/94. EFEITOS. OJT 56/SDI/TST. A SDI-1/TST, na sessão do dia 09.10.2014, no julgamento do processo E-ED-RR-47400-11.2009.5.04.0017, firmou o entendimento de que a exegese do art. 6º da Lei n. 8.878/94, juntamente com o disposto na Orientação Jurisprudencial nº 56 da SBDI-1/TST, autoriza concluir que a anistia deve equivaler à suspensão do contrato de trabalho, nos termos do art. 471 da CLT, de modo que </w:t>
      </w:r>
      <w:r w:rsidRPr="003509A3">
        <w:rPr>
          <w:rFonts w:ascii="Open Sans" w:hAnsi="Open Sans" w:cs="Open Sans"/>
          <w:i/>
          <w:sz w:val="24"/>
          <w:szCs w:val="24"/>
        </w:rPr>
        <w:t>"ao empregado, afastado do emprego, são assegurados, por ocasião de sua volta, todas as vantagens que, em sua ausência, tenham sido atribuídas à categoria a que pertencia na empresa"</w:t>
      </w:r>
      <w:r w:rsidRPr="003509A3">
        <w:rPr>
          <w:rFonts w:ascii="Open Sans" w:hAnsi="Open Sans" w:cs="Open Sans"/>
          <w:sz w:val="24"/>
          <w:szCs w:val="24"/>
        </w:rPr>
        <w:t>. Com efeito, a jurisprudência atual e notória desta Corte Superior, inclusive mediante decisões da SBDI-1 do TST, entende que ao empregado readmitido em razão da anistia restam assegurados, em relação ao período do afastamento, todas as vantagens gerais conferidas aos demais empregados, seja em decorrência de lei, de norma coletiva ou de norma interna, que tenham repercussão sobre a carreira de um modo amplo e geral – tais como reajustes salariais, promoções gerais lineares, concedidos indistintamente a todos os empregados da mesma categoria do Reclamante, no período de afastamento. Esse entendimento busca dar efetividade ao princípio da isonomia, sem importar, portanto, na concessão de efeitos financeiros retroativos, haja vista que se trata de mera recomposição salarial do cargo. Ademais, enfatize-se que essa tese enseja a conclusão de que se encontram excluídas quaisquer vantagens de natureza pessoal. Recurso de revista conhecido e parcialmente provido.” (</w:t>
      </w:r>
      <w:hyperlink r:id="rId15" w:history="1">
        <w:r w:rsidRPr="003509A3">
          <w:rPr>
            <w:rStyle w:val="Hyperlink"/>
            <w:rFonts w:ascii="Open Sans" w:hAnsi="Open Sans" w:cs="Open Sans"/>
            <w:sz w:val="24"/>
            <w:szCs w:val="24"/>
          </w:rPr>
          <w:t>TST-RR-100420-57.2016.5.01.0015</w:t>
        </w:r>
      </w:hyperlink>
      <w:r w:rsidRPr="003509A3">
        <w:rPr>
          <w:rFonts w:ascii="Open Sans" w:hAnsi="Open Sans" w:cs="Open Sans"/>
          <w:sz w:val="24"/>
          <w:szCs w:val="24"/>
        </w:rPr>
        <w:t>, 3ª Turma, rel. Min. Mauricio Godinho Delgado, julgado em 23/2/2022.)</w:t>
      </w:r>
    </w:p>
    <w:p w14:paraId="5C7A5A34" w14:textId="77777777" w:rsidR="003509A3" w:rsidRPr="003509A3" w:rsidRDefault="003509A3" w:rsidP="003509A3">
      <w:pPr>
        <w:ind w:left="-284" w:right="368"/>
        <w:jc w:val="both"/>
        <w:rPr>
          <w:rFonts w:ascii="Open Sans" w:hAnsi="Open Sans" w:cs="Open Sans"/>
          <w:sz w:val="24"/>
          <w:szCs w:val="24"/>
          <w:u w:val="single"/>
        </w:rPr>
      </w:pPr>
    </w:p>
    <w:p w14:paraId="5CE36A5C"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II - RECURSO DE REVISTA. ACÓRDÃO DO REGIONAL PUBLICADO NA VIGÊNCIA DA LEI 13.467/2017. EXECUÇÃO. SUSPENSÃO DO CUMPRIMENTO DO ACORDO HOMOLOGADO JUDICIALMENTE, EM FACE DA GRAVE CRISE ECONÔMICA. PANDEMIA DO NOVO CORONAVÍRUS. VIOLAÇÃO À COISA JULGADA.</w:t>
      </w:r>
      <w:proofErr w:type="gramStart"/>
      <w:r w:rsidRPr="003509A3">
        <w:rPr>
          <w:rFonts w:ascii="Open Sans" w:hAnsi="Open Sans" w:cs="Open Sans"/>
          <w:sz w:val="24"/>
          <w:szCs w:val="24"/>
        </w:rPr>
        <w:t xml:space="preserve">  </w:t>
      </w:r>
      <w:proofErr w:type="gramEnd"/>
      <w:r w:rsidRPr="003509A3">
        <w:rPr>
          <w:rFonts w:ascii="Open Sans" w:hAnsi="Open Sans" w:cs="Open Sans"/>
          <w:sz w:val="24"/>
          <w:szCs w:val="24"/>
        </w:rPr>
        <w:t xml:space="preserve">A Corte Regional determinou a suspensão do pagamento das 9ª e 10ª parcelas, formulada pela executada, amparada nos impactos econômicos advindos da pandemia da Covid-19, pelo prazo de 90 dias, contados do requerimento formulado em 25/3/2020. A pandemia gerada ensejou impactos inimagináveis em toda a sociedade e, em especial, nas atividades produtivas, com consequências nas relações de trabalho. Sem receita em decorrência da paralisação de negócios, não há como cumprir obrigações. Sob tal perspectiva, diante da excepcionalidade de uma realidade transformada, há sempre a necessidade da intervenção estatal, tanto na esfera legislativa quanto na judiciária, cada um sob seu enfoque e no seu limite de atuação.  Editada sob os impactos da Segunda Guerra Mundial e distanciando-se da solução prevista pelo Código Civil de 1916, a CLT deu aos fortuitos humano e natural contornos próprios para situações duradouras: possibilidade de rompimento contratual parcialmente oneroso ou possibilidade de redução salarial de 25%, com manutenção do contrato. A CLT define “força maior”, que é o acontecimento inevitável em relação à vontade do empregador, para o qual não </w:t>
      </w:r>
      <w:r w:rsidRPr="003509A3">
        <w:rPr>
          <w:rFonts w:ascii="Open Sans" w:hAnsi="Open Sans" w:cs="Open Sans"/>
          <w:sz w:val="24"/>
          <w:szCs w:val="24"/>
        </w:rPr>
        <w:lastRenderedPageBreak/>
        <w:t xml:space="preserve">tenha concorrido, ainda que de maneira indireta, mas que seja suscetível de afetar a situação econômica e financeira da empresa (art. 501, caput, e §§1º e 2º, da CLT).  O próprio Tribunal Superior do Trabalho, em diversos julgados, já se manifestou no sentido de que não pode ser configurado como força maior o evento que está inserido nos riscos do empreendimento, diante do que dispõe o art. 2º, caput, da CLT. Dessa forma, evento extraordinário é aquele que impossibilita, por si só, o cumprimento da obrigação trabalhista, sem que haja meios de o empregador evitar ou impedir </w:t>
      </w:r>
      <w:proofErr w:type="gramStart"/>
      <w:r w:rsidRPr="003509A3">
        <w:rPr>
          <w:rFonts w:ascii="Open Sans" w:hAnsi="Open Sans" w:cs="Open Sans"/>
          <w:sz w:val="24"/>
          <w:szCs w:val="24"/>
        </w:rPr>
        <w:t>seus</w:t>
      </w:r>
      <w:proofErr w:type="gramEnd"/>
      <w:r w:rsidRPr="003509A3">
        <w:rPr>
          <w:rFonts w:ascii="Open Sans" w:hAnsi="Open Sans" w:cs="Open Sans"/>
          <w:sz w:val="24"/>
          <w:szCs w:val="24"/>
        </w:rPr>
        <w:t xml:space="preserve"> efeitos e sem que tenha a ele dado causa, ainda que indiretamente. Com base nesses conceitos, pode-se extrair que a situação de grave crise econômica gerada pela pandemia do novo coronavírus ao empresariado brasileiro, que da noite para o dia teve que paralisar suas atividades, ou mesmo sem a paralisação, teve redução significativa nos seus ganhos em face da diminuição da procura por produtos e serviços, foi por lei considerada um evento de força maior. Saliente-se que </w:t>
      </w:r>
      <w:proofErr w:type="gramStart"/>
      <w:r w:rsidRPr="003509A3">
        <w:rPr>
          <w:rFonts w:ascii="Open Sans" w:hAnsi="Open Sans" w:cs="Open Sans"/>
          <w:sz w:val="24"/>
          <w:szCs w:val="24"/>
        </w:rPr>
        <w:t>a manutenção das atividades das empresas privadas e do pleno emprego são</w:t>
      </w:r>
      <w:proofErr w:type="gramEnd"/>
      <w:r w:rsidRPr="003509A3">
        <w:rPr>
          <w:rFonts w:ascii="Open Sans" w:hAnsi="Open Sans" w:cs="Open Sans"/>
          <w:sz w:val="24"/>
          <w:szCs w:val="24"/>
        </w:rPr>
        <w:t xml:space="preserve"> os dois postulados mais importantes da ordem econômica de uma Nação democrática e pluralista como o Brasil. Nos momentos de grave crise econômica é conveniente assegurar a liberdade econômica das empresas, a fim de se garantir esses postulados,  com medidas de flexibilização ajustadas ao caráter protetivo das leis trabalhistas, em prol de uma adaptação à realidade momentânea provocada pela crise econômica, dentro, é claro, dos limites constitucionais de proteção dos trabalhadores (art. 7º da Constituição Federal). Atento a essa nova realidade, o Governo Federal, em decorrência do estado de calamidade pública reconhecido pelo Decreto Legislativo nº 6, de 20 de março de 2020, editou a Medida Provisória nº 927, de 22 de março de 2020 (vigorou até 20/7/2020), que traçou medidas alternativas trabalhistas para enfrentamento do estado de calamidade pública decorrente do coronavírus (covid-19) para preservação do emprego e da renda. No Parágrafo Único do art. 1º da referida Medida Provisória, foi expressamente reconhecida, para fins trabalhistas, a hipótese de força maior. O instituto, conforme dispõe o art. 501 da CLT, contém um elemento objetivo (inevitabilidade do contágio do coronavírus) e outro subjetivo (ausência de culpa por imprevidência do empregador no tocante à sua causa). No caso dos autos, é indene de dúvida que a notória pandemia afetou a intensidade dos serviços prestados pela reclamada, que atua no ramo de transporte urbano de passageiros na cidade de Belo Horizonte. E, apesar de no Decreto Federal 10.282, de 20 de março de 2020 (que Regulamenta a Lei nº 13.979/20, para definir os serviços públicos e as atividades essenciais), no seu art. 3º, § 1º, XLIV, constar o transporte de passageiros em estradas e rodovias, como atividade essencial, algumas circunstâncias decorrentes da pandemia geraram uma diminuição significativa da demanda por essa atividade, que resultaram desde o isolamento, com fechamento de empresas ou paralisação parcial, até a diminuição do fluxo de passageiros decorrente do teletrabalho.  Esse evento inesperado (a pandemia) alterou de forma significativa o equilíbrio da prestação à qual a empresa se obrigou, tornando o pactuado, muitas vezes, impossível de ser cumprido naquele momento, sem o comprometimento de outras obrigações trabalhistas e fiscais, a ponto de aproximar, nas relações de trabalho, tamanho o impacto, a teoria do </w:t>
      </w:r>
      <w:r w:rsidRPr="003509A3">
        <w:rPr>
          <w:rFonts w:ascii="Open Sans" w:hAnsi="Open Sans" w:cs="Open Sans"/>
          <w:sz w:val="24"/>
          <w:szCs w:val="24"/>
        </w:rPr>
        <w:lastRenderedPageBreak/>
        <w:t xml:space="preserve">fortuito com a da imprevisão na busca de soluções de enfrentamento. As circunstâncias que ditaram o ajuste foram substancialmente alteradas. Assim como quem paga pensão alimentícia, é despedido e não encontra emprego, não tem como arcar com o valor a que se obrigou judicialmente. São vários os dispositivos legais, civis, trabalhistas e processuais que, com base na força maior e na imprevisão, dão suporte a essa conclusão: arts. 317, 413, 478 a 480 do Código Civil; 873 da CLT; e 505, I, do CPC, sem falar na Lei nº 14.010/2020, que suspendeu, entre outras providências, até mesmo prazos prescricionais e decadenciais, liminares para desocupação de imóveis. Num primeiro momento, parece que a suspensão temporária do cumprimento do acordo judicial, como no caso, não implica o descumprimento da coisa julgada, ajustada em circunstância de uma imprevista pandemia com os efeitos não vislumbrados pelas partes, mas apenas moldada à realidade das condições de cumprimento em face da ocorrência de motivo justificado (força maior), devidamente acolhido pelo arcabouço jurídico.  Porém, se de um lado está </w:t>
      </w:r>
      <w:proofErr w:type="gramStart"/>
      <w:r w:rsidRPr="003509A3">
        <w:rPr>
          <w:rFonts w:ascii="Open Sans" w:hAnsi="Open Sans" w:cs="Open Sans"/>
          <w:sz w:val="24"/>
          <w:szCs w:val="24"/>
        </w:rPr>
        <w:t>a</w:t>
      </w:r>
      <w:proofErr w:type="gramEnd"/>
      <w:r w:rsidRPr="003509A3">
        <w:rPr>
          <w:rFonts w:ascii="Open Sans" w:hAnsi="Open Sans" w:cs="Open Sans"/>
          <w:sz w:val="24"/>
          <w:szCs w:val="24"/>
        </w:rPr>
        <w:t xml:space="preserve"> sobrevivência da empresa geradora de empregos, do outro, o direito que se pretende ver acobertado pela </w:t>
      </w:r>
      <w:r w:rsidRPr="003509A3">
        <w:rPr>
          <w:rFonts w:ascii="Open Sans" w:hAnsi="Open Sans" w:cs="Open Sans"/>
          <w:i/>
          <w:sz w:val="24"/>
          <w:szCs w:val="24"/>
        </w:rPr>
        <w:t>res judicata</w:t>
      </w:r>
      <w:r w:rsidRPr="003509A3">
        <w:rPr>
          <w:rFonts w:ascii="Open Sans" w:hAnsi="Open Sans" w:cs="Open Sans"/>
          <w:sz w:val="24"/>
          <w:szCs w:val="24"/>
        </w:rPr>
        <w:t xml:space="preserve">, que se caracteriza por prestações sucessivas, de caráter alimentar e essencial, muitas vezes representa a única fonte de sustento do trabalhador e de sua família. Logo, embora a medida decretada pelo Regional para suspensão pelo prazo de 90 (noventa dias) do cumprimento do acordo judicial se coaduna com o os princípios da manutenção das atividades das empresas privadas e do pleno emprego, por outro, a impossibilidade de cumprimento da obrigação em razão da pandemia há que ser real, exclusiva e estar demonstrada nos autos. A mera alegação das teorias da imprevisão ou da onerosidade excessiva fundada em argumentação da crise sanitária, por si só, não é motivo justificador de pedido de revisão do acordo judicial homologado. No caso, não constatada a impossibilidade insuperável de cumprimento do acordo pelo devedor e os efeitos econômicos da pandemia, não há justificativa para a suspensão do acordo, incorrendo, pois, a decisão do regional em violação à coisa julgada. Considerando-se a circunstância dos autos, no sentido de que houve atraso no pagamento das duas últimas parcelas do acordo, no importe de R$8.000,00 cada uma, e que a jurisprudência desta Corte firmou-se no sentido de permitir a adequação do valor da cláusula penal, quando reputada excessiva diante do conjunto probatório dos autos, nos termos do art. 413 do CCB, é proporcional e razoável reduzir-se a multa entabulada no acordo, especificamente para o período em que o acordo sofreu a suspensão, para o percentual de 25% sobre o valor de cada parcela em atraso, ao invés de 50% (previsto no acordo) sobre o valor da parcela e do saldo remanescente. </w:t>
      </w:r>
      <w:proofErr w:type="gramStart"/>
      <w:r w:rsidRPr="003509A3">
        <w:rPr>
          <w:rFonts w:ascii="Open Sans" w:hAnsi="Open Sans" w:cs="Open Sans"/>
          <w:sz w:val="24"/>
          <w:szCs w:val="24"/>
        </w:rPr>
        <w:t>Recurso de revista conhecido, por violação do art. 5º, XXXVI, da Constituição Federal e parcialmente provido.”</w:t>
      </w:r>
      <w:proofErr w:type="gramEnd"/>
      <w:r w:rsidRPr="003509A3">
        <w:rPr>
          <w:rFonts w:ascii="Open Sans" w:hAnsi="Open Sans" w:cs="Open Sans"/>
          <w:sz w:val="24"/>
          <w:szCs w:val="24"/>
        </w:rPr>
        <w:t xml:space="preserve"> (</w:t>
      </w:r>
      <w:hyperlink r:id="rId16" w:history="1">
        <w:r w:rsidRPr="003509A3">
          <w:rPr>
            <w:rStyle w:val="Hyperlink"/>
            <w:rFonts w:ascii="Open Sans" w:hAnsi="Open Sans" w:cs="Open Sans"/>
            <w:sz w:val="24"/>
            <w:szCs w:val="24"/>
          </w:rPr>
          <w:t>TST-RR-10761-29.2015.5.03.0108</w:t>
        </w:r>
      </w:hyperlink>
      <w:r w:rsidRPr="003509A3">
        <w:rPr>
          <w:rFonts w:ascii="Open Sans" w:hAnsi="Open Sans" w:cs="Open Sans"/>
          <w:sz w:val="24"/>
          <w:szCs w:val="24"/>
        </w:rPr>
        <w:t>, 3ª Turma, rel. Min. Alexandre de Souza Agra Belmonte, julgado em 16/2/2022.)</w:t>
      </w:r>
    </w:p>
    <w:p w14:paraId="1B7433BA" w14:textId="77777777" w:rsidR="003509A3" w:rsidRPr="003509A3" w:rsidRDefault="003509A3" w:rsidP="003509A3">
      <w:pPr>
        <w:ind w:left="-284" w:right="368"/>
        <w:jc w:val="both"/>
        <w:rPr>
          <w:rFonts w:ascii="Open Sans" w:hAnsi="Open Sans" w:cs="Open Sans"/>
          <w:sz w:val="24"/>
          <w:szCs w:val="24"/>
          <w:u w:val="single"/>
        </w:rPr>
      </w:pPr>
    </w:p>
    <w:p w14:paraId="53F1140D" w14:textId="5BBA01FD" w:rsidR="003509A3" w:rsidRPr="00EC419F" w:rsidRDefault="003509A3" w:rsidP="003509A3">
      <w:pPr>
        <w:pStyle w:val="Ementa"/>
        <w:ind w:left="-284" w:right="368"/>
        <w:outlineLvl w:val="0"/>
        <w:rPr>
          <w:rFonts w:ascii="Open Sans" w:hAnsi="Open Sans" w:cs="Open Sans"/>
          <w:color w:val="auto"/>
          <w:lang w:val="pt-BR"/>
        </w:rPr>
      </w:pPr>
      <w:r w:rsidRPr="00EC419F">
        <w:rPr>
          <w:rFonts w:ascii="Open Sans" w:hAnsi="Open Sans" w:cs="Open Sans"/>
          <w:color w:val="auto"/>
          <w:lang w:val="pt-BR"/>
        </w:rPr>
        <w:t>“AGRAVO DE INSTRUMENTO DAS RECLAMADAS EM RECURSO DE REVISTA.</w:t>
      </w:r>
      <w:proofErr w:type="gramStart"/>
      <w:r w:rsidRPr="00EC419F">
        <w:rPr>
          <w:rFonts w:ascii="Open Sans" w:hAnsi="Open Sans" w:cs="Open Sans"/>
          <w:color w:val="auto"/>
          <w:lang w:val="pt-BR"/>
        </w:rPr>
        <w:t xml:space="preserve">  </w:t>
      </w:r>
      <w:proofErr w:type="gramEnd"/>
      <w:r w:rsidRPr="00EC419F">
        <w:rPr>
          <w:rFonts w:ascii="Open Sans" w:hAnsi="Open Sans" w:cs="Open Sans"/>
          <w:color w:val="auto"/>
          <w:lang w:val="pt-BR"/>
        </w:rPr>
        <w:t xml:space="preserve">ACÓRDÃO REGIONAL NA VIGÊNCIA DA LEI 13.467/2017. MATÉRIA COMUM. RESPONSABILIDADE CIVIL. DANOS MORAIS INDIRETOS OU RICOCHETE. AÇÃO TRABALHISTA AJUIZADA PELOS AVÓS DA VÍTIMA. 1.A matéria diz respeito à responsabilidade civil das </w:t>
      </w:r>
      <w:r w:rsidRPr="00EC419F">
        <w:rPr>
          <w:rFonts w:ascii="Open Sans" w:hAnsi="Open Sans" w:cs="Open Sans"/>
          <w:color w:val="auto"/>
          <w:lang w:val="pt-BR"/>
        </w:rPr>
        <w:lastRenderedPageBreak/>
        <w:t xml:space="preserve">reclamadas pelo acidente que resultou na morte de trabalhador na ocasião do rompimento da barragem da Mina Córrego do Feijão, em Brumadinho. Trata-se de ação trabalhista ajuizada pelos avós da vítima, pleiteando indenização por dano moral. 2. O col. Tribunal Regional registrou que o ex-empregado era descendente em segundo grau do reclamante, bem como que a prova demonstrou </w:t>
      </w:r>
      <w:r w:rsidRPr="00EC419F">
        <w:rPr>
          <w:rFonts w:ascii="Open Sans" w:hAnsi="Open Sans" w:cs="Open Sans"/>
          <w:i/>
          <w:color w:val="auto"/>
          <w:lang w:val="pt-BR"/>
        </w:rPr>
        <w:t xml:space="preserve">“o convívio próximo dos reclamantes com a vítima e a existência de laços afetivos estreitos entre eles, durante todo o período de vida do de cujus, e, ainda a ocorrência de danos morais profundos, agravados pela avançada idade dos autos na data do infortúnio, que, diga-se, já se encontravam aos cuidados do neto”. </w:t>
      </w:r>
      <w:r w:rsidRPr="00EC419F">
        <w:rPr>
          <w:rFonts w:ascii="Open Sans" w:hAnsi="Open Sans" w:cs="Open Sans"/>
          <w:color w:val="auto"/>
          <w:lang w:val="pt-BR"/>
        </w:rPr>
        <w:t xml:space="preserve">Em seguida, entendeu por configurada a responsabilidade civil objetiva das reclamadas pelo acidente ocorrido, em face da natureza de risco da atividade explorada, inclusive com fundamento nas NR’s 4 e 22 da Portaria do Ministério do Trabalho, que, respectivamente, classifica a extração de minerais metálicos como de risco “Grau 4” e disciplina a segurança e a saúde ocupacional na mineração, objetivando compatibilizar o planejamento e o desenvolvimento desta com a garantia de segurança e saúde dos trabalhadores. 3.Embora as reclamadas apontem violação dos artigos 186, 187 e 927 do Código Civil e 7º, XXVIII, da CR, sob a alegação de que a interpretação dada pelo TRT para a configuração da responsabilidade civil tenha sido extremamente extensiva, porque não teria sido apurado o dano sofrido pelos avós da vítima, bem como que, nos casos de dano indireto, deve ser apurada a responsabilidade subjetiva e não objetiva, não se constatam as alegadas ofensas. 4.Diferentemente do que acontece no direito das sucessões, </w:t>
      </w:r>
      <w:proofErr w:type="gramStart"/>
      <w:r w:rsidRPr="00EC419F">
        <w:rPr>
          <w:rFonts w:ascii="Open Sans" w:hAnsi="Open Sans" w:cs="Open Sans"/>
          <w:color w:val="auto"/>
          <w:lang w:val="pt-BR"/>
        </w:rPr>
        <w:t>em</w:t>
      </w:r>
      <w:proofErr w:type="gramEnd"/>
      <w:r w:rsidRPr="00EC419F">
        <w:rPr>
          <w:rFonts w:ascii="Open Sans" w:hAnsi="Open Sans" w:cs="Open Sans"/>
          <w:color w:val="auto"/>
          <w:lang w:val="pt-BR"/>
        </w:rPr>
        <w:t xml:space="preserve"> que os parentes mais próximos normalmente excluem os mais remotos, os danos morais decorrentes do falecimento de uma pessoa querida não seguem um padrão lógico de incidência ou de gradação. </w:t>
      </w:r>
      <w:r w:rsidRPr="00EC419F">
        <w:rPr>
          <w:rFonts w:ascii="Open Sans" w:hAnsi="Open Sans" w:cs="Open Sans"/>
          <w:i/>
          <w:color w:val="auto"/>
          <w:lang w:val="pt-BR"/>
        </w:rPr>
        <w:t>"Se no direito sucessório os parentes excluem-se gradativamente, o mesmo não ocorre no caso da ação indenizatória</w:t>
      </w:r>
      <w:r w:rsidRPr="00EC419F">
        <w:rPr>
          <w:rFonts w:ascii="Open Sans" w:hAnsi="Open Sans" w:cs="Open Sans"/>
          <w:color w:val="auto"/>
          <w:lang w:val="pt-BR"/>
        </w:rPr>
        <w:t>" (PEREIRA</w:t>
      </w:r>
      <w:proofErr w:type="gramStart"/>
      <w:r w:rsidRPr="00EC419F">
        <w:rPr>
          <w:rFonts w:ascii="Open Sans" w:hAnsi="Open Sans" w:cs="Open Sans"/>
          <w:color w:val="auto"/>
          <w:lang w:val="pt-BR"/>
        </w:rPr>
        <w:t>, Caio</w:t>
      </w:r>
      <w:proofErr w:type="gramEnd"/>
      <w:r w:rsidRPr="00EC419F">
        <w:rPr>
          <w:rFonts w:ascii="Open Sans" w:hAnsi="Open Sans" w:cs="Open Sans"/>
          <w:color w:val="auto"/>
          <w:lang w:val="pt-BR"/>
        </w:rPr>
        <w:t xml:space="preserve"> Mário da Silva. Responsabilidade Civil. 9. ed., Forense. p. 329). </w:t>
      </w:r>
      <w:proofErr w:type="gramStart"/>
      <w:r w:rsidRPr="00EC419F">
        <w:rPr>
          <w:rFonts w:ascii="Open Sans" w:hAnsi="Open Sans" w:cs="Open Sans"/>
          <w:color w:val="auto"/>
          <w:lang w:val="pt-BR"/>
        </w:rPr>
        <w:t>5.</w:t>
      </w:r>
      <w:proofErr w:type="gramEnd"/>
      <w:r w:rsidRPr="00EC419F">
        <w:rPr>
          <w:rFonts w:ascii="Open Sans" w:hAnsi="Open Sans" w:cs="Open Sans"/>
          <w:color w:val="auto"/>
          <w:lang w:val="pt-BR"/>
        </w:rPr>
        <w:t>Evidentemente, presume-se que os membros do núcleo familiar íntimo (normalmente integrado pelo cônjuge, pelos filhos e pelos pais) sejam os que sofram as repercussões personalíssimas causadas pelo infortúnio e que este sofrimento se apresente de forma mais intensa que em outros parentes. Não por outro motivo, J. M. Carvalho Santos diz que a ordem natural das afeições familiares obedece a um padrão em que "</w:t>
      </w:r>
      <w:r w:rsidRPr="00EC419F">
        <w:rPr>
          <w:rFonts w:ascii="Open Sans" w:hAnsi="Open Sans" w:cs="Open Sans"/>
          <w:i/>
          <w:color w:val="auto"/>
          <w:lang w:val="pt-BR"/>
        </w:rPr>
        <w:t xml:space="preserve">o amor primeiro </w:t>
      </w:r>
      <w:proofErr w:type="gramStart"/>
      <w:r w:rsidRPr="00EC419F">
        <w:rPr>
          <w:rFonts w:ascii="Open Sans" w:hAnsi="Open Sans" w:cs="Open Sans"/>
          <w:i/>
          <w:color w:val="auto"/>
          <w:lang w:val="pt-BR"/>
        </w:rPr>
        <w:t>desce ,</w:t>
      </w:r>
      <w:proofErr w:type="gramEnd"/>
      <w:r w:rsidRPr="00EC419F">
        <w:rPr>
          <w:rFonts w:ascii="Open Sans" w:hAnsi="Open Sans" w:cs="Open Sans"/>
          <w:i/>
          <w:color w:val="auto"/>
          <w:lang w:val="pt-BR"/>
        </w:rPr>
        <w:t xml:space="preserve"> depois sobe , e em seguida dilata-se "</w:t>
      </w:r>
      <w:r w:rsidRPr="00EC419F">
        <w:rPr>
          <w:rFonts w:ascii="Open Sans" w:hAnsi="Open Sans" w:cs="Open Sans"/>
          <w:color w:val="auto"/>
          <w:lang w:val="pt-BR"/>
        </w:rPr>
        <w:t xml:space="preserve"> (CARVALHO SANTOS, J. M. Código Civil Brasileiro Interpretado. Vol. XXII. 13. ed., Freitas Bastos. p. 247).  </w:t>
      </w:r>
      <w:proofErr w:type="gramStart"/>
      <w:r w:rsidRPr="00EC419F">
        <w:rPr>
          <w:rFonts w:ascii="Open Sans" w:hAnsi="Open Sans" w:cs="Open Sans"/>
          <w:color w:val="auto"/>
          <w:lang w:val="pt-BR"/>
        </w:rPr>
        <w:t>6.</w:t>
      </w:r>
      <w:proofErr w:type="gramEnd"/>
      <w:r w:rsidRPr="00EC419F">
        <w:rPr>
          <w:rFonts w:ascii="Open Sans" w:hAnsi="Open Sans" w:cs="Open Sans"/>
          <w:color w:val="auto"/>
          <w:lang w:val="pt-BR"/>
        </w:rPr>
        <w:t xml:space="preserve">É verdade que isto não significa que estes ou mesmo outros indivíduos que sequer tenham relação de parentesco com aquele que se foi não possam padecer das mesmas dores ou até mesmo de aflições mais intensas que as suportadas pelos familiares. A complexidade das relações e dos sentimentos humanos não permite que se chegue a uma conclusão estanque nesse sentido, embora a estreita via da legitimação </w:t>
      </w:r>
      <w:r w:rsidRPr="00EC419F">
        <w:rPr>
          <w:rFonts w:ascii="Open Sans" w:hAnsi="Open Sans" w:cs="Open Sans"/>
          <w:i/>
          <w:color w:val="auto"/>
          <w:lang w:val="pt-BR"/>
        </w:rPr>
        <w:t xml:space="preserve">ad </w:t>
      </w:r>
      <w:proofErr w:type="gramStart"/>
      <w:r w:rsidRPr="00EC419F">
        <w:rPr>
          <w:rFonts w:ascii="Open Sans" w:hAnsi="Open Sans" w:cs="Open Sans"/>
          <w:i/>
          <w:color w:val="auto"/>
          <w:lang w:val="pt-BR"/>
        </w:rPr>
        <w:t>causam</w:t>
      </w:r>
      <w:proofErr w:type="gramEnd"/>
      <w:r w:rsidRPr="00EC419F">
        <w:rPr>
          <w:rFonts w:ascii="Open Sans" w:hAnsi="Open Sans" w:cs="Open Sans"/>
          <w:color w:val="auto"/>
          <w:lang w:val="pt-BR"/>
        </w:rPr>
        <w:t xml:space="preserve"> restrinja sobremaneira o universo das pessoas com respaldo jurídico para provocar o Poder Judiciário a fim de fazer valer o seu direito à compensação pela ofensa moral em ricochete. 7. Conforme ressaltado alhures, apenas os parentes em linha reta e os que figuram até o quarto grau colateral possuem essa prerrogativa, salvo em situações muito particulares. A partir do momento em que é demonstrado o vínculo objetivo de parentesco, a atenção do juiz </w:t>
      </w:r>
      <w:r w:rsidRPr="00EC419F">
        <w:rPr>
          <w:rFonts w:ascii="Open Sans" w:hAnsi="Open Sans" w:cs="Open Sans"/>
          <w:color w:val="auto"/>
          <w:lang w:val="pt-BR"/>
        </w:rPr>
        <w:lastRenderedPageBreak/>
        <w:t xml:space="preserve">deve voltar-se para o problema da prova do dano de que a parte alega padecer. A presunção de que a morte possui a capacidade de desencadear sentimentos de profunda tristeza, de angústia e de sofrimento, é natural para os membros do núcleo familiar e para os parentes mais próximos. </w:t>
      </w:r>
      <w:proofErr w:type="gramStart"/>
      <w:r w:rsidRPr="00EC419F">
        <w:rPr>
          <w:rFonts w:ascii="Open Sans" w:hAnsi="Open Sans" w:cs="Open Sans"/>
          <w:color w:val="auto"/>
          <w:lang w:val="pt-BR"/>
        </w:rPr>
        <w:t>8.</w:t>
      </w:r>
      <w:proofErr w:type="gramEnd"/>
      <w:r w:rsidRPr="00EC419F">
        <w:rPr>
          <w:rFonts w:ascii="Open Sans" w:hAnsi="Open Sans" w:cs="Open Sans"/>
          <w:color w:val="auto"/>
          <w:lang w:val="pt-BR"/>
        </w:rPr>
        <w:t>No caso, o col. TRT evidencia de forma inegável o dano sofrido pelos reclamantes, uma vez que registra que “</w:t>
      </w:r>
      <w:r w:rsidRPr="00EC419F">
        <w:rPr>
          <w:rFonts w:ascii="Open Sans" w:hAnsi="Open Sans" w:cs="Open Sans"/>
          <w:i/>
          <w:color w:val="auto"/>
          <w:lang w:val="pt-BR"/>
        </w:rPr>
        <w:t>o falecido empregado era descendente em segundo grau, em linha reta, dos reclamantes”,</w:t>
      </w:r>
      <w:r w:rsidRPr="00EC419F">
        <w:rPr>
          <w:rFonts w:ascii="Open Sans" w:hAnsi="Open Sans" w:cs="Open Sans"/>
          <w:color w:val="auto"/>
          <w:lang w:val="pt-BR"/>
        </w:rPr>
        <w:t xml:space="preserve"> que “</w:t>
      </w:r>
      <w:r w:rsidRPr="00EC419F">
        <w:rPr>
          <w:rFonts w:ascii="Open Sans" w:hAnsi="Open Sans" w:cs="Open Sans"/>
          <w:i/>
          <w:color w:val="auto"/>
          <w:lang w:val="pt-BR"/>
        </w:rPr>
        <w:t xml:space="preserve">o de cujus e os reclamantes residiam no mesmo endereço”, que </w:t>
      </w:r>
      <w:r w:rsidRPr="00EC419F">
        <w:rPr>
          <w:rFonts w:ascii="Open Sans" w:hAnsi="Open Sans" w:cs="Open Sans"/>
          <w:color w:val="auto"/>
          <w:lang w:val="pt-BR"/>
        </w:rPr>
        <w:t>havia estreita relação afetiva entre eles</w:t>
      </w:r>
      <w:r w:rsidRPr="00EC419F">
        <w:rPr>
          <w:rFonts w:ascii="Open Sans" w:hAnsi="Open Sans" w:cs="Open Sans"/>
          <w:i/>
          <w:color w:val="auto"/>
          <w:lang w:val="pt-BR"/>
        </w:rPr>
        <w:t xml:space="preserve"> </w:t>
      </w:r>
      <w:r w:rsidRPr="00EC419F">
        <w:rPr>
          <w:rFonts w:ascii="Open Sans" w:hAnsi="Open Sans" w:cs="Open Sans"/>
          <w:color w:val="auto"/>
          <w:lang w:val="pt-BR"/>
        </w:rPr>
        <w:t>e que os avós, inclusive, “</w:t>
      </w:r>
      <w:r w:rsidRPr="00EC419F">
        <w:rPr>
          <w:rFonts w:ascii="Open Sans" w:hAnsi="Open Sans" w:cs="Open Sans"/>
          <w:i/>
          <w:color w:val="auto"/>
          <w:lang w:val="pt-BR"/>
        </w:rPr>
        <w:t xml:space="preserve">já se encontravam aos cuidados do neto. </w:t>
      </w:r>
      <w:r w:rsidRPr="00EC419F">
        <w:rPr>
          <w:rFonts w:ascii="Open Sans" w:hAnsi="Open Sans" w:cs="Open Sans"/>
          <w:color w:val="auto"/>
          <w:lang w:val="pt-BR"/>
        </w:rPr>
        <w:t xml:space="preserve">9.Além disso, diversamente do que se alega, não há nenhuma incompatibilidade entre o reconhecimento da responsabilidade civil objetiva com o dano indireto ou ricochete. O art. 927, parágrafo único, do CCB estabelece que </w:t>
      </w:r>
      <w:r w:rsidRPr="00EC419F">
        <w:rPr>
          <w:rFonts w:ascii="Open Sans" w:hAnsi="Open Sans" w:cs="Open Sans"/>
          <w:i/>
          <w:color w:val="auto"/>
          <w:lang w:val="pt-BR"/>
        </w:rPr>
        <w:t xml:space="preserve">“haverá obrigação de reparar o dano, independentemente de culpa, nos casos especificados em lei, ou quando a atividade normalmente desenvolvida pelo autor do dano implicar, por sua natureza, risco para os direitos de outrem”. </w:t>
      </w:r>
      <w:r w:rsidRPr="00EC419F">
        <w:rPr>
          <w:rFonts w:ascii="Open Sans" w:hAnsi="Open Sans" w:cs="Open Sans"/>
          <w:color w:val="auto"/>
          <w:lang w:val="pt-BR"/>
        </w:rPr>
        <w:t>Quanto ao art. 7º, XXVIII, da CR, o próprio Supremo Tribunal Federal, no julgamento do RE nº 828.040/DF (Tema 932 da Tabela de Repercussão Geral), fixou a seguinte tese jurídica: "</w:t>
      </w:r>
      <w:r w:rsidRPr="00EC419F">
        <w:rPr>
          <w:rFonts w:ascii="Open Sans" w:hAnsi="Open Sans" w:cs="Open Sans"/>
          <w:i/>
          <w:color w:val="auto"/>
          <w:lang w:val="pt-BR"/>
        </w:rPr>
        <w:t xml:space="preserve">O artigo 927, parágrafo único, do Código Civil é compatível com o artigo 7º, XXVIII, da Constituição Federal, sendo constitucional a responsabilização objetiva do empregador por danos decorrentes de acidentes de trabalho, nos casos especificados em lei, ou quando a atividade normalmente desenvolvida, por sua natureza, apresentar exposição habitual a risco especial, com potencialidade lesiva e implicar ao trabalhador ônus maior do que aos demais membros da coletividade", </w:t>
      </w:r>
      <w:r w:rsidRPr="00EC419F">
        <w:rPr>
          <w:rFonts w:ascii="Open Sans" w:hAnsi="Open Sans" w:cs="Open Sans"/>
          <w:color w:val="auto"/>
          <w:lang w:val="pt-BR"/>
        </w:rPr>
        <w:t xml:space="preserve">como no caso. 10.Ou seja, não há nenhuma vedação em lei para a aplicação da teoria objetiva nos casos de dano ricochete, de forma que, sempre que a atividade econômica implicar, por sua própria natureza, perigo de dano aos trabalhadores em patamar superior a outras atividades normalmente desenvolvidas no mercado, haverá a obrigação de reparação dos prejuízos decorrentes daquela espécie de infortúnio, independentemente da existência de culpa do empresário. 11. Essa é exatamente a hipóteses dos autos, tendo em vista que as </w:t>
      </w:r>
      <w:proofErr w:type="gramStart"/>
      <w:r w:rsidRPr="00EC419F">
        <w:rPr>
          <w:rFonts w:ascii="Open Sans" w:hAnsi="Open Sans" w:cs="Open Sans"/>
          <w:color w:val="auto"/>
          <w:lang w:val="pt-BR"/>
        </w:rPr>
        <w:t>atividades</w:t>
      </w:r>
      <w:proofErr w:type="gramEnd"/>
      <w:r w:rsidRPr="00EC419F">
        <w:rPr>
          <w:rFonts w:ascii="Open Sans" w:hAnsi="Open Sans" w:cs="Open Sans"/>
          <w:color w:val="auto"/>
          <w:lang w:val="pt-BR"/>
        </w:rPr>
        <w:t xml:space="preserve"> de suporte à mineração em barragens são de altíssimo risco. Os rompimentos em Mariana e em Brumadinho são exemplos dolorosos e bem ilustrativos desta compreensão. Aliás, pelo princípio do poluidor-pagador, as pessoas físicas ou jurídicas exploradoras de atividades nocivas ao meio ambiente – onde se insere o meio ambiente de trabalho – devem responder de forma objetiva e solidária pelos custos e prejuízos sociais diretos ou indiretos provenientes da degradação. Essa é a exegese que se extrai dos artigos 3º, IV, e 14, §1º, primeira parte, da Lei nº 6.938/1981, ao assentarem que o poluidor é aquele "</w:t>
      </w:r>
      <w:r w:rsidRPr="00EC419F">
        <w:rPr>
          <w:rFonts w:ascii="Open Sans" w:hAnsi="Open Sans" w:cs="Open Sans"/>
          <w:i/>
          <w:color w:val="auto"/>
          <w:lang w:val="pt-BR"/>
        </w:rPr>
        <w:t xml:space="preserve">responsável, direta ou indiretamente, por atividade causadora de degradação ambiental", sendo este "obrigado, independentemente da existência de culpa, a indenizar ou reparar os danos causados ao meio ambiente e a terceiros, afetados por sua atividade". </w:t>
      </w:r>
      <w:proofErr w:type="gramStart"/>
      <w:r w:rsidRPr="00EC419F">
        <w:rPr>
          <w:rFonts w:ascii="Open Sans" w:hAnsi="Open Sans" w:cs="Open Sans"/>
          <w:color w:val="auto"/>
          <w:lang w:val="pt-BR"/>
        </w:rPr>
        <w:t>12.</w:t>
      </w:r>
      <w:proofErr w:type="gramEnd"/>
      <w:r w:rsidRPr="00EC419F">
        <w:rPr>
          <w:rFonts w:ascii="Open Sans" w:hAnsi="Open Sans" w:cs="Open Sans"/>
          <w:color w:val="auto"/>
          <w:lang w:val="pt-BR"/>
        </w:rPr>
        <w:t xml:space="preserve">Acresça-se não constar do v. acórdão regional excludente de nexo de causalidade, notadamente caso fortuito ou força maior e que, embora o col. Tribunal Regional tenha fundamentado sua decisão na responsabilidade civil objetiva, também evidenciou a responsabilidade civil subjetiva, ao salientar que o gravíssimo acidente ocorrido na barragem da Mina do Córrego do Feijão, em Brumadinho-MG se deu por culpa da reclamada, por falhas </w:t>
      </w:r>
      <w:r w:rsidRPr="00EC419F">
        <w:rPr>
          <w:rFonts w:ascii="Open Sans" w:hAnsi="Open Sans" w:cs="Open Sans"/>
          <w:color w:val="auto"/>
          <w:lang w:val="pt-BR"/>
        </w:rPr>
        <w:lastRenderedPageBreak/>
        <w:t xml:space="preserve">técnicas e ausência de fiscalização das condições de segurança na estrutura da barragem. </w:t>
      </w:r>
      <w:proofErr w:type="gramStart"/>
      <w:r w:rsidRPr="00EC419F">
        <w:rPr>
          <w:rFonts w:ascii="Open Sans" w:hAnsi="Open Sans" w:cs="Open Sans"/>
          <w:color w:val="auto"/>
          <w:lang w:val="pt-BR"/>
        </w:rPr>
        <w:t>13.</w:t>
      </w:r>
      <w:proofErr w:type="gramEnd"/>
      <w:r w:rsidRPr="00EC419F">
        <w:rPr>
          <w:rFonts w:ascii="Open Sans" w:hAnsi="Open Sans" w:cs="Open Sans"/>
          <w:color w:val="auto"/>
          <w:lang w:val="pt-BR"/>
        </w:rPr>
        <w:t>Desta feita, quer pela natureza da atividade econômica, quer pelo risco do empreendimento explorado, quer pela conduta antijurídica na administração dos riscos inerentes ao ambiente de trabalho, deve ser mantida a responsabilidade das rés pelos danos morais sofridos pelos avós do trabalhador falecido. 13. Ressalte-se que idêntica solução jurídica fora dada por esta c. 3ª Turma na ocasião do julgamento do TST-ARR-11159-20.2017.5.03.0140, em 07/04/2021 (DEJT 09/04/2021), cujo caso envolvia morte de trabalhador que fora soterrado pelo rejeito de minério enquanto dirigia caminhão pipa à jusante da barragem de Fundão, em Mariana-MG. Agravos de instrumento conhecidos e desprovidos. [</w:t>
      </w:r>
      <w:proofErr w:type="gramStart"/>
      <w:r w:rsidRPr="00EC419F">
        <w:rPr>
          <w:rFonts w:ascii="Open Sans" w:hAnsi="Open Sans" w:cs="Open Sans"/>
          <w:color w:val="auto"/>
          <w:lang w:val="pt-BR"/>
        </w:rPr>
        <w:t>...]”</w:t>
      </w:r>
      <w:proofErr w:type="gramEnd"/>
      <w:r w:rsidRPr="00EC419F">
        <w:rPr>
          <w:rFonts w:ascii="Open Sans" w:hAnsi="Open Sans" w:cs="Open Sans"/>
          <w:color w:val="auto"/>
          <w:lang w:val="pt-BR"/>
        </w:rPr>
        <w:t xml:space="preserve"> (</w:t>
      </w:r>
      <w:hyperlink r:id="rId17" w:history="1">
        <w:r w:rsidRPr="00EC419F">
          <w:rPr>
            <w:rStyle w:val="Hyperlink"/>
            <w:rFonts w:ascii="Open Sans" w:hAnsi="Open Sans" w:cs="Open Sans"/>
            <w:lang w:val="pt-BR"/>
          </w:rPr>
          <w:t>TST-AIRR 11051-</w:t>
        </w:r>
        <w:r w:rsidRPr="00EC419F">
          <w:rPr>
            <w:rStyle w:val="Hyperlink"/>
            <w:rFonts w:ascii="Open Sans" w:hAnsi="Open Sans" w:cs="Open Sans"/>
            <w:lang w:val="pt-BR"/>
          </w:rPr>
          <w:t>5</w:t>
        </w:r>
        <w:r w:rsidRPr="00EC419F">
          <w:rPr>
            <w:rStyle w:val="Hyperlink"/>
            <w:rFonts w:ascii="Open Sans" w:hAnsi="Open Sans" w:cs="Open Sans"/>
            <w:lang w:val="pt-BR"/>
          </w:rPr>
          <w:t>1.2019.5.03.0028</w:t>
        </w:r>
      </w:hyperlink>
      <w:r w:rsidRPr="00EC419F">
        <w:rPr>
          <w:rFonts w:ascii="Open Sans" w:hAnsi="Open Sans" w:cs="Open Sans"/>
          <w:color w:val="auto"/>
          <w:lang w:val="pt-BR"/>
        </w:rPr>
        <w:t xml:space="preserve">, 3ª Turma, rel. Min. Alexandre de Souza Agra Belmonte, julgado em 23/2/2022.) </w:t>
      </w:r>
    </w:p>
    <w:p w14:paraId="629B1A60" w14:textId="77777777" w:rsidR="003509A3" w:rsidRPr="003509A3" w:rsidRDefault="003509A3" w:rsidP="003509A3">
      <w:pPr>
        <w:ind w:left="-284" w:right="368"/>
        <w:jc w:val="both"/>
        <w:rPr>
          <w:rFonts w:ascii="Open Sans" w:hAnsi="Open Sans" w:cs="Open Sans"/>
          <w:sz w:val="24"/>
          <w:szCs w:val="24"/>
        </w:rPr>
      </w:pPr>
    </w:p>
    <w:p w14:paraId="734FC50A"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“RECURSO DE REVISTA. ACÓRDÃO PUBLICADO NA VIGÊNCIA DA LEI Nº 13.467/2017. PETICIONAMENTO ELETRÔNICO. INTEMPESTIVIDADE. 0h (ZERO HORA) DO DIA SEGUINTE AO OCTÍDIO LEGAL. TRANSCENDÊNCIA JURÍDICA RECONHECIDA. Constata-se a existência de transcendência jurídica da matéria, uma vez que a questão acerca da equivalência entre as 24 horas do último dia de prazo e a 0h00 (zero hora) do dia subsequente não foi debatida de modo exauriente por esta Corte. No mérito, contudo, o recurso não merece conhecimento. Isso porque, o art. 3º, parágrafo único, da Lei nº 11.419/2016 dispõe que </w:t>
      </w:r>
      <w:r w:rsidRPr="003509A3">
        <w:rPr>
          <w:rFonts w:ascii="Open Sans" w:hAnsi="Open Sans" w:cs="Open Sans"/>
          <w:i/>
          <w:sz w:val="24"/>
          <w:szCs w:val="24"/>
        </w:rPr>
        <w:t>“Quando a petição eletrônica for enviada para atender prazo processual, serão consideradas tempestivas as transmitidas até as 24 (vinte e quatro) horas do seu último dia.”</w:t>
      </w:r>
      <w:r w:rsidRPr="003509A3">
        <w:rPr>
          <w:rFonts w:ascii="Open Sans" w:hAnsi="Open Sans" w:cs="Open Sans"/>
          <w:sz w:val="24"/>
          <w:szCs w:val="24"/>
        </w:rPr>
        <w:t xml:space="preserve"> Em sentido análogo, dispõe o art. 12, § 1º, da Instrução Normativa nº 30/2007, que trata do sistema e-DOC. Da leitura desses normativos, em contraste com a noção aritmética da expressão </w:t>
      </w:r>
      <w:r w:rsidRPr="003509A3">
        <w:rPr>
          <w:rFonts w:ascii="Open Sans" w:hAnsi="Open Sans" w:cs="Open Sans"/>
          <w:i/>
          <w:sz w:val="24"/>
          <w:szCs w:val="24"/>
        </w:rPr>
        <w:t>“24 horas do seu último dia”</w:t>
      </w:r>
      <w:r w:rsidRPr="003509A3">
        <w:rPr>
          <w:rFonts w:ascii="Open Sans" w:hAnsi="Open Sans" w:cs="Open Sans"/>
          <w:sz w:val="24"/>
          <w:szCs w:val="24"/>
        </w:rPr>
        <w:t xml:space="preserve">, contida em ambos os preceitos, é possível concluir que, para que a parte consiga, na prática, atender ao prazo legal, é imperioso que o peticionamento eletrônico ocorra até as 23horas, 59 minutos e 59 segundos do último dia do octídio legal, já que, transcorrido o segundo final daquele dia, e atingida a 00h00 (zero hora) do dia seguinte, não se trata mais de tempo que integre </w:t>
      </w:r>
      <w:proofErr w:type="gramStart"/>
      <w:r w:rsidRPr="003509A3">
        <w:rPr>
          <w:rFonts w:ascii="Open Sans" w:hAnsi="Open Sans" w:cs="Open Sans"/>
          <w:sz w:val="24"/>
          <w:szCs w:val="24"/>
        </w:rPr>
        <w:t>as</w:t>
      </w:r>
      <w:proofErr w:type="gramEnd"/>
      <w:r w:rsidRPr="003509A3">
        <w:rPr>
          <w:rFonts w:ascii="Open Sans" w:hAnsi="Open Sans" w:cs="Open Sans"/>
          <w:sz w:val="24"/>
          <w:szCs w:val="24"/>
        </w:rPr>
        <w:t xml:space="preserve"> 24 horas do dia anterior, mas sim de fração de tempo que inicia as 24 horas do dia subsequente. Ante o exposto, conclui-se que a interposição do recurso à zero hora do dia seguinte ao octídio legal (01/10/2020) não equivale à prática desse ato processual às 24 (vinte e quatro) horas do último dia do prazo (30/09/2020), de modo que, em que pese a transcendência jurídica reconhecida, o recurso de revista não merece ser conhecido, já que não configurada a alegada violação direta e literal ao art. 5º, LV, da Constituição Federal. Recurso de revista não conhecido.” (</w:t>
      </w:r>
      <w:hyperlink r:id="rId18" w:history="1">
        <w:r w:rsidRPr="003509A3">
          <w:rPr>
            <w:rStyle w:val="Hyperlink"/>
            <w:rFonts w:ascii="Open Sans" w:hAnsi="Open Sans" w:cs="Open Sans"/>
            <w:sz w:val="24"/>
            <w:szCs w:val="24"/>
          </w:rPr>
          <w:t>TST-RR-463-21.2017.5.21.0006</w:t>
        </w:r>
      </w:hyperlink>
      <w:r w:rsidRPr="003509A3">
        <w:rPr>
          <w:rFonts w:ascii="Open Sans" w:hAnsi="Open Sans" w:cs="Open Sans"/>
          <w:sz w:val="24"/>
          <w:szCs w:val="24"/>
        </w:rPr>
        <w:t>, 5ª Turma, rel. Min. Breno Medeiros, julgado em 2/2/2022.</w:t>
      </w:r>
      <w:proofErr w:type="gramStart"/>
      <w:r w:rsidRPr="003509A3">
        <w:rPr>
          <w:rFonts w:ascii="Open Sans" w:hAnsi="Open Sans" w:cs="Open Sans"/>
          <w:sz w:val="24"/>
          <w:szCs w:val="24"/>
        </w:rPr>
        <w:t>)</w:t>
      </w:r>
      <w:proofErr w:type="gramEnd"/>
    </w:p>
    <w:p w14:paraId="56470D9D" w14:textId="77777777" w:rsidR="003509A3" w:rsidRPr="003509A3" w:rsidRDefault="003509A3" w:rsidP="003509A3">
      <w:pPr>
        <w:ind w:left="-284" w:right="368"/>
        <w:jc w:val="both"/>
        <w:rPr>
          <w:rFonts w:ascii="Open Sans" w:hAnsi="Open Sans" w:cs="Open Sans"/>
          <w:sz w:val="24"/>
          <w:szCs w:val="24"/>
          <w:u w:val="single"/>
        </w:rPr>
      </w:pPr>
    </w:p>
    <w:p w14:paraId="7EE218F9"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RECURSO DE REVISTA. ACÓRDÃO PUBLICADO NA VIGÊNCIA DA LEI Nº 13.015/2014. HOMOLOGAÇÃO DE ACORDO EXTRAJUDICIAL. QUITAÇÃO GERAL. TRANSCENDÊNCIA JURÍDICA RECONHECIDA.</w:t>
      </w:r>
      <w:proofErr w:type="gramStart"/>
      <w:r w:rsidRPr="003509A3">
        <w:rPr>
          <w:rFonts w:ascii="Open Sans" w:hAnsi="Open Sans" w:cs="Open Sans"/>
          <w:sz w:val="24"/>
          <w:szCs w:val="24"/>
        </w:rPr>
        <w:t xml:space="preserve">  </w:t>
      </w:r>
      <w:proofErr w:type="gramEnd"/>
      <w:r w:rsidRPr="003509A3">
        <w:rPr>
          <w:rFonts w:ascii="Open Sans" w:hAnsi="Open Sans" w:cs="Open Sans"/>
          <w:sz w:val="24"/>
          <w:szCs w:val="24"/>
        </w:rPr>
        <w:t xml:space="preserve">O TRT, com fulcro nos arts. 855-E da CLT (que considerada a existência de outros direitos além daqueles objeto do acordo extrajudicial) e 842 do CC (que estatui que a transação deve ser interpretada restritivamente), manteve a sentença de origem que homologou parcialmente o acordo extrajudicial firmado entre </w:t>
      </w:r>
      <w:r w:rsidRPr="003509A3">
        <w:rPr>
          <w:rFonts w:ascii="Open Sans" w:hAnsi="Open Sans" w:cs="Open Sans"/>
          <w:sz w:val="24"/>
          <w:szCs w:val="24"/>
        </w:rPr>
        <w:lastRenderedPageBreak/>
        <w:t xml:space="preserve">as partes. Entendo, ao contrário do consignado no acórdão recorrido, que o propósito da Lei nº 13.467/17, ao inserir os arts. 855-B a 855-E na CLT, era permitir a homologação judicial de transações extrajudiciais (concessões recíprocas) acerca das verbas decorrentes da extinção do contrato de trabalho, as quais poderão prever, inclusive, cláusula de quitação geral e irrestrita do contrato de trabalho. As normas acima transcritas, no entanto, como se depreende do art. 855-D, não cria a obrigação de o juízo homologar todo e qualquer acordo extrajudicial proposto pelas partes, notadamente quando não demonstrada a existência de concessões recíprocas ou, ainda, identificar vício de vontade ou ofensa ao ordenamento jurídico. Neste contexto, caberia, tão somente, ao Poder Judiciário homologar ou rejeitar integralmente o acordo apresentado neste procedimento de jurisdição voluntária, e não homologar parcialmente a transação extrajudicial ajustada entre as partes, com ressalva de quitação limitada a determinados valores ou parcelas, fazendo-se substituir à vontade das partes. Assim, se não cabe ao Poder Judiciário tornar-se um mero “homologador” de acordos em que se identifica violação a dispositivos legais ou, ainda, vícios de consentimento das partes (tendo como norte o princípio da proteção, que cerca as relações de trabalho), não deve, da mesma forma, modular seus efeitos, à revelia da vontade das partes. Dessa forma, no caso concreto, não havendo registros no acórdão regional de descumprimento dos </w:t>
      </w:r>
      <w:proofErr w:type="gramStart"/>
      <w:r w:rsidRPr="003509A3">
        <w:rPr>
          <w:rFonts w:ascii="Open Sans" w:hAnsi="Open Sans" w:cs="Open Sans"/>
          <w:sz w:val="24"/>
          <w:szCs w:val="24"/>
        </w:rPr>
        <w:t>requisitos</w:t>
      </w:r>
      <w:proofErr w:type="gramEnd"/>
      <w:r w:rsidRPr="003509A3">
        <w:rPr>
          <w:rFonts w:ascii="Open Sans" w:hAnsi="Open Sans" w:cs="Open Sans"/>
          <w:sz w:val="24"/>
          <w:szCs w:val="24"/>
        </w:rPr>
        <w:t xml:space="preserve"> de validade do negócio jurídico e dos requisitos formais previstos no art. 855-B da CLT ou, ainda, indícios de prejuízos ao trabalhador ou vícios na vontade por ele manifestada, não há óbice à homologação do acordo entabulado entre as partes, nos seus próprios termos. </w:t>
      </w:r>
      <w:proofErr w:type="gramStart"/>
      <w:r w:rsidRPr="003509A3">
        <w:rPr>
          <w:rFonts w:ascii="Open Sans" w:hAnsi="Open Sans" w:cs="Open Sans"/>
          <w:sz w:val="24"/>
          <w:szCs w:val="24"/>
        </w:rPr>
        <w:t>Recurso de revista conhecido e provido.”</w:t>
      </w:r>
      <w:proofErr w:type="gramEnd"/>
      <w:r w:rsidRPr="003509A3">
        <w:rPr>
          <w:rFonts w:ascii="Open Sans" w:hAnsi="Open Sans" w:cs="Open Sans"/>
          <w:sz w:val="24"/>
          <w:szCs w:val="24"/>
        </w:rPr>
        <w:t xml:space="preserve"> (</w:t>
      </w:r>
      <w:hyperlink r:id="rId19" w:history="1">
        <w:r w:rsidRPr="003509A3">
          <w:rPr>
            <w:rStyle w:val="Hyperlink"/>
            <w:rFonts w:ascii="Open Sans" w:hAnsi="Open Sans" w:cs="Open Sans"/>
            <w:sz w:val="24"/>
            <w:szCs w:val="24"/>
          </w:rPr>
          <w:t>TST-RR-10738-41.2019.5.15.0098</w:t>
        </w:r>
      </w:hyperlink>
      <w:r w:rsidRPr="003509A3">
        <w:rPr>
          <w:rFonts w:ascii="Open Sans" w:hAnsi="Open Sans" w:cs="Open Sans"/>
          <w:sz w:val="24"/>
          <w:szCs w:val="24"/>
        </w:rPr>
        <w:t>, 5ª Turma, rel. Min. Breno Medeiros, julgado em 2/2/2022.)</w:t>
      </w:r>
    </w:p>
    <w:p w14:paraId="42E4F999" w14:textId="77777777" w:rsidR="003509A3" w:rsidRPr="003509A3" w:rsidRDefault="003509A3" w:rsidP="003509A3">
      <w:pPr>
        <w:ind w:left="-284" w:right="368"/>
        <w:jc w:val="both"/>
        <w:rPr>
          <w:rFonts w:ascii="Open Sans" w:hAnsi="Open Sans" w:cs="Open Sans"/>
          <w:sz w:val="24"/>
          <w:szCs w:val="24"/>
          <w:u w:val="single"/>
        </w:rPr>
      </w:pPr>
    </w:p>
    <w:p w14:paraId="6548470F"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RECURSO DE REVISTA. ACÓRDÃO PROLATADO NA VIGÊNCIA DA LEI N.º 13.467/2017. FASE DE EXECUÇÃO. IMPENHORABILIDADE. BEM DE FAMÍLIA. TRANSCENDÊNCIA POLÍTICA E SOCIAL RECONHECIDA. </w:t>
      </w:r>
      <w:proofErr w:type="gramStart"/>
      <w:r w:rsidRPr="003509A3">
        <w:rPr>
          <w:rFonts w:ascii="Open Sans" w:hAnsi="Open Sans" w:cs="Open Sans"/>
          <w:sz w:val="24"/>
          <w:szCs w:val="24"/>
        </w:rPr>
        <w:t>1</w:t>
      </w:r>
      <w:proofErr w:type="gramEnd"/>
      <w:r w:rsidRPr="003509A3">
        <w:rPr>
          <w:rFonts w:ascii="Open Sans" w:hAnsi="Open Sans" w:cs="Open Sans"/>
          <w:sz w:val="24"/>
          <w:szCs w:val="24"/>
        </w:rPr>
        <w:t xml:space="preserve">. Cinge-se a controvérsia em definir se o único imóvel de propriedade do executado, locado ou disponível para locação, é abrangido pela impenhorabilidade do bem de família. 2. Para os efeitos da impenhorabilidade do bem de família involuntário, versada na cabeça do artigo 5º da Lei n.º 8.009/1990, exige-se, a princípio, apenas que o bem indicado à penhora seja o único imóvel utilizado pelo casal ou pela entidade familiar para moradia permanente. A incidência da tutela legal é automática, independente de qualquer iniciativa do devedor. 3. Registre-se, ainda, que o Superior Tribunal de Justiça, interpretando referido dispositivo legal – artigo 5º da Lei n.º 8.009/1990 – firmou entendimento, cristalizado na Súmula n.º 486 daquela Corte superior, no sentido de que o fato de a família não residir no único imóvel de sua propriedade não descaracteriza, automaticamente, o instituto do bem de família. 4. Portanto, o fato de o imóvel estar locado ou disponível para locação, por si só, não afasta a garantia da impenhorabilidade do bem família. 5. De outro lado, a jurisprudência desta Corte superior firmou-se no sentido de que não se afigura juridicamente razoável a exigência, ao executado, de apresentar prova de que determinado imóvel é seu único </w:t>
      </w:r>
      <w:r w:rsidRPr="003509A3">
        <w:rPr>
          <w:rFonts w:ascii="Open Sans" w:hAnsi="Open Sans" w:cs="Open Sans"/>
          <w:sz w:val="24"/>
          <w:szCs w:val="24"/>
        </w:rPr>
        <w:lastRenderedPageBreak/>
        <w:t xml:space="preserve">bem, pois tal exigência equivaleria à determinação para produção de prova negativa de que não tem outros bens. Portanto, a compreensão desta Corte superior firmou-se no sentido de que cabe ao exequente comprovar que o imóvel em discussão não constitui bem de família, indicando outros bens de propriedade do executado. 6. No caso dos autos, considerando que as premissas adotadas pelo Tribunal Regional – tanto em relação ao afastamento da garantia legal da impenhorabilidade em razão da não residência da executada no imóvel, como no tocante ao ônus da prova de </w:t>
      </w:r>
      <w:proofErr w:type="gramStart"/>
      <w:r w:rsidRPr="003509A3">
        <w:rPr>
          <w:rFonts w:ascii="Open Sans" w:hAnsi="Open Sans" w:cs="Open Sans"/>
          <w:sz w:val="24"/>
          <w:szCs w:val="24"/>
        </w:rPr>
        <w:t>que</w:t>
      </w:r>
      <w:proofErr w:type="gramEnd"/>
      <w:r w:rsidRPr="003509A3">
        <w:rPr>
          <w:rFonts w:ascii="Open Sans" w:hAnsi="Open Sans" w:cs="Open Sans"/>
          <w:sz w:val="24"/>
          <w:szCs w:val="24"/>
        </w:rPr>
        <w:t xml:space="preserve"> aquele é seu único bem – encontram-se dissonantes da jurisprudência que rege a matéria, tem-se por demonstrada a transcendência política da controvérsia. 7. Resulta configurada, ainda, a transcendência social da causa, nos termos do artigo 896-A, III, da CLT, uma vez que a discussão em torno do direito à moradia e à subsistência encontra guarida no artigo 6º da Constituição da República, que trata dos direitos sociais. 8. À míngua de outros elementos revelados no acórdão recorrido aptos a afastar tal garantia – em especial no que tange à destinação dos valores provenientes da locação do imóvel –, conclui-se que o Tribunal Regional, ao manter a constrição sobre o bem imóvel apenas em razão do fato de a executada nele não residir, acrescida da imposição a ela do ônus de comprovar que aquele não é o único imóvel de sua propriedade, acabou por violar os artigos 5º, XXII, e 6º da Constituição da República. 9. </w:t>
      </w:r>
      <w:proofErr w:type="gramStart"/>
      <w:r w:rsidRPr="003509A3">
        <w:rPr>
          <w:rFonts w:ascii="Open Sans" w:hAnsi="Open Sans" w:cs="Open Sans"/>
          <w:sz w:val="24"/>
          <w:szCs w:val="24"/>
        </w:rPr>
        <w:t>Recurso de Revista conhecido e provido.”</w:t>
      </w:r>
      <w:proofErr w:type="gramEnd"/>
      <w:r w:rsidRPr="003509A3">
        <w:rPr>
          <w:rFonts w:ascii="Open Sans" w:hAnsi="Open Sans" w:cs="Open Sans"/>
          <w:sz w:val="24"/>
          <w:szCs w:val="24"/>
        </w:rPr>
        <w:t xml:space="preserve"> (</w:t>
      </w:r>
      <w:hyperlink r:id="rId20" w:history="1">
        <w:r w:rsidRPr="003509A3">
          <w:rPr>
            <w:rStyle w:val="Hyperlink"/>
            <w:rFonts w:ascii="Open Sans" w:hAnsi="Open Sans" w:cs="Open Sans"/>
            <w:sz w:val="24"/>
            <w:szCs w:val="24"/>
          </w:rPr>
          <w:t>TST-RR-1000290-91.2016.5.02.0022</w:t>
        </w:r>
      </w:hyperlink>
      <w:r w:rsidRPr="003509A3">
        <w:rPr>
          <w:rFonts w:ascii="Open Sans" w:hAnsi="Open Sans" w:cs="Open Sans"/>
          <w:sz w:val="24"/>
          <w:szCs w:val="24"/>
        </w:rPr>
        <w:t>, 6ª Turma, red. p/ acórdão Min. Lelio Bentes Corrêa, julgado em 9/2/2022.)</w:t>
      </w:r>
    </w:p>
    <w:p w14:paraId="20DAFA8B" w14:textId="77777777" w:rsidR="003509A3" w:rsidRPr="003509A3" w:rsidRDefault="003509A3" w:rsidP="003509A3">
      <w:pPr>
        <w:ind w:left="-284" w:right="368"/>
        <w:jc w:val="both"/>
        <w:rPr>
          <w:rFonts w:ascii="Open Sans" w:hAnsi="Open Sans" w:cs="Open Sans"/>
          <w:sz w:val="24"/>
          <w:szCs w:val="24"/>
          <w:u w:val="single"/>
        </w:rPr>
      </w:pPr>
    </w:p>
    <w:p w14:paraId="0BCA7626"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“RECURSO DE REVISTA. RECURSO INTERPOSTO SOB A ÉGIDE DA LEI Nº 13.467/2017. CONCESSIONÁRIA DE SERVIÇO PÚBLICO DE ENERGIA ELÉTRICA – INTERVENÇÃO - AGÊNCIA NACIONAL DE ENERGIA ELÉTRICA - DESNECESSIDADE DE PRÉVIA AUTORIZAÇÃO PARA DISPENSA - LIMITE SALARIAL - OBSERVÂNCIA DA RESOLUÇÃO Nº 3.648/2002 DA ANEEL - TRANSCENDÊNCIA POLÍTICA RECONHECIDA (alegação de violação dos artigos 5º, II, 7º, IV, e 93, IX, da Constituição Federal, 9º, § 1º, da Lei nº 12.767/12 e divergência jurisprudencial). Tratando-se de recurso de revista interposto em face de decisão regional que se mostra contrária à jurisprudência consolidada desta Corte, revela-se presente a transcendência política da causa, a justificar o prosseguimento do exame do apelo. A Resolução 3.648/2012 da ANEEL, alterada pela Resolução 3.665/2012, estabelece a obrigação de prévia e expressa anuência da ANEEL somente nos casos de cargos de diretoria, assessoramento e demais cargos com remuneração igual ou superior a R$ 20.000,00 (vinte mil reais). Desse modo, a jurisprudência desta Corte Superior tem se consolidado no sentido de que a mencionada resolução autoriza de forma prévia e expressa, ainda que em caráter geral, a dispensa de empregados que não se enquadrem nas hipóteses previstas em seu art. 2º, § 8º. Precedentes. Recurso de revista conhecido e provido. [...]” (</w:t>
      </w:r>
      <w:hyperlink r:id="rId21" w:history="1">
        <w:r w:rsidRPr="003509A3">
          <w:rPr>
            <w:rStyle w:val="Hyperlink"/>
            <w:rFonts w:ascii="Open Sans" w:hAnsi="Open Sans" w:cs="Open Sans"/>
            <w:sz w:val="24"/>
            <w:szCs w:val="24"/>
          </w:rPr>
          <w:t>TST-RR-739-20.2014.5.10.0861</w:t>
        </w:r>
      </w:hyperlink>
      <w:r w:rsidRPr="003509A3">
        <w:rPr>
          <w:rFonts w:ascii="Open Sans" w:hAnsi="Open Sans" w:cs="Open Sans"/>
          <w:sz w:val="24"/>
          <w:szCs w:val="24"/>
        </w:rPr>
        <w:t>, 7ª Turma, rel. Min. Renato de Lacerda Paiva, julgado em 9/2/2022.</w:t>
      </w:r>
      <w:proofErr w:type="gramStart"/>
      <w:r w:rsidRPr="003509A3">
        <w:rPr>
          <w:rFonts w:ascii="Open Sans" w:hAnsi="Open Sans" w:cs="Open Sans"/>
          <w:sz w:val="24"/>
          <w:szCs w:val="24"/>
        </w:rPr>
        <w:t>)</w:t>
      </w:r>
      <w:proofErr w:type="gramEnd"/>
    </w:p>
    <w:p w14:paraId="71234680" w14:textId="77777777" w:rsidR="003509A3" w:rsidRPr="003509A3" w:rsidRDefault="003509A3" w:rsidP="003509A3">
      <w:pPr>
        <w:ind w:left="-284" w:right="368"/>
        <w:jc w:val="both"/>
        <w:rPr>
          <w:rFonts w:ascii="Open Sans" w:hAnsi="Open Sans" w:cs="Open Sans"/>
          <w:sz w:val="24"/>
          <w:szCs w:val="24"/>
          <w:u w:val="single"/>
        </w:rPr>
      </w:pPr>
    </w:p>
    <w:p w14:paraId="71548D44"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RECURSO DE REVISTA. INTERPOSIÇÃO EM FACE DE ACÓRDÃO PUBLICADO APÓS A VIGÊNCIA DAS LEIS N</w:t>
      </w:r>
      <w:r w:rsidRPr="003509A3">
        <w:rPr>
          <w:rFonts w:ascii="Open Sans" w:hAnsi="Open Sans" w:cs="Open Sans"/>
          <w:sz w:val="24"/>
          <w:szCs w:val="24"/>
          <w:vertAlign w:val="superscript"/>
        </w:rPr>
        <w:t>os</w:t>
      </w:r>
      <w:r w:rsidRPr="003509A3">
        <w:rPr>
          <w:rFonts w:ascii="Open Sans" w:hAnsi="Open Sans" w:cs="Open Sans"/>
          <w:sz w:val="24"/>
          <w:szCs w:val="24"/>
        </w:rPr>
        <w:t xml:space="preserve"> 13.015/2014 E 13.105/2015 E DA INSTRUÇÃO NORMATIVA Nº 40/2016 DO TST, MAS ANTES DA ENTRADA EM VIGOR DA LEI Nº 13.467/2017. FÉRIAS </w:t>
      </w:r>
      <w:r w:rsidRPr="003509A3">
        <w:rPr>
          <w:rFonts w:ascii="Open Sans" w:hAnsi="Open Sans" w:cs="Open Sans"/>
          <w:sz w:val="24"/>
          <w:szCs w:val="24"/>
        </w:rPr>
        <w:lastRenderedPageBreak/>
        <w:t xml:space="preserve">COLETIVAS – FRACIONAMENTO EM DOIS PERÍODOS – EMPREGADO MAIOR DE 50 ANOS - POSSIBILIDADE. (violação aos artigos 7º, XXVI, da Constituição Federal e 139, caput, §1º, da Consolidação das Leis do Trabalho). Conforme se depreende do acórdão recorrido, prevaleceu no TRT o posicionamento de que não há como se flexibilizar o comando então previsto no §2º do art. 134 da CLT, mesmo na hipótese de concessão de férias coletivas. No entanto, comungo do entendimento de que a proibição estampada no art. 134, §2º, da CLT se dirigia, exclusivamente, às férias concedidas individualmente, circunstância em que, de fato, </w:t>
      </w:r>
      <w:r w:rsidRPr="003509A3">
        <w:rPr>
          <w:rFonts w:ascii="Open Sans" w:hAnsi="Open Sans" w:cs="Open Sans"/>
          <w:i/>
          <w:sz w:val="24"/>
          <w:szCs w:val="24"/>
        </w:rPr>
        <w:t>“Aos menores de 18 (dezoito) anos e aos maiores de 50 (cinquenta) anos de idade, as férias serão sempre concedidas de uma só vez”</w:t>
      </w:r>
      <w:r w:rsidRPr="003509A3">
        <w:rPr>
          <w:rFonts w:ascii="Open Sans" w:hAnsi="Open Sans" w:cs="Open Sans"/>
          <w:sz w:val="24"/>
          <w:szCs w:val="24"/>
        </w:rPr>
        <w:t>. Por outro lado, caso o empregador opte por conceder as férias coletivamente, o regramento aplicável é aquele constante do art. 139 da CLT, segundo o qual as férias coletivas poderão ser concedidas, sem qualquer distinção, a todos os empregados da empresa e em dois períodos, desde que nenhum deles seja inferior a dez dias. Não há, assim, vedação quanto ao parcelamento das férias do maior de 50 anos no caso das férias coletivas, mormente quando amparadas em instrumentos coletivos, como no caso em apreço. Em suma, o art. 134, §2º, da CLT revela-se impertinente na espécie. Recurso de revista conhecido e provido.” (</w:t>
      </w:r>
      <w:hyperlink r:id="rId22" w:history="1">
        <w:r w:rsidRPr="003509A3">
          <w:rPr>
            <w:rStyle w:val="Hyperlink"/>
            <w:rFonts w:ascii="Open Sans" w:hAnsi="Open Sans" w:cs="Open Sans"/>
            <w:sz w:val="24"/>
            <w:szCs w:val="24"/>
          </w:rPr>
          <w:t>TST-RR-1734-72.2014.5.03.0038</w:t>
        </w:r>
      </w:hyperlink>
      <w:r w:rsidRPr="003509A3">
        <w:rPr>
          <w:rFonts w:ascii="Open Sans" w:hAnsi="Open Sans" w:cs="Open Sans"/>
          <w:sz w:val="24"/>
          <w:szCs w:val="24"/>
        </w:rPr>
        <w:t>, 7ª Turma, rel. Min. Renato de Lacerda Paiva, julgado em 9/2/2022.</w:t>
      </w:r>
      <w:proofErr w:type="gramStart"/>
      <w:r w:rsidRPr="003509A3">
        <w:rPr>
          <w:rFonts w:ascii="Open Sans" w:hAnsi="Open Sans" w:cs="Open Sans"/>
          <w:sz w:val="24"/>
          <w:szCs w:val="24"/>
        </w:rPr>
        <w:t>)</w:t>
      </w:r>
      <w:proofErr w:type="gramEnd"/>
    </w:p>
    <w:p w14:paraId="53BC51C7" w14:textId="77777777" w:rsidR="003509A3" w:rsidRPr="003509A3" w:rsidRDefault="003509A3" w:rsidP="003509A3">
      <w:pPr>
        <w:ind w:left="-284" w:right="368"/>
        <w:jc w:val="both"/>
        <w:rPr>
          <w:rFonts w:ascii="Open Sans" w:hAnsi="Open Sans" w:cs="Open Sans"/>
          <w:sz w:val="24"/>
          <w:szCs w:val="24"/>
          <w:u w:val="single"/>
        </w:rPr>
      </w:pPr>
    </w:p>
    <w:p w14:paraId="7A9A24AB"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RECURSO DE REVISTA. ACÓRDÃO REGIONAL PUBLICADO APÓS A VIGÊNCIA DA LEI Nº 13.467/2017. EXECUÇÃO – COMPETÊNCIA DA JUSTIÇA DO TRABALHO - DESCONSIDERAÇÃO DA PERSONALIDADE JURÍDICA – MASSA FALIDA. (violação aos artigos 5º, XXXV, LV, LXXVIII, 109, I, e 114 da CF e de divergência jurisprudencial) O processamento do recurso de revista na vigência da Lei nº 13.467/2017 exige que a causa apresente transcendência com relação aos reflexos gerais de natureza econômica, política, social ou jurídica (artigo 896-A da CLT). No presente caso, considerando que o único tema devolvido no recurso de revista consiste na </w:t>
      </w:r>
      <w:r w:rsidRPr="003509A3">
        <w:rPr>
          <w:rFonts w:ascii="Open Sans" w:hAnsi="Open Sans" w:cs="Open Sans"/>
          <w:i/>
          <w:sz w:val="24"/>
          <w:szCs w:val="24"/>
        </w:rPr>
        <w:t>“desconsideração da personalidade jurídica”</w:t>
      </w:r>
      <w:r w:rsidRPr="003509A3">
        <w:rPr>
          <w:rFonts w:ascii="Open Sans" w:hAnsi="Open Sans" w:cs="Open Sans"/>
          <w:sz w:val="24"/>
          <w:szCs w:val="24"/>
        </w:rPr>
        <w:t xml:space="preserve">, em razão do qual o recorrente pretende a responsabilização integral dos sócios pela condenação, e que o valor atualizado do crédito na execução corresponde a R$ 41.975,33 (quarenta e um mil, novecentos e setenta e cinco reais e trinta e três centavos), tem-se a demanda ostenta transcendência econômica, porquanto ultrapassado o montante de 40 salários mínimos, a teor do 852-A da CLT. No mérito, verifica-se que o TRT adotou o entendimento de que, uma vez liquidado o </w:t>
      </w:r>
      <w:r w:rsidRPr="003509A3">
        <w:rPr>
          <w:rFonts w:ascii="Open Sans" w:hAnsi="Open Sans" w:cs="Open Sans"/>
          <w:i/>
          <w:sz w:val="24"/>
          <w:szCs w:val="24"/>
        </w:rPr>
        <w:t>quantum debeatur</w:t>
      </w:r>
      <w:r w:rsidRPr="003509A3">
        <w:rPr>
          <w:rFonts w:ascii="Open Sans" w:hAnsi="Open Sans" w:cs="Open Sans"/>
          <w:sz w:val="24"/>
          <w:szCs w:val="24"/>
        </w:rPr>
        <w:t xml:space="preserve"> e deflagrado o processo falimentar em face da empresa reclamada na Justiça Comum, não há como acolher o pedido de desconsideração da personalidade jurídica nesta Justiça Especializada, a fim de alcançar o patrimônio dos sócios, em virtude da competência prevalecente do juízo universal da falência. No entanto, a jurisprudência do TST tem se consolidado no sentido de que o redirecionamento da execução contra os sócios da empresa falida não tem o condão de afastar a competência da Justiça do Trabalho para dar prosseguimento aos atos executórios em face do patrimônio dos sócios da pessoa jurídica. Isso porque os bens pessoais dos sócios não se confundem com o patrimônio da empresa, este integrante da massa falida e arrecadado pelo juízo da falência. </w:t>
      </w:r>
      <w:r w:rsidRPr="003509A3">
        <w:rPr>
          <w:rFonts w:ascii="Open Sans" w:hAnsi="Open Sans" w:cs="Open Sans"/>
          <w:sz w:val="24"/>
          <w:szCs w:val="24"/>
        </w:rPr>
        <w:lastRenderedPageBreak/>
        <w:t>Precedentes. Recurso de revista conhecido e provido.</w:t>
      </w:r>
      <w:proofErr w:type="gramStart"/>
      <w:r w:rsidRPr="003509A3">
        <w:rPr>
          <w:rFonts w:ascii="Open Sans" w:hAnsi="Open Sans" w:cs="Open Sans"/>
          <w:sz w:val="24"/>
          <w:szCs w:val="24"/>
        </w:rPr>
        <w:t>”</w:t>
      </w:r>
      <w:proofErr w:type="gramEnd"/>
      <w:r w:rsidRPr="003509A3">
        <w:rPr>
          <w:rFonts w:ascii="Open Sans" w:hAnsi="Open Sans" w:cs="Open Sans"/>
          <w:sz w:val="24"/>
          <w:szCs w:val="24"/>
        </w:rPr>
        <w:t xml:space="preserve"> (</w:t>
      </w:r>
      <w:hyperlink r:id="rId23" w:history="1">
        <w:r w:rsidRPr="003509A3">
          <w:rPr>
            <w:rStyle w:val="Hyperlink"/>
            <w:rFonts w:ascii="Open Sans" w:hAnsi="Open Sans" w:cs="Open Sans"/>
            <w:sz w:val="24"/>
            <w:szCs w:val="24"/>
          </w:rPr>
          <w:t>TST-RR-550-76.2014.5.02.0081</w:t>
        </w:r>
      </w:hyperlink>
      <w:r w:rsidRPr="003509A3">
        <w:rPr>
          <w:rFonts w:ascii="Open Sans" w:hAnsi="Open Sans" w:cs="Open Sans"/>
          <w:sz w:val="24"/>
          <w:szCs w:val="24"/>
        </w:rPr>
        <w:t>, 7ª Turma, rel. Min. Renato de Lacerda Paiva, julgado em 16/2/2022.</w:t>
      </w:r>
      <w:proofErr w:type="gramStart"/>
      <w:r w:rsidRPr="003509A3">
        <w:rPr>
          <w:rFonts w:ascii="Open Sans" w:hAnsi="Open Sans" w:cs="Open Sans"/>
          <w:sz w:val="24"/>
          <w:szCs w:val="24"/>
        </w:rPr>
        <w:t>)</w:t>
      </w:r>
      <w:proofErr w:type="gramEnd"/>
    </w:p>
    <w:p w14:paraId="067DAB1C" w14:textId="77777777" w:rsidR="003509A3" w:rsidRPr="003509A3" w:rsidRDefault="003509A3" w:rsidP="003509A3">
      <w:pPr>
        <w:tabs>
          <w:tab w:val="left" w:pos="1340"/>
        </w:tabs>
        <w:ind w:left="-284" w:right="368"/>
        <w:jc w:val="both"/>
        <w:rPr>
          <w:rFonts w:ascii="Open Sans" w:hAnsi="Open Sans" w:cs="Open Sans"/>
          <w:sz w:val="24"/>
          <w:szCs w:val="24"/>
          <w:u w:val="single"/>
        </w:rPr>
      </w:pPr>
    </w:p>
    <w:p w14:paraId="1E1A15BC"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“RECURSO DE REVISTA INTERPOSTO ANTES DA LEI Nº 13.015/2014. AÇÃO CIVIL PÚBLICA – PROPAGANDA PUBLICITÁRIA – PARTICIPAÇÃO DE CRIANÇA – ENFOQUE NA GLOBALIZAÇÃO DO EMPREENDENDORISMO – AUSÊNCIA DE APOLOGIA AO TRABALHO INFANTIL – INEXISTÊNCIA DE ABUSIVIDADE (violação aos artigos 7º, XXXIII, 208 § 3º, e 227, caput, § 3º, I, da CF/88). A constatação de que a peça publicitária na qual houve participação de uma criança, juntamente com o pai, em ambiente aprazível e bucólico, vendendo limonada, com enfoque na globalização do empreendedorismo, cujo slogan apregoa que </w:t>
      </w:r>
      <w:proofErr w:type="gramStart"/>
      <w:r w:rsidRPr="003509A3">
        <w:rPr>
          <w:rFonts w:ascii="Open Sans" w:hAnsi="Open Sans" w:cs="Open Sans"/>
          <w:i/>
          <w:sz w:val="24"/>
          <w:szCs w:val="24"/>
        </w:rPr>
        <w:t>“Os mercados globais estão se abrindo para todos.</w:t>
      </w:r>
      <w:proofErr w:type="gramEnd"/>
      <w:r w:rsidRPr="003509A3">
        <w:rPr>
          <w:rFonts w:ascii="Open Sans" w:hAnsi="Open Sans" w:cs="Open Sans"/>
          <w:i/>
          <w:sz w:val="24"/>
          <w:szCs w:val="24"/>
        </w:rPr>
        <w:t xml:space="preserve"> No futuro até a menor das empresas será multinacional. Um mundo novo está emergindo. </w:t>
      </w:r>
      <w:proofErr w:type="gramStart"/>
      <w:r w:rsidRPr="003509A3">
        <w:rPr>
          <w:rFonts w:ascii="Open Sans" w:hAnsi="Open Sans" w:cs="Open Sans"/>
          <w:i/>
          <w:sz w:val="24"/>
          <w:szCs w:val="24"/>
        </w:rPr>
        <w:t>Faça parte dele”</w:t>
      </w:r>
      <w:proofErr w:type="gramEnd"/>
      <w:r w:rsidRPr="003509A3">
        <w:rPr>
          <w:rFonts w:ascii="Open Sans" w:hAnsi="Open Sans" w:cs="Open Sans"/>
          <w:sz w:val="24"/>
          <w:szCs w:val="24"/>
        </w:rPr>
        <w:t>, não propaga o trabalho infantil e nem revela qualquer abusividade da propaganda. Não se afigura a hipótese de uma ponderação de princípios, mas, sim, da coexistência harmoniosa da liberdade de expressão artística e de comunicação com os ditames constitucionais que priorizam e impõe como dever do Estado, da sociedade e da família assegurar às crianças e adolescentes o direito à vida, à educação, à dignidade e à liberdade, sem discriminação, crueldade, exploração, ou qualquer outra forma de violência física ou mental. Recurso de revista não conhecido.” (</w:t>
      </w:r>
      <w:hyperlink r:id="rId24" w:history="1">
        <w:r w:rsidRPr="003509A3">
          <w:rPr>
            <w:rStyle w:val="Hyperlink"/>
            <w:rFonts w:ascii="Open Sans" w:hAnsi="Open Sans" w:cs="Open Sans"/>
            <w:sz w:val="24"/>
            <w:szCs w:val="24"/>
          </w:rPr>
          <w:t>TST-RR-221-53.2012.5.09.0012</w:t>
        </w:r>
      </w:hyperlink>
      <w:r w:rsidRPr="003509A3">
        <w:rPr>
          <w:rFonts w:ascii="Open Sans" w:hAnsi="Open Sans" w:cs="Open Sans"/>
          <w:sz w:val="24"/>
          <w:szCs w:val="24"/>
        </w:rPr>
        <w:t>, 7ª Turma, rel. Min. Renato de Lacerda Paiva, julgado em 23/2/2022.)</w:t>
      </w:r>
    </w:p>
    <w:p w14:paraId="69C0887D" w14:textId="77777777" w:rsidR="003509A3" w:rsidRPr="003509A3" w:rsidRDefault="003509A3" w:rsidP="003509A3">
      <w:pPr>
        <w:tabs>
          <w:tab w:val="left" w:pos="1340"/>
        </w:tabs>
        <w:ind w:left="-284" w:right="368"/>
        <w:jc w:val="both"/>
        <w:rPr>
          <w:rFonts w:ascii="Open Sans" w:hAnsi="Open Sans" w:cs="Open Sans"/>
          <w:sz w:val="24"/>
          <w:szCs w:val="24"/>
          <w:u w:val="single"/>
        </w:rPr>
      </w:pPr>
    </w:p>
    <w:p w14:paraId="1A411049"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“RECURSO DE REVISTA. ACÓRDÃO RECORRIDO PUBLICADO ANTES DA VIGÊNCIA DA LEI Nº 13.015/14. REEXAME DO APELO EM CUMPRIMENTO À DECISÃO PROFERIDA NO STF, CUJO TEOR DETERMINA QUE A CONTROVÉRSIA SEJA DIRIMIDA À LUZ DO DIREITO CIVIL. COMPLEMENTAÇÃO DE APOSENTADORIA – PARCELAS SALARIAIS – INTEGRAÇÃO – ADESÃO ÀS REGRAS DE SALDAMENTO DO REG/REPLAN – SALDAMENTO - TRANSAÇÃO – EFEITOS. Esta 7ª Turma deu provimento ao recurso de revista da reclamante para reconhecer a natureza salarial da parcela CTVA e determinar a sua inclusão no salário de contribuição devido à FUNCEF e o recálculo do benefício saldado do REG/REPLAN (saldamento). A Caixa Econômica Federal interpôs recurso extraordinário, tendo o Ministro Dias Toffoli, em decisão monocrática, provido parcialmente o apelo </w:t>
      </w:r>
      <w:r w:rsidRPr="003509A3">
        <w:rPr>
          <w:rFonts w:ascii="Open Sans" w:hAnsi="Open Sans" w:cs="Open Sans"/>
          <w:i/>
          <w:sz w:val="24"/>
          <w:szCs w:val="24"/>
        </w:rPr>
        <w:t>“[...] para determinar que, no ponto relativo à migração de plano de previdência e ao recálculo do valor saldado dos benefícios do REG/REPLAN, o processo retorne ao Tribunal Superior do Trabalho, a fim de que o pleito seja novamente julgado, segundo as regras do direito civil”</w:t>
      </w:r>
      <w:r w:rsidRPr="003509A3">
        <w:rPr>
          <w:rFonts w:ascii="Open Sans" w:hAnsi="Open Sans" w:cs="Open Sans"/>
          <w:sz w:val="24"/>
          <w:szCs w:val="24"/>
        </w:rPr>
        <w:t xml:space="preserve">. Diante dos contornos adquiridos pela lide, a questão que remanesce, frente à determinação do STF, cinge-se em saber se a reclamante faz jus às diferenças postuladas ainda que a controvérsia seja examinada apenas pelo prisma do Direito Civil. Com efeito, tal aspecto já foi enfrentado pela SBDI-1 desta Corte. A egrégia Subseção, examinando a mesma questão jurídica, firmou entendimento de que a integração da CTVA no salário de contribuição envolve pretensão relativa a direito preexistente, ou seja, diz respeito </w:t>
      </w:r>
      <w:proofErr w:type="gramStart"/>
      <w:r w:rsidRPr="003509A3">
        <w:rPr>
          <w:rFonts w:ascii="Open Sans" w:hAnsi="Open Sans" w:cs="Open Sans"/>
          <w:sz w:val="24"/>
          <w:szCs w:val="24"/>
        </w:rPr>
        <w:t>a</w:t>
      </w:r>
      <w:proofErr w:type="gramEnd"/>
      <w:r w:rsidRPr="003509A3">
        <w:rPr>
          <w:rFonts w:ascii="Open Sans" w:hAnsi="Open Sans" w:cs="Open Sans"/>
          <w:sz w:val="24"/>
          <w:szCs w:val="24"/>
        </w:rPr>
        <w:t xml:space="preserve"> parcela que já havia sido incorporada ao direito da parte autora. Assim, o fato de sua natureza salarial não ter sido considerado à época do ajuste compromete o requisito das concessões mútuas referido no artigo 840 do </w:t>
      </w:r>
      <w:r w:rsidRPr="003509A3">
        <w:rPr>
          <w:rFonts w:ascii="Open Sans" w:hAnsi="Open Sans" w:cs="Open Sans"/>
          <w:sz w:val="24"/>
          <w:szCs w:val="24"/>
        </w:rPr>
        <w:lastRenderedPageBreak/>
        <w:t xml:space="preserve">Código Civil, afastando, desse modo, os efeitos da quitação plena. Some-se a isso a compreensão da Subseção de que a ausência de inclusão da CTVA no cálculo do benefício evidencia quebra da </w:t>
      </w:r>
      <w:r w:rsidRPr="003509A3">
        <w:rPr>
          <w:rFonts w:ascii="Open Sans" w:hAnsi="Open Sans" w:cs="Open Sans"/>
          <w:i/>
          <w:sz w:val="24"/>
          <w:szCs w:val="24"/>
        </w:rPr>
        <w:t>pacta sunt servanda</w:t>
      </w:r>
      <w:r w:rsidRPr="003509A3">
        <w:rPr>
          <w:rFonts w:ascii="Open Sans" w:hAnsi="Open Sans" w:cs="Open Sans"/>
          <w:sz w:val="24"/>
          <w:szCs w:val="24"/>
        </w:rPr>
        <w:t xml:space="preserve">, o que, </w:t>
      </w:r>
      <w:proofErr w:type="gramStart"/>
      <w:r w:rsidRPr="003509A3">
        <w:rPr>
          <w:rFonts w:ascii="Open Sans" w:hAnsi="Open Sans" w:cs="Open Sans"/>
          <w:sz w:val="24"/>
          <w:szCs w:val="24"/>
        </w:rPr>
        <w:t>também</w:t>
      </w:r>
      <w:proofErr w:type="gramEnd"/>
      <w:r w:rsidRPr="003509A3">
        <w:rPr>
          <w:rFonts w:ascii="Open Sans" w:hAnsi="Open Sans" w:cs="Open Sans"/>
          <w:sz w:val="24"/>
          <w:szCs w:val="24"/>
        </w:rPr>
        <w:t xml:space="preserve"> à luz do Direito Civil, induz o reconhecimento do direito às diferenças pleiteadas pela reclamante. Precedentes da SBDI-1 e da 7ª Turma. Assim, em cumprimento à decisão emanada do Supremo Tribunal Federal, é de se concluir que o exame da questão posta nos autos à luz do Direito Civil aponta, por igual, para o deferimento das diferenças postuladas pela parte autora. </w:t>
      </w:r>
      <w:proofErr w:type="gramStart"/>
      <w:r w:rsidRPr="003509A3">
        <w:rPr>
          <w:rFonts w:ascii="Open Sans" w:hAnsi="Open Sans" w:cs="Open Sans"/>
          <w:sz w:val="24"/>
          <w:szCs w:val="24"/>
        </w:rPr>
        <w:t>Mantém-se, portanto, o provimento do recurso de revista interposto.”</w:t>
      </w:r>
      <w:proofErr w:type="gramEnd"/>
      <w:r w:rsidRPr="003509A3">
        <w:rPr>
          <w:rFonts w:ascii="Open Sans" w:hAnsi="Open Sans" w:cs="Open Sans"/>
          <w:sz w:val="24"/>
          <w:szCs w:val="24"/>
        </w:rPr>
        <w:t xml:space="preserve"> (</w:t>
      </w:r>
      <w:hyperlink r:id="rId25" w:history="1">
        <w:r w:rsidRPr="003509A3">
          <w:rPr>
            <w:rStyle w:val="Hyperlink"/>
            <w:rFonts w:ascii="Open Sans" w:hAnsi="Open Sans" w:cs="Open Sans"/>
            <w:sz w:val="24"/>
            <w:szCs w:val="24"/>
          </w:rPr>
          <w:t>TST-RR-1276-84.2011.5.06.0003</w:t>
        </w:r>
      </w:hyperlink>
      <w:r w:rsidRPr="003509A3">
        <w:rPr>
          <w:rFonts w:ascii="Open Sans" w:hAnsi="Open Sans" w:cs="Open Sans"/>
          <w:sz w:val="24"/>
          <w:szCs w:val="24"/>
        </w:rPr>
        <w:t>, 7ª Turma, rel. Min. Renato de Lacerda Paiva, julgado em 23/2/2022.)</w:t>
      </w:r>
    </w:p>
    <w:p w14:paraId="4D1A7113" w14:textId="77777777" w:rsidR="003509A3" w:rsidRPr="003509A3" w:rsidRDefault="003509A3" w:rsidP="003509A3">
      <w:pPr>
        <w:tabs>
          <w:tab w:val="left" w:pos="1340"/>
        </w:tabs>
        <w:ind w:left="-284" w:right="368"/>
        <w:jc w:val="both"/>
        <w:rPr>
          <w:rFonts w:ascii="Open Sans" w:hAnsi="Open Sans" w:cs="Open Sans"/>
          <w:sz w:val="24"/>
          <w:szCs w:val="24"/>
          <w:u w:val="single"/>
        </w:rPr>
      </w:pPr>
    </w:p>
    <w:p w14:paraId="0A70B45B"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HONORÁRIOS ADVOCATÍCIOS DE SUCUMBÊNCIA RECÍPROCA. AÇÃO AJUIZADA NA VIGÊNCIA DA LEI Nº 13.467/2017. PEDIDO JULGADO PARCIALMENTE PROCEDENTE. NÃO INCIDÊNCIA. NECESSIDADE DE ANÁLISE GLOBAL DAS PRETENSÕES FORMULADAS NA INICIAL. TEXTO EXPRESSO EM LEI. O artigo 791-A, §3º, da CLT, introduzido pela Lei nº 13.467/2017, instituiu na Justiça do Trabalho os honorários de sucumbência recíproca, mediante a seguinte disposição: </w:t>
      </w:r>
      <w:r w:rsidRPr="003509A3">
        <w:rPr>
          <w:rFonts w:ascii="Open Sans" w:hAnsi="Open Sans" w:cs="Open Sans"/>
          <w:i/>
          <w:sz w:val="24"/>
          <w:szCs w:val="24"/>
        </w:rPr>
        <w:t>“Na hipótese de procedência parcial, o juízo arbitrará honorários de sucumbência recíproca, vedada a compensação entre os honorários”</w:t>
      </w:r>
      <w:r w:rsidRPr="003509A3">
        <w:rPr>
          <w:rFonts w:ascii="Open Sans" w:hAnsi="Open Sans" w:cs="Open Sans"/>
          <w:sz w:val="24"/>
          <w:szCs w:val="24"/>
        </w:rPr>
        <w:t xml:space="preserve">. Embora a redação do dispositivo suscite dúvidas acerca do parâmetro de incidência dos referidos honorários, a melhor interpretação a ser conferida é aquela que se coaduna com a característica, ordinária, da cumulatividade de pretensões na reclamação trabalhista, de modo que o autor apenas será sucumbente se decair, integralmente, de um pedido. Há, ainda, na doutrina quem diferencie a sucumbência parcial - relativa ao indeferimento de uma simples parcela do pedido, e, portanto inaplicável para os fins da norma celetista - da procedência parcial (expressão contida no texto expresso em lei), esta analisada no contexto global da ação, em face da própria pretensão, como já afirmado. Assim, tendo sido acolhida a pretensão, ainda que indeferida parcela do pedido, não se há de falar em condenação do autor no pagamento dos honorários advocatícios previstos no artigo 791-A, §3º, da CLT, pois não configurada, nessa hipótese, a sucumbência recíproca exigida pelo dispositivo. Logo, ao decidir que </w:t>
      </w:r>
      <w:r w:rsidRPr="003509A3">
        <w:rPr>
          <w:rFonts w:ascii="Open Sans" w:hAnsi="Open Sans" w:cs="Open Sans"/>
          <w:i/>
          <w:sz w:val="24"/>
          <w:szCs w:val="24"/>
        </w:rPr>
        <w:t>“não há como acolher a tese do reclamante de que o acolhimento parcial de um pedido não enseja a sucumbência recíproca”</w:t>
      </w:r>
      <w:r w:rsidRPr="003509A3">
        <w:rPr>
          <w:rFonts w:ascii="Open Sans" w:hAnsi="Open Sans" w:cs="Open Sans"/>
          <w:sz w:val="24"/>
          <w:szCs w:val="24"/>
        </w:rPr>
        <w:t>, a Corte de origem violou frontalmente a norma celetista em discussão, razão pela qual merece reforma a decisão. Recurso de revista conhecido e provido.</w:t>
      </w:r>
      <w:proofErr w:type="gramStart"/>
      <w:r w:rsidRPr="003509A3">
        <w:rPr>
          <w:rFonts w:ascii="Open Sans" w:hAnsi="Open Sans" w:cs="Open Sans"/>
          <w:sz w:val="24"/>
          <w:szCs w:val="24"/>
        </w:rPr>
        <w:t>”</w:t>
      </w:r>
      <w:proofErr w:type="gramEnd"/>
      <w:r w:rsidRPr="003509A3">
        <w:rPr>
          <w:rFonts w:ascii="Open Sans" w:hAnsi="Open Sans" w:cs="Open Sans"/>
          <w:sz w:val="24"/>
          <w:szCs w:val="24"/>
        </w:rPr>
        <w:t xml:space="preserve"> (</w:t>
      </w:r>
      <w:hyperlink r:id="rId26" w:history="1">
        <w:r w:rsidRPr="003509A3">
          <w:rPr>
            <w:rStyle w:val="Hyperlink"/>
            <w:rFonts w:ascii="Open Sans" w:hAnsi="Open Sans" w:cs="Open Sans"/>
            <w:sz w:val="24"/>
            <w:szCs w:val="24"/>
          </w:rPr>
          <w:t>TST-RR-1000353-68.2018.5.02.0080</w:t>
        </w:r>
      </w:hyperlink>
      <w:r w:rsidRPr="003509A3">
        <w:rPr>
          <w:rFonts w:ascii="Open Sans" w:hAnsi="Open Sans" w:cs="Open Sans"/>
          <w:sz w:val="24"/>
          <w:szCs w:val="24"/>
        </w:rPr>
        <w:t>, 7ª Turma, rel. Min. Cláudio Mascarenhas Brandão, julgado em 16/2/2022.</w:t>
      </w:r>
      <w:proofErr w:type="gramStart"/>
      <w:r w:rsidRPr="003509A3">
        <w:rPr>
          <w:rFonts w:ascii="Open Sans" w:hAnsi="Open Sans" w:cs="Open Sans"/>
          <w:sz w:val="24"/>
          <w:szCs w:val="24"/>
        </w:rPr>
        <w:t>)</w:t>
      </w:r>
      <w:proofErr w:type="gramEnd"/>
    </w:p>
    <w:p w14:paraId="20C3C15B" w14:textId="77777777" w:rsidR="003509A3" w:rsidRPr="003509A3" w:rsidRDefault="003509A3" w:rsidP="003509A3">
      <w:pPr>
        <w:ind w:left="-284" w:right="368"/>
        <w:jc w:val="both"/>
        <w:rPr>
          <w:rFonts w:ascii="Open Sans" w:hAnsi="Open Sans" w:cs="Open Sans"/>
          <w:sz w:val="24"/>
          <w:szCs w:val="24"/>
        </w:rPr>
      </w:pPr>
    </w:p>
    <w:p w14:paraId="10DD7FAD"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RECURSO DE REVISTA DA AUTORA. BANCÁRIO. FUNÇÃO GRATIFICADA DE CAIXA E “QUEBRA DE CAIXA”. POSSIBILIDADE DE CUMULAÇÃO. TRANSCENDÊNCIA POLÍTICA RECONHECIDA. Apesar de a jurisprudência desta Corte já ter se sedimentado no sentido da possibilidade de cumulação, por se tratar de fatos geradores distintos, é certo que o caso em exame possui peculiaridades, pois houve registro acerca da existência de vedação expressa de pagamento da gratificação “quebra de caixa” aos ocupantes de função de confiança. O pagamento ficaria restrito, assim, àqueles </w:t>
      </w:r>
      <w:r w:rsidRPr="003509A3">
        <w:rPr>
          <w:rFonts w:ascii="Open Sans" w:hAnsi="Open Sans" w:cs="Open Sans"/>
          <w:sz w:val="24"/>
          <w:szCs w:val="24"/>
        </w:rPr>
        <w:lastRenderedPageBreak/>
        <w:t>empregados que recebessem a gratificação de função em caráter meramente eventual. E, nesse quadro fático específico, os precedentes são no sentido de respeitar a norma interna, já que se trata de parcela não prevista em lei. Recurso de revista conhecido e não provido. [...]” (</w:t>
      </w:r>
      <w:hyperlink r:id="rId27" w:history="1">
        <w:r w:rsidRPr="003509A3">
          <w:rPr>
            <w:rStyle w:val="Hyperlink"/>
            <w:rFonts w:ascii="Open Sans" w:hAnsi="Open Sans" w:cs="Open Sans"/>
            <w:sz w:val="24"/>
            <w:szCs w:val="24"/>
          </w:rPr>
          <w:t>TST-ARR-1536-90.2017.5.12.0034</w:t>
        </w:r>
      </w:hyperlink>
      <w:r w:rsidRPr="003509A3">
        <w:rPr>
          <w:rFonts w:ascii="Open Sans" w:hAnsi="Open Sans" w:cs="Open Sans"/>
          <w:sz w:val="24"/>
          <w:szCs w:val="24"/>
        </w:rPr>
        <w:t>, 7ª Turma, rel. Min. Cláudio Mascarenhas Brandão, julgado em 23/2/2022.</w:t>
      </w:r>
      <w:proofErr w:type="gramStart"/>
      <w:r w:rsidRPr="003509A3">
        <w:rPr>
          <w:rFonts w:ascii="Open Sans" w:hAnsi="Open Sans" w:cs="Open Sans"/>
          <w:sz w:val="24"/>
          <w:szCs w:val="24"/>
        </w:rPr>
        <w:t>)</w:t>
      </w:r>
      <w:proofErr w:type="gramEnd"/>
    </w:p>
    <w:p w14:paraId="1C77CB7E" w14:textId="77777777" w:rsidR="003509A3" w:rsidRPr="003509A3" w:rsidRDefault="003509A3" w:rsidP="003509A3">
      <w:pPr>
        <w:ind w:left="-284" w:right="368"/>
        <w:jc w:val="both"/>
        <w:rPr>
          <w:rFonts w:ascii="Open Sans" w:hAnsi="Open Sans" w:cs="Open Sans"/>
          <w:sz w:val="24"/>
          <w:szCs w:val="24"/>
        </w:rPr>
      </w:pPr>
    </w:p>
    <w:p w14:paraId="3AC66ABA"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“RECURSO DE REVISTA DO AUTOR. LEI Nº 13.467/2017. TRANSCENDÊNCIA POLÍTICA CONSTATADA. CORREÇÃO MONETÁRIA DOS DÉBITOS TRABALHISTAS. APLICAÇÃO DA DECISÃO VINCULANTE PROFERIDA PELO SUPREMO TRIBUNAL FEDERAL NA ADC Nº 58. RELATIVIZAÇÃO DA VEDAÇÃO À </w:t>
      </w:r>
      <w:r w:rsidRPr="003509A3">
        <w:rPr>
          <w:rFonts w:ascii="Open Sans" w:hAnsi="Open Sans" w:cs="Open Sans"/>
          <w:i/>
          <w:sz w:val="24"/>
          <w:szCs w:val="24"/>
        </w:rPr>
        <w:t>REFORMATIO IN PEJUS</w:t>
      </w:r>
      <w:r w:rsidRPr="003509A3">
        <w:rPr>
          <w:rFonts w:ascii="Open Sans" w:hAnsi="Open Sans" w:cs="Open Sans"/>
          <w:sz w:val="24"/>
          <w:szCs w:val="24"/>
        </w:rPr>
        <w:t xml:space="preserve"> E DA ESTRITA OBSERVÂNCIA DOS LIMITES DA CONTROVÉRSIA, PARA CUMPRIR A DETERMINAÇÃO ORIUNDA DA CORTE CONSTITUCIONAL. DISCIPLINA JUDICIÁRIA. CELERIDADE PROCESSUAL. O Supremo Tribunal Federal, por ocasião do julgamento da ADC nº 58, decidiu </w:t>
      </w:r>
      <w:r w:rsidRPr="003509A3">
        <w:rPr>
          <w:rFonts w:ascii="Open Sans" w:hAnsi="Open Sans" w:cs="Open Sans"/>
          <w:i/>
          <w:sz w:val="24"/>
          <w:szCs w:val="24"/>
        </w:rPr>
        <w:t xml:space="preserve">“conferir interpretação conforme </w:t>
      </w:r>
      <w:proofErr w:type="gramStart"/>
      <w:r w:rsidRPr="003509A3">
        <w:rPr>
          <w:rFonts w:ascii="Open Sans" w:hAnsi="Open Sans" w:cs="Open Sans"/>
          <w:i/>
          <w:sz w:val="24"/>
          <w:szCs w:val="24"/>
        </w:rPr>
        <w:t>à</w:t>
      </w:r>
      <w:proofErr w:type="gramEnd"/>
      <w:r w:rsidRPr="003509A3">
        <w:rPr>
          <w:rFonts w:ascii="Open Sans" w:hAnsi="Open Sans" w:cs="Open Sans"/>
          <w:i/>
          <w:sz w:val="24"/>
          <w:szCs w:val="24"/>
        </w:rPr>
        <w:t xml:space="preserve"> Constituição ao art. 879, § 7º, e ao art. 899, § 4º, da CLT, na redação dada pela Lei 13.467 de 2017, no sentido de considerar que à atualização dos créditos decorrentes de condenação judicial e à correção dos depósitos recursais em contas judiciais na Justiça do Trabalho deverão ser aplicados, até que sobrevenha solução legislativa, os mesmos índices de correção monetária e de juros que vigentes para as condenações cíveis em geral, quais sejam a incidência do IPCA-E na fase pré-judicial e, a partir da citação, a incidência da taxa SELIC (art. 406 do Código Civil)”</w:t>
      </w:r>
      <w:r w:rsidRPr="003509A3">
        <w:rPr>
          <w:rFonts w:ascii="Open Sans" w:hAnsi="Open Sans" w:cs="Open Sans"/>
          <w:sz w:val="24"/>
          <w:szCs w:val="24"/>
        </w:rPr>
        <w:t xml:space="preserve">. A inovação decorrente da decisão proferida pela Suprema Corte, à luz das discussões até então travadas na Justiça do Trabalho, causou – e causará – grandes incertezas nos processos em que a matéria já estava em debate. Isso porque inúmeras são as questões jurídicas que ficaram em aberto e não foram solucionadas pelo caso julgado no STF. Além disso, na quase totalidade dos processos em curso nos Tribunais Regionais e nesta Corte Superior, a discussão se limitava a definir entre aplicar a TR ou o IPCA-E, para a integralidade do débito e para todo o período de apuração, sem que tal celeuma alcançasse também a taxa de juros – que sempre foi de 1% ao mês. Por sua vez, o próprio STF, em outro momento, decidiu que a fixação da tese jurídica em tais casos não produz de forma automática e geral a desconstituição de todas as decisões judiciais proferidas em data pretérita e muito menos </w:t>
      </w:r>
      <w:proofErr w:type="gramStart"/>
      <w:r w:rsidRPr="003509A3">
        <w:rPr>
          <w:rFonts w:ascii="Open Sans" w:hAnsi="Open Sans" w:cs="Open Sans"/>
          <w:sz w:val="24"/>
          <w:szCs w:val="24"/>
        </w:rPr>
        <w:t>dispensa</w:t>
      </w:r>
      <w:proofErr w:type="gramEnd"/>
      <w:r w:rsidRPr="003509A3">
        <w:rPr>
          <w:rFonts w:ascii="Open Sans" w:hAnsi="Open Sans" w:cs="Open Sans"/>
          <w:sz w:val="24"/>
          <w:szCs w:val="24"/>
        </w:rPr>
        <w:t xml:space="preserve"> a adoção dos procedimentos e ações próprios. Ainda que tenham sido proferidas com fundamento em norma declarada inconstitucional, é imprescindível que a parte interponha o “recurso próprio (se cabível)” ou se valha da ação rescisória; conclusão em sentido diverso ocasionaria </w:t>
      </w:r>
      <w:proofErr w:type="gramStart"/>
      <w:r w:rsidRPr="003509A3">
        <w:rPr>
          <w:rFonts w:ascii="Open Sans" w:hAnsi="Open Sans" w:cs="Open Sans"/>
          <w:sz w:val="24"/>
          <w:szCs w:val="24"/>
        </w:rPr>
        <w:t>uma outra</w:t>
      </w:r>
      <w:proofErr w:type="gramEnd"/>
      <w:r w:rsidRPr="003509A3">
        <w:rPr>
          <w:rFonts w:ascii="Open Sans" w:hAnsi="Open Sans" w:cs="Open Sans"/>
          <w:sz w:val="24"/>
          <w:szCs w:val="24"/>
        </w:rPr>
        <w:t xml:space="preserve"> violação constitucional relacionada à necessidade de observância do devido processo legal. Essa é a essência do Tema nº 733 de Repercussão Geral. Aplicar o precedente do STF não significa atropelar o rito procedimental, desprezar os pressupostos recursais ou mesmo desconstituir a decisão que lhe tenha sido contrária, tanto que, se não houver prazo para a ação rescisória, nada mais haverá a ser feito, em virtude da </w:t>
      </w:r>
      <w:r w:rsidRPr="003509A3">
        <w:rPr>
          <w:rFonts w:ascii="Open Sans" w:hAnsi="Open Sans" w:cs="Open Sans"/>
          <w:i/>
          <w:sz w:val="24"/>
          <w:szCs w:val="24"/>
        </w:rPr>
        <w:t>“irretroatividade do efeito vinculante”</w:t>
      </w:r>
      <w:r w:rsidRPr="003509A3">
        <w:rPr>
          <w:rFonts w:ascii="Open Sans" w:hAnsi="Open Sans" w:cs="Open Sans"/>
          <w:sz w:val="24"/>
          <w:szCs w:val="24"/>
        </w:rPr>
        <w:t xml:space="preserve">. Assim o disse o próprio Supremo. É certo, ainda, ter havido determinação expressa no sentido de que </w:t>
      </w:r>
      <w:r w:rsidRPr="003509A3">
        <w:rPr>
          <w:rFonts w:ascii="Open Sans" w:hAnsi="Open Sans" w:cs="Open Sans"/>
          <w:i/>
          <w:sz w:val="24"/>
          <w:szCs w:val="24"/>
        </w:rPr>
        <w:t xml:space="preserve">“os processos em curso que estejam sobrestados na fase de conhecimento (independentemente de estarem com ou sem sentença, inclusive na fase recursal) devem ter </w:t>
      </w:r>
      <w:r w:rsidRPr="003509A3">
        <w:rPr>
          <w:rFonts w:ascii="Open Sans" w:hAnsi="Open Sans" w:cs="Open Sans"/>
          <w:i/>
          <w:sz w:val="24"/>
          <w:szCs w:val="24"/>
        </w:rPr>
        <w:lastRenderedPageBreak/>
        <w:t xml:space="preserve">aplicação, de forma retroativa, da taxa Selic (juros e correção monetária), </w:t>
      </w:r>
      <w:proofErr w:type="gramStart"/>
      <w:r w:rsidRPr="003509A3">
        <w:rPr>
          <w:rFonts w:ascii="Open Sans" w:hAnsi="Open Sans" w:cs="Open Sans"/>
          <w:i/>
          <w:sz w:val="24"/>
          <w:szCs w:val="24"/>
        </w:rPr>
        <w:t>sob pena</w:t>
      </w:r>
      <w:proofErr w:type="gramEnd"/>
      <w:r w:rsidRPr="003509A3">
        <w:rPr>
          <w:rFonts w:ascii="Open Sans" w:hAnsi="Open Sans" w:cs="Open Sans"/>
          <w:i/>
          <w:sz w:val="24"/>
          <w:szCs w:val="24"/>
        </w:rPr>
        <w:t xml:space="preserve"> de alegação futura de inexigibilidade de título judicial”</w:t>
      </w:r>
      <w:r w:rsidRPr="003509A3">
        <w:rPr>
          <w:rFonts w:ascii="Open Sans" w:hAnsi="Open Sans" w:cs="Open Sans"/>
          <w:sz w:val="24"/>
          <w:szCs w:val="24"/>
        </w:rPr>
        <w:t xml:space="preserve">. Assim, objetivou-se garantir que, alcançada a matéria de fundo, porque atendidos os pressupostos extrínsecos do apelo e outros requisitos de natureza formal, indispensáveis ao seu exame (como, por exemplo, as exigências do artigo 896, § 1º-A, da CLT, a indicação de violação ou divergência apta a ensejar o conhecimento do recurso de revista), a decisão vinculante será aplicada integralmente, sem ponderações além daquelas já estabelecidas na modulação de efeitos. Comando seguido por disciplina judiciária, em atenção ao disposto no § 3º do artigo 102 da Constituição da República. Por fim, é importante destacar que o próprio Supremo Tribunal Federal, no julgamento de inúmeras Reclamações Constitucionais, externa interpretação autêntica da decisão proferida na aludida ADC para esclarecer que, na fase pré-judicial, incide o IPCA-E cumulado com juros moratórios de 1% ao mês. Precedentes. </w:t>
      </w:r>
      <w:proofErr w:type="gramStart"/>
      <w:r w:rsidRPr="003509A3">
        <w:rPr>
          <w:rFonts w:ascii="Open Sans" w:hAnsi="Open Sans" w:cs="Open Sans"/>
          <w:sz w:val="24"/>
          <w:szCs w:val="24"/>
        </w:rPr>
        <w:t>Recurso de revista conhecido e parcialmente provido.”</w:t>
      </w:r>
      <w:proofErr w:type="gramEnd"/>
      <w:r w:rsidRPr="003509A3">
        <w:rPr>
          <w:rFonts w:ascii="Open Sans" w:hAnsi="Open Sans" w:cs="Open Sans"/>
          <w:sz w:val="24"/>
          <w:szCs w:val="24"/>
        </w:rPr>
        <w:t xml:space="preserve"> (</w:t>
      </w:r>
      <w:hyperlink r:id="rId28" w:history="1">
        <w:r w:rsidRPr="003509A3">
          <w:rPr>
            <w:rStyle w:val="Hyperlink"/>
            <w:rFonts w:ascii="Open Sans" w:hAnsi="Open Sans" w:cs="Open Sans"/>
            <w:sz w:val="24"/>
            <w:szCs w:val="24"/>
          </w:rPr>
          <w:t>TST-RR-100080-60.2016.5.01.0065</w:t>
        </w:r>
      </w:hyperlink>
      <w:r w:rsidRPr="003509A3">
        <w:rPr>
          <w:rFonts w:ascii="Open Sans" w:hAnsi="Open Sans" w:cs="Open Sans"/>
          <w:sz w:val="24"/>
          <w:szCs w:val="24"/>
        </w:rPr>
        <w:t>, 7ª Turma, rel. Min. Cláudio Mascarenhas Brandão, julgado em 23/2/2022.)</w:t>
      </w:r>
    </w:p>
    <w:p w14:paraId="68F9461F" w14:textId="77777777" w:rsidR="003509A3" w:rsidRPr="003509A3" w:rsidRDefault="003509A3" w:rsidP="003509A3">
      <w:pPr>
        <w:ind w:left="-284" w:right="368"/>
        <w:jc w:val="both"/>
        <w:rPr>
          <w:rFonts w:ascii="Open Sans" w:hAnsi="Open Sans" w:cs="Open Sans"/>
          <w:sz w:val="24"/>
          <w:szCs w:val="24"/>
        </w:rPr>
      </w:pPr>
    </w:p>
    <w:p w14:paraId="3E040A53"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RECURSO DE REVISTA. LEI Nº 13.015/2014. CPC/2015. INSTRUÇÃO NORMATIVA Nº 40 DO TST. ADICIONAL DE PERICULOSIDADE. MOTORISTA DE ÔNIBUS ELÉTRICO (TRÓLEBUS). ORIENTAÇÃO JURISPRUDENCIAL Nº 324 DA SBDI-1 DESTA CORTE SUPERIOR. O empregado que exerce suas atividades em contato habitual com sistema de geração de energia elétrica encontra-se exposto a condições perigosas, de acordo com o item </w:t>
      </w:r>
      <w:proofErr w:type="gramStart"/>
      <w:r w:rsidRPr="003509A3">
        <w:rPr>
          <w:rFonts w:ascii="Open Sans" w:hAnsi="Open Sans" w:cs="Open Sans"/>
          <w:sz w:val="24"/>
          <w:szCs w:val="24"/>
        </w:rPr>
        <w:t>4</w:t>
      </w:r>
      <w:proofErr w:type="gramEnd"/>
      <w:r w:rsidRPr="003509A3">
        <w:rPr>
          <w:rFonts w:ascii="Open Sans" w:hAnsi="Open Sans" w:cs="Open Sans"/>
          <w:sz w:val="24"/>
          <w:szCs w:val="24"/>
        </w:rPr>
        <w:t xml:space="preserve"> do Anexo do Decreto nº 93.412/86, que regulamenta a Lei nº 7.369/95 e faz jus ao pagamento de adicional de periculosidade, sendo irrelevante o fato de o trabalho ter sido exercido ou não em sistema elétrico de potência; basta a caracterização do labor em área de risco, de forma intermitente e habitual, consoante legislação supra citada. Consta do acórdão regional que </w:t>
      </w:r>
      <w:r w:rsidRPr="003509A3">
        <w:rPr>
          <w:rFonts w:ascii="Open Sans" w:hAnsi="Open Sans" w:cs="Open Sans"/>
          <w:i/>
          <w:sz w:val="24"/>
          <w:szCs w:val="24"/>
        </w:rPr>
        <w:t xml:space="preserve">“o reclamante era motorista de ônibus elétrico (trólebus), tendo que efetuar reengates na rede elétrica e restart do ônibus junto à caixa de força”. </w:t>
      </w:r>
      <w:r w:rsidRPr="003509A3">
        <w:rPr>
          <w:rFonts w:ascii="Open Sans" w:hAnsi="Open Sans" w:cs="Open Sans"/>
          <w:sz w:val="24"/>
          <w:szCs w:val="24"/>
        </w:rPr>
        <w:t>Estabelecida pelo Tribunal Regional a premissa fática de que o autor se expunha a condições de risco, conclui-se que a decisão recorrida possivelmente contraria a Orientação Jurisprudencial nº 324 da SBDI-I desta Corte. Recurso de revista conhecido e provido.” (</w:t>
      </w:r>
      <w:hyperlink r:id="rId29" w:history="1">
        <w:r w:rsidRPr="003509A3">
          <w:rPr>
            <w:rStyle w:val="Hyperlink"/>
            <w:rFonts w:ascii="Open Sans" w:hAnsi="Open Sans" w:cs="Open Sans"/>
            <w:sz w:val="24"/>
            <w:szCs w:val="24"/>
          </w:rPr>
          <w:t>TST-RR-1003291-15.2013.5.02.0467</w:t>
        </w:r>
      </w:hyperlink>
      <w:r w:rsidRPr="003509A3">
        <w:rPr>
          <w:rFonts w:ascii="Open Sans" w:hAnsi="Open Sans" w:cs="Open Sans"/>
          <w:sz w:val="24"/>
          <w:szCs w:val="24"/>
        </w:rPr>
        <w:t>, 7ª Turma, rel. Min. Cláudio Mascarenhas Brandão, julgado em 23/2/2022.)</w:t>
      </w:r>
    </w:p>
    <w:p w14:paraId="3C0CDDAE" w14:textId="77777777" w:rsidR="003509A3" w:rsidRPr="003509A3" w:rsidRDefault="003509A3" w:rsidP="003509A3">
      <w:pPr>
        <w:ind w:left="-284" w:right="368"/>
        <w:jc w:val="both"/>
        <w:rPr>
          <w:rFonts w:ascii="Open Sans" w:hAnsi="Open Sans" w:cs="Open Sans"/>
          <w:sz w:val="24"/>
          <w:szCs w:val="24"/>
          <w:u w:val="single"/>
        </w:rPr>
      </w:pPr>
    </w:p>
    <w:p w14:paraId="54A139A5"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w:t>
      </w:r>
      <w:proofErr w:type="gramStart"/>
      <w:r w:rsidRPr="003509A3">
        <w:rPr>
          <w:rFonts w:ascii="Open Sans" w:hAnsi="Open Sans" w:cs="Open Sans"/>
          <w:sz w:val="24"/>
          <w:szCs w:val="24"/>
        </w:rPr>
        <w:t>3</w:t>
      </w:r>
      <w:proofErr w:type="gramEnd"/>
      <w:r w:rsidRPr="003509A3">
        <w:rPr>
          <w:rFonts w:ascii="Open Sans" w:hAnsi="Open Sans" w:cs="Open Sans"/>
          <w:sz w:val="24"/>
          <w:szCs w:val="24"/>
        </w:rPr>
        <w:t xml:space="preserve">. PLANO DE CARGOS E SALÁRIOS. PROMOÇÕES POR ANTIGUIDADE. I. A SbDI-1 desta Corte Superior Já firmou entendimento quanto ao fato das promoções por antiguidade encontrarem-se submetidas tão somente ao critério temporal, assim declarado de caráter meramente objetivo, tem-se que o direito do empregado não se encontra submetido a qualquer outro requisito subjetivo. Desde que comprovado o requisito tempo de serviço. Neste sentido a Orientação Jurisprudencial nº. 71 da SbDI-1 do TST, aplicada por analogia ao presente caso: </w:t>
      </w:r>
      <w:r w:rsidRPr="003509A3">
        <w:rPr>
          <w:rFonts w:ascii="Open Sans" w:hAnsi="Open Sans" w:cs="Open Sans"/>
          <w:i/>
          <w:sz w:val="24"/>
          <w:szCs w:val="24"/>
        </w:rPr>
        <w:t xml:space="preserve">"A deliberação da diretoria da Empresa Brasileira de Correios e Telégrafos – ECT, prevista no Plano de Carreira, Cargos e Salários como requisito necessário para a concessão de progressão por antiguidade, por se tratar de condição puramente potestativa, não constitui óbice ao deferimento da progressão </w:t>
      </w:r>
      <w:r w:rsidRPr="003509A3">
        <w:rPr>
          <w:rFonts w:ascii="Open Sans" w:hAnsi="Open Sans" w:cs="Open Sans"/>
          <w:i/>
          <w:sz w:val="24"/>
          <w:szCs w:val="24"/>
        </w:rPr>
        <w:lastRenderedPageBreak/>
        <w:t>horizontal por antiguidade aos empregados, quando preenchidas as demais condições dispostas no aludido plano"</w:t>
      </w:r>
      <w:r w:rsidRPr="003509A3">
        <w:rPr>
          <w:rFonts w:ascii="Open Sans" w:hAnsi="Open Sans" w:cs="Open Sans"/>
          <w:sz w:val="24"/>
          <w:szCs w:val="24"/>
        </w:rPr>
        <w:t xml:space="preserve">. II. Desta forma, não encontra respaldo na atual e notória jurisprudência desta Corte Superior o condicionamento da concessão da promoção por antiguidade a qualquer requisito que não o temporal, muito menos se sua implementação estará a cargo exclusivo da vontade do empregador. III. No caso dos autos, o Tribunal Regional modificou a sentença quanto ao deferimento de promoções por antiguidade por entender que seus avanços </w:t>
      </w:r>
      <w:r w:rsidRPr="003509A3">
        <w:rPr>
          <w:rFonts w:ascii="Open Sans" w:hAnsi="Open Sans" w:cs="Open Sans"/>
          <w:i/>
          <w:sz w:val="24"/>
          <w:szCs w:val="24"/>
        </w:rPr>
        <w:t>“não estavam sujeitos, exclusivamente, ao fator tempo, sendo estabelecidos outros parâmetros para a sua concessão”</w:t>
      </w:r>
      <w:r w:rsidRPr="003509A3">
        <w:rPr>
          <w:rFonts w:ascii="Open Sans" w:hAnsi="Open Sans" w:cs="Open Sans"/>
          <w:sz w:val="24"/>
          <w:szCs w:val="24"/>
        </w:rPr>
        <w:t xml:space="preserve">. A decisão recorrida foi proferida em contrariedade com a nova e atual jurisprudência desta Corte e, por conseguinte, deve ser reformada. IV. Diante do exposto, incontroverso </w:t>
      </w:r>
      <w:r w:rsidRPr="003509A3">
        <w:rPr>
          <w:rFonts w:ascii="Open Sans" w:hAnsi="Open Sans" w:cs="Open Sans"/>
          <w:i/>
          <w:sz w:val="24"/>
          <w:szCs w:val="24"/>
        </w:rPr>
        <w:t>“que o demandante foi admitido em 27/03/1987, estando em vigor à época o PCCS editado em 01 de maio de 1982, cujas diretrizes foram absorvidas pelo contrato de trabalho celebrado entre as partes”</w:t>
      </w:r>
      <w:r w:rsidRPr="003509A3">
        <w:rPr>
          <w:rFonts w:ascii="Open Sans" w:hAnsi="Open Sans" w:cs="Open Sans"/>
          <w:sz w:val="24"/>
          <w:szCs w:val="24"/>
        </w:rPr>
        <w:t xml:space="preserve">, tem-se por cumprido o único requisito necessário à concessão da promoção por antiguidade, qual seja, o decurso do tempo. V. Recurso de revista de </w:t>
      </w:r>
      <w:proofErr w:type="gramStart"/>
      <w:r w:rsidRPr="003509A3">
        <w:rPr>
          <w:rFonts w:ascii="Open Sans" w:hAnsi="Open Sans" w:cs="Open Sans"/>
          <w:sz w:val="24"/>
          <w:szCs w:val="24"/>
        </w:rPr>
        <w:t>que</w:t>
      </w:r>
      <w:proofErr w:type="gramEnd"/>
      <w:r w:rsidRPr="003509A3">
        <w:rPr>
          <w:rFonts w:ascii="Open Sans" w:hAnsi="Open Sans" w:cs="Open Sans"/>
          <w:sz w:val="24"/>
          <w:szCs w:val="24"/>
        </w:rPr>
        <w:t xml:space="preserve"> se conhece e a que se dá provimento. [</w:t>
      </w:r>
      <w:proofErr w:type="gramStart"/>
      <w:r w:rsidRPr="003509A3">
        <w:rPr>
          <w:rFonts w:ascii="Open Sans" w:hAnsi="Open Sans" w:cs="Open Sans"/>
          <w:sz w:val="24"/>
          <w:szCs w:val="24"/>
        </w:rPr>
        <w:t>...]”</w:t>
      </w:r>
      <w:proofErr w:type="gramEnd"/>
      <w:r w:rsidRPr="003509A3">
        <w:rPr>
          <w:rFonts w:ascii="Open Sans" w:hAnsi="Open Sans" w:cs="Open Sans"/>
          <w:sz w:val="24"/>
          <w:szCs w:val="24"/>
        </w:rPr>
        <w:t xml:space="preserve"> (</w:t>
      </w:r>
      <w:hyperlink r:id="rId30" w:history="1">
        <w:r w:rsidRPr="003509A3">
          <w:rPr>
            <w:rStyle w:val="Hyperlink"/>
            <w:rFonts w:ascii="Open Sans" w:hAnsi="Open Sans" w:cs="Open Sans"/>
            <w:sz w:val="24"/>
            <w:szCs w:val="24"/>
          </w:rPr>
          <w:t>TST-RR-1734-89.2012.5.05.0134</w:t>
        </w:r>
      </w:hyperlink>
      <w:r w:rsidRPr="003509A3">
        <w:rPr>
          <w:rFonts w:ascii="Open Sans" w:hAnsi="Open Sans" w:cs="Open Sans"/>
          <w:sz w:val="24"/>
          <w:szCs w:val="24"/>
        </w:rPr>
        <w:t>, 7ª Turma, rel. Min. Evandro Pereira Valadão Lopes, julgado em 9/2/2022.)</w:t>
      </w:r>
    </w:p>
    <w:p w14:paraId="482D5C30" w14:textId="77777777" w:rsidR="003509A3" w:rsidRPr="003509A3" w:rsidRDefault="003509A3" w:rsidP="003509A3">
      <w:pPr>
        <w:ind w:left="-284" w:right="368"/>
        <w:jc w:val="both"/>
        <w:rPr>
          <w:rFonts w:ascii="Open Sans" w:hAnsi="Open Sans" w:cs="Open Sans"/>
          <w:sz w:val="24"/>
          <w:szCs w:val="24"/>
          <w:u w:val="single"/>
        </w:rPr>
      </w:pPr>
    </w:p>
    <w:p w14:paraId="0F3670D6"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w:t>
      </w:r>
      <w:proofErr w:type="gramStart"/>
      <w:r w:rsidRPr="003509A3">
        <w:rPr>
          <w:rFonts w:ascii="Open Sans" w:hAnsi="Open Sans" w:cs="Open Sans"/>
          <w:sz w:val="24"/>
          <w:szCs w:val="24"/>
        </w:rPr>
        <w:t>...] B)</w:t>
      </w:r>
      <w:proofErr w:type="gramEnd"/>
      <w:r w:rsidRPr="003509A3">
        <w:rPr>
          <w:rFonts w:ascii="Open Sans" w:hAnsi="Open Sans" w:cs="Open Sans"/>
          <w:sz w:val="24"/>
          <w:szCs w:val="24"/>
        </w:rPr>
        <w:t xml:space="preserve"> RECURSO DE REVISTA. ACORDO EXTRAJUDICIAL. HOMOLOGAÇÃO. ABRANGÊNCIA DA QUITAÇÃO. Cinge-se a controvérsia a definir o alcance da quitação mediante acordo extrajudicial a ser homologado em juízo, nos moldes definidos pelos artigos 484-A, 855-B ao 855-E da CLT, acrescidos pela Lei nº 13.467/2017. Consta da decisão recorrida que as partes cumpriram os requisitos legais exigidos e que o reclamante assinou o termo de acordo extrajudicial, no qual </w:t>
      </w:r>
      <w:r w:rsidRPr="003509A3">
        <w:rPr>
          <w:rFonts w:ascii="Open Sans" w:hAnsi="Open Sans" w:cs="Open Sans"/>
          <w:i/>
          <w:sz w:val="24"/>
          <w:szCs w:val="24"/>
        </w:rPr>
        <w:t>“dá geral e plena quitação de todos os direitos referentes à relação trabalhista e extino (sic) o contrato de trabalho com a PRIMEIRA ACORDANTE [empregadora]”</w:t>
      </w:r>
      <w:r w:rsidRPr="003509A3">
        <w:rPr>
          <w:rFonts w:ascii="Open Sans" w:hAnsi="Open Sans" w:cs="Open Sans"/>
          <w:sz w:val="24"/>
          <w:szCs w:val="24"/>
        </w:rPr>
        <w:t>. Além disso, não há nenhum indício de prejuízo ao obreiro, muito menos vícios de vontade a macular o ajuste. Entretanto, o Regional manteve a sentença que não deu quitação geral ao contrato de trabalho, mas apenas aos títulos e valores expressamente consignados. Ora, embora seja prevalente nesta Corte o entendimento de que a homologação de acordo constitui faculdade do julgador, a teor da Súmula nº 418 do TST, é certo afirmar, também, que tal prerrogativa em relação às inovações trazidas pela Lei nº 13.467/2017 se dá apenas quando ausentes seus requisitos legais, o que não é o caso dos autos. Nesse sentido esta Turma, em recente julgado, firmou o entendimento de que, atendidos os requisitos legais previstos nos arts. 855-B ao 855-E da CLT e ausentes vícios de vontades ou fraude no ajuste entre as partes, deve ser reconhecida a quitação nos termos em que pactuada, sob pena de ofensa ao ato jurídico perfeito. Recurso de revista conhecido e provido.” (</w:t>
      </w:r>
      <w:hyperlink r:id="rId31" w:history="1">
        <w:r w:rsidRPr="003509A3">
          <w:rPr>
            <w:rStyle w:val="Hyperlink"/>
            <w:rFonts w:ascii="Open Sans" w:hAnsi="Open Sans" w:cs="Open Sans"/>
            <w:sz w:val="24"/>
            <w:szCs w:val="24"/>
          </w:rPr>
          <w:t>TST-RR-94-06.2018.5.10.0812</w:t>
        </w:r>
      </w:hyperlink>
      <w:r w:rsidRPr="003509A3">
        <w:rPr>
          <w:rFonts w:ascii="Open Sans" w:hAnsi="Open Sans" w:cs="Open Sans"/>
          <w:sz w:val="24"/>
          <w:szCs w:val="24"/>
        </w:rPr>
        <w:t>, 8ª Turma, rel. Min. Dora Maria da Costa, julgado em 2/2/2022.)</w:t>
      </w:r>
    </w:p>
    <w:p w14:paraId="36937B96" w14:textId="77777777" w:rsidR="003509A3" w:rsidRPr="003509A3" w:rsidRDefault="003509A3" w:rsidP="003509A3">
      <w:pPr>
        <w:ind w:left="-284" w:right="368"/>
        <w:jc w:val="both"/>
        <w:rPr>
          <w:rFonts w:ascii="Open Sans" w:hAnsi="Open Sans" w:cs="Open Sans"/>
          <w:sz w:val="24"/>
          <w:szCs w:val="24"/>
          <w:u w:val="single"/>
        </w:rPr>
      </w:pPr>
    </w:p>
    <w:p w14:paraId="52F90C06"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 RECURSO DE REVISTA. SUBSTITUIÇÃO DO FORNECIMENTO DE TRANSPORTE GRATUITO POR VALE-TRANSPORTE. Sabidamente o recorrente se constitui como empresa pública federal, que, sendo integrante da Administração Pública indireta, deve </w:t>
      </w:r>
      <w:proofErr w:type="gramStart"/>
      <w:r w:rsidRPr="003509A3">
        <w:rPr>
          <w:rFonts w:ascii="Open Sans" w:hAnsi="Open Sans" w:cs="Open Sans"/>
          <w:sz w:val="24"/>
          <w:szCs w:val="24"/>
        </w:rPr>
        <w:t>observar,</w:t>
      </w:r>
      <w:proofErr w:type="gramEnd"/>
      <w:r w:rsidRPr="003509A3">
        <w:rPr>
          <w:rFonts w:ascii="Open Sans" w:hAnsi="Open Sans" w:cs="Open Sans"/>
          <w:sz w:val="24"/>
          <w:szCs w:val="24"/>
        </w:rPr>
        <w:t xml:space="preserve"> por força do que dispõe o art. 37 da CF, o princípio da eficiência, de modo </w:t>
      </w:r>
      <w:r w:rsidRPr="003509A3">
        <w:rPr>
          <w:rFonts w:ascii="Open Sans" w:hAnsi="Open Sans" w:cs="Open Sans"/>
          <w:sz w:val="24"/>
          <w:szCs w:val="24"/>
        </w:rPr>
        <w:lastRenderedPageBreak/>
        <w:t>que manter o fornecimento de transporte fretado, bastante oneroso, por certo que viola tal princípio. Nos moldes do que estabelece o art. 8º da CLT, um direito lastreado em usos e costumes não tem o condão de prevalecer sobre o interesse público, mormente porque o referido transporte pode ser substituído pelo transporte público, com o respectivo fornecimento, pelo empregador, de vale-transporte aos empregados. Recurso de revista conhecido e provido.” (</w:t>
      </w:r>
      <w:hyperlink r:id="rId32" w:history="1">
        <w:r w:rsidRPr="003509A3">
          <w:rPr>
            <w:rStyle w:val="Hyperlink"/>
            <w:rFonts w:ascii="Open Sans" w:hAnsi="Open Sans" w:cs="Open Sans"/>
            <w:sz w:val="24"/>
            <w:szCs w:val="24"/>
          </w:rPr>
          <w:t>TST-RRAg-1000732-54.2016.5.02.0702</w:t>
        </w:r>
      </w:hyperlink>
      <w:r w:rsidRPr="003509A3">
        <w:rPr>
          <w:rFonts w:ascii="Open Sans" w:hAnsi="Open Sans" w:cs="Open Sans"/>
          <w:sz w:val="24"/>
          <w:szCs w:val="24"/>
        </w:rPr>
        <w:t>, 8ª Turma, rel. Min. Dora Maria da Costa, julgado em 9/2/2022.)</w:t>
      </w:r>
    </w:p>
    <w:p w14:paraId="374F168D" w14:textId="77777777" w:rsidR="003509A3" w:rsidRPr="003509A3" w:rsidRDefault="003509A3" w:rsidP="003509A3">
      <w:pPr>
        <w:ind w:left="-284" w:right="368"/>
        <w:jc w:val="both"/>
        <w:rPr>
          <w:rFonts w:ascii="Open Sans" w:hAnsi="Open Sans" w:cs="Open Sans"/>
          <w:sz w:val="24"/>
          <w:szCs w:val="24"/>
          <w:u w:val="single"/>
        </w:rPr>
      </w:pPr>
    </w:p>
    <w:p w14:paraId="7020E6ED" w14:textId="77777777"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II - RECURSO DE REVISTA DA RECLAMADA. LEI 13.467/2017. ECT. EMPREGADA PÚBLICA. DEPENDENTE COM DEFICIÊNCIA (FILHO PORTADOR DE TRANSTORNO ESPECTRO AUTISTA). REDUÇÃO DE JORNADA DE TRABALHO SEM PREJUÍZO SALARIAL E COMPENSAÇÃO DE HORÁRIO. No caso, o Tribunal Regional utilizando-se do método de integração normativa e da técnica sopesamento entre princípios, apontou a solução ajustada ao caso concreto, relativizando as regras de forma proporcional e adequada diante de princípios de maior relevância como o princípio da dignidade da pessoa humana e da tutela da saúde, o que enseja na correta aplicação do princípio da legalidade estrita e do artigo 98, §§ 2º e 3º, da Lei nº 8.112/90, com objetivo de atingir o fim social e o bem comum, nos termos do art. 5º da Lei de Introdução às Normas do Direito Brasileiro.</w:t>
      </w:r>
      <w:r w:rsidRPr="003509A3">
        <w:t xml:space="preserve"> </w:t>
      </w:r>
      <w:r w:rsidRPr="003509A3">
        <w:rPr>
          <w:rFonts w:ascii="Open Sans" w:hAnsi="Open Sans" w:cs="Open Sans"/>
          <w:sz w:val="24"/>
          <w:szCs w:val="24"/>
        </w:rPr>
        <w:t>Com relação ao percentual arbitrado pelo Tribunal Regional de redução da jornada em 50%, incide o óbice da Súmula 126 do TST. Precedentes. Recurso de revista não conhecido.” (</w:t>
      </w:r>
      <w:hyperlink r:id="rId33" w:history="1">
        <w:r w:rsidRPr="003509A3">
          <w:rPr>
            <w:rStyle w:val="Hyperlink"/>
            <w:rFonts w:ascii="Open Sans" w:hAnsi="Open Sans" w:cs="Open Sans"/>
            <w:sz w:val="24"/>
            <w:szCs w:val="24"/>
          </w:rPr>
          <w:t>TST-RRAg-533-36.2019.5.09.0965</w:t>
        </w:r>
      </w:hyperlink>
      <w:r w:rsidRPr="003509A3">
        <w:rPr>
          <w:rFonts w:ascii="Open Sans" w:hAnsi="Open Sans" w:cs="Open Sans"/>
          <w:sz w:val="24"/>
          <w:szCs w:val="24"/>
        </w:rPr>
        <w:t>, 8ª Turma, rel. Min. Delaíde Miranda Arantes, julgado em 9/2/2022.</w:t>
      </w:r>
      <w:proofErr w:type="gramStart"/>
      <w:r w:rsidRPr="003509A3">
        <w:rPr>
          <w:rFonts w:ascii="Open Sans" w:hAnsi="Open Sans" w:cs="Open Sans"/>
          <w:sz w:val="24"/>
          <w:szCs w:val="24"/>
        </w:rPr>
        <w:t>)</w:t>
      </w:r>
      <w:proofErr w:type="gramEnd"/>
    </w:p>
    <w:p w14:paraId="39480BC8" w14:textId="77777777" w:rsidR="003509A3" w:rsidRPr="003509A3" w:rsidRDefault="003509A3" w:rsidP="003509A3">
      <w:pPr>
        <w:ind w:left="-284" w:right="368"/>
        <w:jc w:val="both"/>
        <w:rPr>
          <w:rFonts w:ascii="Open Sans" w:hAnsi="Open Sans" w:cs="Open Sans"/>
          <w:sz w:val="24"/>
          <w:szCs w:val="24"/>
          <w:u w:val="single"/>
        </w:rPr>
      </w:pPr>
    </w:p>
    <w:p w14:paraId="04C970C7" w14:textId="1BF8D0E6" w:rsidR="003509A3" w:rsidRPr="003509A3" w:rsidRDefault="003509A3" w:rsidP="003509A3">
      <w:pPr>
        <w:ind w:left="-284" w:right="368"/>
        <w:jc w:val="both"/>
        <w:rPr>
          <w:rFonts w:ascii="Open Sans" w:hAnsi="Open Sans" w:cs="Open Sans"/>
          <w:sz w:val="24"/>
          <w:szCs w:val="24"/>
        </w:rPr>
      </w:pPr>
      <w:r w:rsidRPr="003509A3">
        <w:rPr>
          <w:rFonts w:ascii="Open Sans" w:hAnsi="Open Sans" w:cs="Open Sans"/>
          <w:sz w:val="24"/>
          <w:szCs w:val="24"/>
        </w:rPr>
        <w:t xml:space="preserve">“AGRAVO EM AGRAVO DE INSTRUMENTO EM RECURSO DE REVISTA DA RECLAMADA INTERPOSTO NA VIGÊNCIA DA LEI 13.015/2014 1 - NEGATIVA DE PRESTAÇÃO JURISDICIONAL. VIOLAÇÃO DE PRIVACIDADE. DANO MORAL. CULPA CONCORRENTE. Quanto à negativa de prestação jurisdicional, as razões que fundamentam o acordão regional são suficientes para a compreensão da lide. Conforme consignado no acórdão regional </w:t>
      </w:r>
      <w:r w:rsidRPr="003509A3">
        <w:rPr>
          <w:rFonts w:ascii="Open Sans" w:hAnsi="Open Sans" w:cs="Open Sans"/>
          <w:i/>
          <w:sz w:val="24"/>
          <w:szCs w:val="24"/>
        </w:rPr>
        <w:t>“a reclamada tolerava o uso do computador pessoal do reclamante para a realização de tarefas profissionais, afirmação que corrobora a ausência de ato de insubordinação”</w:t>
      </w:r>
      <w:r w:rsidRPr="003509A3">
        <w:rPr>
          <w:rFonts w:ascii="Open Sans" w:hAnsi="Open Sans" w:cs="Open Sans"/>
          <w:sz w:val="24"/>
          <w:szCs w:val="24"/>
        </w:rPr>
        <w:t xml:space="preserve">. A própria reclamada reconhece que a diretoria e o administrador da rede tiveram acesso ao conteúdo do computador pessoal do reclamante. Em que pese </w:t>
      </w:r>
      <w:proofErr w:type="gramStart"/>
      <w:r w:rsidRPr="003509A3">
        <w:rPr>
          <w:rFonts w:ascii="Open Sans" w:hAnsi="Open Sans" w:cs="Open Sans"/>
          <w:sz w:val="24"/>
          <w:szCs w:val="24"/>
        </w:rPr>
        <w:t>a</w:t>
      </w:r>
      <w:proofErr w:type="gramEnd"/>
      <w:r w:rsidRPr="003509A3">
        <w:rPr>
          <w:rFonts w:ascii="Open Sans" w:hAnsi="Open Sans" w:cs="Open Sans"/>
          <w:sz w:val="24"/>
          <w:szCs w:val="24"/>
        </w:rPr>
        <w:t xml:space="preserve"> empresa afirmar que o acórdão se omitiu sobre a alegação de que </w:t>
      </w:r>
      <w:r w:rsidRPr="003509A3">
        <w:rPr>
          <w:rFonts w:ascii="Open Sans" w:hAnsi="Open Sans" w:cs="Open Sans"/>
          <w:i/>
          <w:sz w:val="24"/>
          <w:szCs w:val="24"/>
        </w:rPr>
        <w:t>“o depoimento da testemunha não transcrito atestara que os computadores da empresa sofreriam backups diários e que a empresa fornecera o computador para o trabalho aos empregados”</w:t>
      </w:r>
      <w:r w:rsidRPr="003509A3">
        <w:rPr>
          <w:rFonts w:ascii="Open Sans" w:hAnsi="Open Sans" w:cs="Open Sans"/>
          <w:sz w:val="24"/>
          <w:szCs w:val="24"/>
        </w:rPr>
        <w:t xml:space="preserve">, a decisão agravada considerou imprópria a alegação de negativa de prestação jurisdicional, tendo em vista que os fatos que a reclamada pretendia provar pelo depoimento não alterariam a decisão regional, fundada na ausência de prova da empresa da impossibilidade de realização de backup parcial. Agravo não provido. 2 - VIOLAÇÃO DE PRIVACIDADE. DANO MORAL. CULPA CONCORRENTE. Não há como alterar a conclusão regional de que foi </w:t>
      </w:r>
      <w:r w:rsidRPr="003509A3">
        <w:rPr>
          <w:rFonts w:ascii="Open Sans" w:hAnsi="Open Sans" w:cs="Open Sans"/>
          <w:i/>
          <w:sz w:val="24"/>
          <w:szCs w:val="24"/>
        </w:rPr>
        <w:t>“comprovado que o fato alegado pelo reclamante provocou-lhe situação constrangedora, a ponto de repercutir psicológica e psiquicamente em sua via pessoal e prejudicar sua dignidade e integridade física ou psíquica”</w:t>
      </w:r>
      <w:r w:rsidRPr="003509A3">
        <w:rPr>
          <w:rFonts w:ascii="Open Sans" w:hAnsi="Open Sans" w:cs="Open Sans"/>
          <w:sz w:val="24"/>
          <w:szCs w:val="24"/>
        </w:rPr>
        <w:t xml:space="preserve">. Quanto à </w:t>
      </w:r>
      <w:r w:rsidRPr="003509A3">
        <w:rPr>
          <w:rFonts w:ascii="Open Sans" w:hAnsi="Open Sans" w:cs="Open Sans"/>
          <w:sz w:val="24"/>
          <w:szCs w:val="24"/>
        </w:rPr>
        <w:lastRenderedPageBreak/>
        <w:t>indenização por dano moral, em sua fixação o Tribunal Regional considerou que “houve culpa concorrente do reclamante”, ou seja, sopesou o conteúdo fático para delimitar a responsabilidade civil da reclamada e reduzir a indenização. Incólumes os dispositivos legais e constitucionais indicados. Agravo não provido.” (</w:t>
      </w:r>
      <w:hyperlink r:id="rId34" w:history="1">
        <w:r w:rsidRPr="003509A3">
          <w:rPr>
            <w:rStyle w:val="Hyperlink"/>
            <w:rFonts w:ascii="Open Sans" w:hAnsi="Open Sans" w:cs="Open Sans"/>
            <w:sz w:val="24"/>
            <w:szCs w:val="24"/>
          </w:rPr>
          <w:t>TST-</w:t>
        </w:r>
        <w:r w:rsidRPr="003509A3">
          <w:rPr>
            <w:rStyle w:val="Hyperlink"/>
          </w:rPr>
          <w:t xml:space="preserve"> </w:t>
        </w:r>
        <w:r w:rsidRPr="003509A3">
          <w:rPr>
            <w:rStyle w:val="Hyperlink"/>
            <w:rFonts w:ascii="Open Sans" w:hAnsi="Open Sans" w:cs="Open Sans"/>
            <w:sz w:val="24"/>
            <w:szCs w:val="24"/>
          </w:rPr>
          <w:t>Ag-AIRR-124-15.2015.5.08.0129</w:t>
        </w:r>
      </w:hyperlink>
      <w:r w:rsidRPr="003509A3">
        <w:rPr>
          <w:rFonts w:ascii="Open Sans" w:hAnsi="Open Sans" w:cs="Open Sans"/>
          <w:sz w:val="24"/>
          <w:szCs w:val="24"/>
        </w:rPr>
        <w:t>, 8ª Turma, rel. Min. Delaíde Miranda Arantes, julgado em 23/2/2022.</w:t>
      </w:r>
      <w:proofErr w:type="gramStart"/>
      <w:r w:rsidRPr="003509A3">
        <w:rPr>
          <w:rFonts w:ascii="Open Sans" w:hAnsi="Open Sans" w:cs="Open Sans"/>
          <w:sz w:val="24"/>
          <w:szCs w:val="24"/>
        </w:rPr>
        <w:t>)</w:t>
      </w:r>
      <w:proofErr w:type="gramEnd"/>
    </w:p>
    <w:p w14:paraId="3EF832C6" w14:textId="77777777" w:rsidR="003509A3" w:rsidRDefault="003509A3" w:rsidP="00781431">
      <w:pPr>
        <w:ind w:left="-284" w:right="368"/>
        <w:jc w:val="both"/>
        <w:rPr>
          <w:rFonts w:ascii="Open Sans" w:hAnsi="Open Sans" w:cs="Open Sans"/>
          <w:sz w:val="24"/>
          <w:szCs w:val="24"/>
        </w:rPr>
      </w:pPr>
    </w:p>
    <w:p w14:paraId="00D3973C" w14:textId="77777777" w:rsidR="00F0060B" w:rsidRDefault="00F0060B" w:rsidP="00781431">
      <w:pPr>
        <w:ind w:left="-284" w:right="368"/>
        <w:jc w:val="both"/>
        <w:rPr>
          <w:rFonts w:ascii="Open Sans" w:hAnsi="Open Sans" w:cs="Open Sans"/>
          <w:sz w:val="24"/>
          <w:szCs w:val="24"/>
        </w:rPr>
      </w:pPr>
    </w:p>
    <w:p w14:paraId="505D79B1" w14:textId="77777777" w:rsidR="00F0060B" w:rsidRDefault="00F0060B" w:rsidP="00781431">
      <w:pPr>
        <w:ind w:left="-284" w:right="368"/>
        <w:jc w:val="both"/>
        <w:rPr>
          <w:rFonts w:ascii="Open Sans" w:hAnsi="Open Sans" w:cs="Open Sans"/>
          <w:sz w:val="24"/>
          <w:szCs w:val="24"/>
        </w:rPr>
      </w:pPr>
    </w:p>
    <w:p w14:paraId="2D124B2D" w14:textId="77777777" w:rsidR="00F0060B" w:rsidRPr="003509A3" w:rsidRDefault="00F0060B" w:rsidP="00781431">
      <w:pPr>
        <w:ind w:left="-284" w:right="368"/>
        <w:jc w:val="both"/>
        <w:rPr>
          <w:rFonts w:ascii="Open Sans" w:hAnsi="Open Sans" w:cs="Open Sans"/>
          <w:sz w:val="24"/>
          <w:szCs w:val="24"/>
        </w:rPr>
      </w:pPr>
      <w:bookmarkStart w:id="0" w:name="_GoBack"/>
      <w:bookmarkEnd w:id="0"/>
    </w:p>
    <w:p w14:paraId="4C33E7C9" w14:textId="77777777" w:rsidR="00184590" w:rsidRPr="003509A3" w:rsidRDefault="00503095" w:rsidP="00F95BC2">
      <w:pPr>
        <w:pStyle w:val="Corpodetexto"/>
        <w:pBdr>
          <w:top w:val="single" w:sz="4" w:space="1" w:color="auto"/>
          <w:left w:val="single" w:sz="4" w:space="0"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w:t>
      </w:r>
      <w:r w:rsidR="00184590" w:rsidRPr="003509A3">
        <w:rPr>
          <w:rFonts w:ascii="Open Sans" w:hAnsi="Open Sans" w:cs="Open Sans"/>
          <w:b w:val="0"/>
          <w:bCs w:val="0"/>
          <w:snapToGrid w:val="0"/>
          <w:sz w:val="24"/>
          <w:szCs w:val="24"/>
        </w:rPr>
        <w:t xml:space="preserve">Informativo TST é mantido pela </w:t>
      </w:r>
    </w:p>
    <w:p w14:paraId="7E4FD59E" w14:textId="77777777" w:rsidR="00184590" w:rsidRPr="003509A3" w:rsidRDefault="00184590" w:rsidP="00F95BC2">
      <w:pPr>
        <w:pStyle w:val="Corpodetexto"/>
        <w:pBdr>
          <w:top w:val="single" w:sz="4" w:space="1" w:color="auto"/>
          <w:left w:val="single" w:sz="4" w:space="0"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r w:rsidR="00F83AC5" w:rsidRPr="003509A3">
        <w:rPr>
          <w:rFonts w:ascii="Open Sans" w:hAnsi="Open Sans" w:cs="Open Sans"/>
          <w:b w:val="0"/>
          <w:bCs w:val="0"/>
          <w:snapToGrid w:val="0"/>
          <w:sz w:val="24"/>
          <w:szCs w:val="24"/>
        </w:rPr>
        <w:t>.</w:t>
      </w:r>
    </w:p>
    <w:p w14:paraId="57C3192A" w14:textId="77777777" w:rsidR="007F02D5" w:rsidRPr="003509A3" w:rsidRDefault="007F02D5" w:rsidP="00F95BC2">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72A94961" w14:textId="77777777" w:rsidR="007614F1" w:rsidRPr="003509A3" w:rsidRDefault="00184590" w:rsidP="00F95BC2">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Informações/Sugestões/Críticas: (61)3043</w:t>
      </w:r>
      <w:r w:rsidR="00352B27" w:rsidRPr="003509A3">
        <w:rPr>
          <w:rFonts w:ascii="Open Sans" w:hAnsi="Open Sans" w:cs="Open Sans"/>
          <w:snapToGrid w:val="0"/>
          <w:sz w:val="24"/>
          <w:szCs w:val="24"/>
        </w:rPr>
        <w:t>-</w:t>
      </w:r>
      <w:r w:rsidRPr="003509A3">
        <w:rPr>
          <w:rFonts w:ascii="Open Sans" w:hAnsi="Open Sans" w:cs="Open Sans"/>
          <w:snapToGrid w:val="0"/>
          <w:sz w:val="24"/>
          <w:szCs w:val="24"/>
        </w:rPr>
        <w:t>4</w:t>
      </w:r>
      <w:r w:rsidR="000303C3" w:rsidRPr="003509A3">
        <w:rPr>
          <w:rFonts w:ascii="Open Sans" w:hAnsi="Open Sans" w:cs="Open Sans"/>
          <w:snapToGrid w:val="0"/>
          <w:sz w:val="24"/>
          <w:szCs w:val="24"/>
        </w:rPr>
        <w:t>612</w:t>
      </w:r>
      <w:r w:rsidR="007F02D5" w:rsidRPr="003509A3">
        <w:rPr>
          <w:rFonts w:ascii="Open Sans" w:hAnsi="Open Sans" w:cs="Open Sans"/>
          <w:snapToGrid w:val="0"/>
          <w:sz w:val="24"/>
          <w:szCs w:val="24"/>
        </w:rPr>
        <w:t xml:space="preserve"> ou </w:t>
      </w:r>
      <w:hyperlink r:id="rId35" w:history="1">
        <w:r w:rsidR="005F0522" w:rsidRPr="003509A3">
          <w:rPr>
            <w:rStyle w:val="Hyperlink"/>
            <w:rFonts w:ascii="Open Sans" w:hAnsi="Open Sans" w:cs="Open Sans"/>
            <w:snapToGrid w:val="0"/>
            <w:sz w:val="24"/>
            <w:szCs w:val="24"/>
          </w:rPr>
          <w:t>cjur@tst.jus.br</w:t>
        </w:r>
      </w:hyperlink>
    </w:p>
    <w:p w14:paraId="6371085F" w14:textId="77777777" w:rsidR="007F02D5" w:rsidRPr="003509A3" w:rsidRDefault="007F02D5" w:rsidP="00F95BC2">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025B015A" w14:textId="77777777" w:rsidR="00B15004" w:rsidRPr="003509A3" w:rsidRDefault="009E534D" w:rsidP="00F95BC2">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36" w:history="1">
        <w:r w:rsidR="00B15004" w:rsidRPr="003509A3">
          <w:rPr>
            <w:rStyle w:val="Hyperlink"/>
            <w:rFonts w:ascii="Open Sans" w:hAnsi="Open Sans" w:cs="Open Sans"/>
            <w:snapToGrid w:val="0"/>
            <w:sz w:val="24"/>
            <w:szCs w:val="24"/>
          </w:rPr>
          <w:t>http://www.tst.jus.br/web/guest/informativo-tst</w:t>
        </w:r>
      </w:hyperlink>
    </w:p>
    <w:p w14:paraId="784F8F31" w14:textId="77777777" w:rsidR="00B15004" w:rsidRPr="003509A3" w:rsidRDefault="00B15004" w:rsidP="00F95BC2">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1F353F2B" w14:textId="77777777" w:rsidR="009E534D" w:rsidRPr="003509A3" w:rsidRDefault="009E534D" w:rsidP="00F95BC2">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7" w:history="1">
        <w:r w:rsidRPr="003509A3">
          <w:rPr>
            <w:rStyle w:val="Hyperlink"/>
            <w:rFonts w:ascii="Open Sans" w:hAnsi="Open Sans" w:cs="Open Sans"/>
            <w:snapToGrid w:val="0"/>
            <w:sz w:val="24"/>
            <w:szCs w:val="24"/>
          </w:rPr>
          <w:t>http://www.tst.jus.br/push</w:t>
        </w:r>
      </w:hyperlink>
    </w:p>
    <w:sectPr w:rsidR="009E534D" w:rsidRPr="003509A3" w:rsidSect="00F0060B">
      <w:headerReference w:type="default" r:id="rId38"/>
      <w:footerReference w:type="default" r:id="rId39"/>
      <w:headerReference w:type="first" r:id="rId40"/>
      <w:footerReference w:type="first" r:id="rId41"/>
      <w:type w:val="continuous"/>
      <w:pgSz w:w="11907" w:h="16839" w:code="9"/>
      <w:pgMar w:top="1701"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8F4CB6" w:rsidRDefault="008F4CB6">
      <w:r>
        <w:separator/>
      </w:r>
    </w:p>
  </w:endnote>
  <w:endnote w:type="continuationSeparator" w:id="0">
    <w:p w14:paraId="629A26F6" w14:textId="77777777" w:rsidR="008F4CB6" w:rsidRDefault="008F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8F4CB6" w:rsidRDefault="008F4CB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060B">
      <w:rPr>
        <w:rStyle w:val="Nmerodepgina"/>
        <w:noProof/>
      </w:rPr>
      <w:t>24</w:t>
    </w:r>
    <w:r>
      <w:rPr>
        <w:rStyle w:val="Nmerodepgina"/>
      </w:rPr>
      <w:fldChar w:fldCharType="end"/>
    </w:r>
  </w:p>
  <w:p w14:paraId="6A601A3A" w14:textId="77777777" w:rsidR="008F4CB6" w:rsidRDefault="008F4CB6">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8F4CB6" w:rsidRDefault="008F4CB6">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F0060B">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8F4CB6" w:rsidRDefault="008F4CB6">
      <w:r>
        <w:separator/>
      </w:r>
    </w:p>
  </w:footnote>
  <w:footnote w:type="continuationSeparator" w:id="0">
    <w:p w14:paraId="6840175B" w14:textId="77777777" w:rsidR="008F4CB6" w:rsidRDefault="008F4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153F14A0" w:rsidR="008F4CB6" w:rsidRPr="00AF45B3" w:rsidRDefault="008F4CB6"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Pr>
        <w:rFonts w:ascii="Open Sans" w:hAnsi="Open Sans" w:cs="Open Sans"/>
        <w:color w:val="006699"/>
        <w:sz w:val="28"/>
        <w:szCs w:val="28"/>
      </w:rPr>
      <w:t>50</w:t>
    </w:r>
  </w:p>
  <w:p w14:paraId="02CA5011" w14:textId="17406C90" w:rsidR="008F4CB6" w:rsidRPr="00AF45B3" w:rsidRDefault="008F4CB6"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 xml:space="preserve">1º a 25 de fevereiro </w:t>
    </w:r>
    <w:r w:rsidRPr="00AF45B3">
      <w:rPr>
        <w:rFonts w:ascii="Open Sans" w:hAnsi="Open Sans" w:cs="Open Sans"/>
        <w:i/>
        <w:iCs/>
        <w:color w:val="005DA2"/>
        <w:sz w:val="22"/>
        <w:szCs w:val="22"/>
      </w:rPr>
      <w:t>de 202</w:t>
    </w:r>
    <w:r>
      <w:rPr>
        <w:rFonts w:ascii="Open Sans" w:hAnsi="Open Sans" w:cs="Open Sans"/>
        <w:i/>
        <w:iCs/>
        <w:color w:val="005DA2"/>
        <w:sz w:val="22"/>
        <w:szCs w:val="22"/>
      </w:rPr>
      <w:t>2</w:t>
    </w:r>
    <w:r w:rsidRPr="00AF45B3">
      <w:rPr>
        <w:rFonts w:ascii="Open Sans" w:hAnsi="Open Sans" w:cs="Open Sans"/>
        <w:i/>
        <w:iCs/>
        <w:color w:val="005DA2"/>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8F4CB6" w:rsidRDefault="008F4CB6">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8F4CB6" w:rsidRPr="00D50FBE" w:rsidRDefault="008F4CB6"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8F4CB6" w:rsidRPr="00D50FBE" w:rsidRDefault="008F4CB6"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8F4CB6" w:rsidRDefault="008F4CB6">
    <w:pPr>
      <w:pStyle w:val="Cabealho"/>
    </w:pPr>
  </w:p>
  <w:p w14:paraId="76D35218" w14:textId="2892F312" w:rsidR="008F4CB6" w:rsidRDefault="008F4CB6">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8F4CB6" w:rsidRDefault="008F4CB6">
    <w:pPr>
      <w:pStyle w:val="Cabealho"/>
    </w:pPr>
  </w:p>
  <w:p w14:paraId="62769DEA" w14:textId="11FCB0E1" w:rsidR="008F4CB6" w:rsidRPr="00CE124A" w:rsidRDefault="008F4CB6"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Pr>
        <w:rFonts w:ascii="Open Sans" w:hAnsi="Open Sans" w:cs="Open Sans"/>
        <w:b/>
        <w:color w:val="005DA2"/>
        <w:sz w:val="32"/>
        <w:szCs w:val="32"/>
      </w:rPr>
      <w:t>50</w:t>
    </w:r>
  </w:p>
  <w:p w14:paraId="7B94F950" w14:textId="7BC336D9" w:rsidR="008F4CB6" w:rsidRPr="00AF45B3" w:rsidRDefault="008F4CB6" w:rsidP="00E21DD2">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1º a 25 de fevereiro de 2022</w:t>
    </w:r>
    <w:r w:rsidRPr="00AF45B3">
      <w:rPr>
        <w:rFonts w:ascii="Open Sans" w:hAnsi="Open Sans" w:cs="Open Sans"/>
        <w:i/>
        <w:iCs/>
        <w:color w:val="005DA2"/>
        <w:sz w:val="22"/>
        <w:szCs w:val="22"/>
      </w:rPr>
      <w:t>.</w:t>
    </w:r>
  </w:p>
  <w:p w14:paraId="1D2D7411" w14:textId="77777777" w:rsidR="008F4CB6" w:rsidRDefault="008F4CB6"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155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28"/>
    <w:rsid w:val="000332F1"/>
    <w:rsid w:val="00034034"/>
    <w:rsid w:val="00040BBC"/>
    <w:rsid w:val="00041382"/>
    <w:rsid w:val="000425FC"/>
    <w:rsid w:val="000473A5"/>
    <w:rsid w:val="00047F3C"/>
    <w:rsid w:val="00050E85"/>
    <w:rsid w:val="0005125E"/>
    <w:rsid w:val="00052104"/>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383B"/>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7DC"/>
    <w:rsid w:val="00167E80"/>
    <w:rsid w:val="00176D15"/>
    <w:rsid w:val="00180140"/>
    <w:rsid w:val="0018174D"/>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ABC"/>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2A1E"/>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37AE"/>
    <w:rsid w:val="002A521A"/>
    <w:rsid w:val="002A546D"/>
    <w:rsid w:val="002A5A74"/>
    <w:rsid w:val="002B0750"/>
    <w:rsid w:val="002B4738"/>
    <w:rsid w:val="002B518A"/>
    <w:rsid w:val="002B6377"/>
    <w:rsid w:val="002C2904"/>
    <w:rsid w:val="002C49CE"/>
    <w:rsid w:val="002C6261"/>
    <w:rsid w:val="002D0CF1"/>
    <w:rsid w:val="002D5A23"/>
    <w:rsid w:val="002E1277"/>
    <w:rsid w:val="002E34AB"/>
    <w:rsid w:val="002E3B9F"/>
    <w:rsid w:val="002E78CB"/>
    <w:rsid w:val="002F28E5"/>
    <w:rsid w:val="002F2E0F"/>
    <w:rsid w:val="002F3931"/>
    <w:rsid w:val="002F71BF"/>
    <w:rsid w:val="00305E83"/>
    <w:rsid w:val="003070C9"/>
    <w:rsid w:val="003074FC"/>
    <w:rsid w:val="0031207D"/>
    <w:rsid w:val="003137EF"/>
    <w:rsid w:val="00315A84"/>
    <w:rsid w:val="003200A0"/>
    <w:rsid w:val="00322E7E"/>
    <w:rsid w:val="00322F7A"/>
    <w:rsid w:val="00324A61"/>
    <w:rsid w:val="0033397A"/>
    <w:rsid w:val="003339E9"/>
    <w:rsid w:val="00334958"/>
    <w:rsid w:val="00340253"/>
    <w:rsid w:val="00340D16"/>
    <w:rsid w:val="00340E8D"/>
    <w:rsid w:val="00342846"/>
    <w:rsid w:val="00350184"/>
    <w:rsid w:val="003503FC"/>
    <w:rsid w:val="003509A3"/>
    <w:rsid w:val="00350ED0"/>
    <w:rsid w:val="00352B27"/>
    <w:rsid w:val="00353524"/>
    <w:rsid w:val="0035374D"/>
    <w:rsid w:val="00355A95"/>
    <w:rsid w:val="00361035"/>
    <w:rsid w:val="00363255"/>
    <w:rsid w:val="0036325E"/>
    <w:rsid w:val="00366D20"/>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2A4F"/>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1ABD"/>
    <w:rsid w:val="004127FF"/>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49FB"/>
    <w:rsid w:val="004B63FB"/>
    <w:rsid w:val="004B74D0"/>
    <w:rsid w:val="004C011C"/>
    <w:rsid w:val="004C0FEA"/>
    <w:rsid w:val="004C14EA"/>
    <w:rsid w:val="004C2118"/>
    <w:rsid w:val="004C2612"/>
    <w:rsid w:val="004C749C"/>
    <w:rsid w:val="004C759F"/>
    <w:rsid w:val="004D6000"/>
    <w:rsid w:val="004D60CD"/>
    <w:rsid w:val="004D6415"/>
    <w:rsid w:val="004D697F"/>
    <w:rsid w:val="004D71E8"/>
    <w:rsid w:val="004E0EA6"/>
    <w:rsid w:val="004E1DD6"/>
    <w:rsid w:val="004E2E4B"/>
    <w:rsid w:val="004E393E"/>
    <w:rsid w:val="004E39DA"/>
    <w:rsid w:val="004E3BE3"/>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DE7"/>
    <w:rsid w:val="00536EDA"/>
    <w:rsid w:val="005405E7"/>
    <w:rsid w:val="00541717"/>
    <w:rsid w:val="005424CD"/>
    <w:rsid w:val="00543122"/>
    <w:rsid w:val="00543484"/>
    <w:rsid w:val="00543B94"/>
    <w:rsid w:val="005460BD"/>
    <w:rsid w:val="0055088E"/>
    <w:rsid w:val="005521C8"/>
    <w:rsid w:val="00552D4A"/>
    <w:rsid w:val="00553197"/>
    <w:rsid w:val="0055409E"/>
    <w:rsid w:val="00554139"/>
    <w:rsid w:val="005543D8"/>
    <w:rsid w:val="00555612"/>
    <w:rsid w:val="00556367"/>
    <w:rsid w:val="00556B35"/>
    <w:rsid w:val="005617FD"/>
    <w:rsid w:val="00561D76"/>
    <w:rsid w:val="005703D6"/>
    <w:rsid w:val="00572803"/>
    <w:rsid w:val="00573E13"/>
    <w:rsid w:val="005753DA"/>
    <w:rsid w:val="005767AA"/>
    <w:rsid w:val="005811A4"/>
    <w:rsid w:val="005833A4"/>
    <w:rsid w:val="00583DCD"/>
    <w:rsid w:val="00584496"/>
    <w:rsid w:val="005848D7"/>
    <w:rsid w:val="00584F82"/>
    <w:rsid w:val="00587673"/>
    <w:rsid w:val="005909E6"/>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6844"/>
    <w:rsid w:val="005C761E"/>
    <w:rsid w:val="005D0E5F"/>
    <w:rsid w:val="005D16C8"/>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1706"/>
    <w:rsid w:val="00602FF7"/>
    <w:rsid w:val="0060683F"/>
    <w:rsid w:val="00606FB0"/>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68C6"/>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1DD7"/>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431"/>
    <w:rsid w:val="00781C77"/>
    <w:rsid w:val="00787495"/>
    <w:rsid w:val="00790F13"/>
    <w:rsid w:val="00792BFD"/>
    <w:rsid w:val="00793A1C"/>
    <w:rsid w:val="0079444E"/>
    <w:rsid w:val="00796745"/>
    <w:rsid w:val="007A28FF"/>
    <w:rsid w:val="007A4009"/>
    <w:rsid w:val="007A4F78"/>
    <w:rsid w:val="007A52F4"/>
    <w:rsid w:val="007A6AF4"/>
    <w:rsid w:val="007A7125"/>
    <w:rsid w:val="007B0DE0"/>
    <w:rsid w:val="007B0F83"/>
    <w:rsid w:val="007B5D65"/>
    <w:rsid w:val="007C0A4F"/>
    <w:rsid w:val="007C3805"/>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19D4"/>
    <w:rsid w:val="007E1C54"/>
    <w:rsid w:val="007E26A1"/>
    <w:rsid w:val="007E37B1"/>
    <w:rsid w:val="007E3F23"/>
    <w:rsid w:val="007E53A4"/>
    <w:rsid w:val="007F02D5"/>
    <w:rsid w:val="007F142E"/>
    <w:rsid w:val="007F289C"/>
    <w:rsid w:val="007F2BBE"/>
    <w:rsid w:val="007F33C8"/>
    <w:rsid w:val="007F3CEB"/>
    <w:rsid w:val="007F66BC"/>
    <w:rsid w:val="007F6A37"/>
    <w:rsid w:val="007F706E"/>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57237"/>
    <w:rsid w:val="008601A7"/>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85841"/>
    <w:rsid w:val="00892883"/>
    <w:rsid w:val="008942D5"/>
    <w:rsid w:val="0089707B"/>
    <w:rsid w:val="008A1A58"/>
    <w:rsid w:val="008A28B9"/>
    <w:rsid w:val="008A4233"/>
    <w:rsid w:val="008A49DF"/>
    <w:rsid w:val="008A4AFF"/>
    <w:rsid w:val="008A5B8D"/>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4CB6"/>
    <w:rsid w:val="008F51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60A"/>
    <w:rsid w:val="00980944"/>
    <w:rsid w:val="009812BB"/>
    <w:rsid w:val="009815A9"/>
    <w:rsid w:val="00981FE8"/>
    <w:rsid w:val="00986D77"/>
    <w:rsid w:val="009914D7"/>
    <w:rsid w:val="00993A6E"/>
    <w:rsid w:val="009943EC"/>
    <w:rsid w:val="009A0896"/>
    <w:rsid w:val="009A16E8"/>
    <w:rsid w:val="009A1BAD"/>
    <w:rsid w:val="009A32D5"/>
    <w:rsid w:val="009A4CC2"/>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10D04"/>
    <w:rsid w:val="00A134B1"/>
    <w:rsid w:val="00A14B48"/>
    <w:rsid w:val="00A201D9"/>
    <w:rsid w:val="00A21529"/>
    <w:rsid w:val="00A27889"/>
    <w:rsid w:val="00A32D95"/>
    <w:rsid w:val="00A32FBF"/>
    <w:rsid w:val="00A3307E"/>
    <w:rsid w:val="00A407EA"/>
    <w:rsid w:val="00A40D9C"/>
    <w:rsid w:val="00A4138D"/>
    <w:rsid w:val="00A459B4"/>
    <w:rsid w:val="00A46D46"/>
    <w:rsid w:val="00A51749"/>
    <w:rsid w:val="00A521B6"/>
    <w:rsid w:val="00A56962"/>
    <w:rsid w:val="00A60D8C"/>
    <w:rsid w:val="00A62DD3"/>
    <w:rsid w:val="00A6382F"/>
    <w:rsid w:val="00A63855"/>
    <w:rsid w:val="00A6412C"/>
    <w:rsid w:val="00A70B84"/>
    <w:rsid w:val="00A72F01"/>
    <w:rsid w:val="00A72FAF"/>
    <w:rsid w:val="00A75419"/>
    <w:rsid w:val="00A76661"/>
    <w:rsid w:val="00A76D2A"/>
    <w:rsid w:val="00A80F60"/>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493B"/>
    <w:rsid w:val="00AE5EDF"/>
    <w:rsid w:val="00AE758A"/>
    <w:rsid w:val="00AF007B"/>
    <w:rsid w:val="00AF45B3"/>
    <w:rsid w:val="00AF6DC8"/>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6D2"/>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3B9D"/>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073"/>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5DF6"/>
    <w:rsid w:val="00C86418"/>
    <w:rsid w:val="00C8747B"/>
    <w:rsid w:val="00C87D5B"/>
    <w:rsid w:val="00C92A5A"/>
    <w:rsid w:val="00C932D0"/>
    <w:rsid w:val="00C94FF6"/>
    <w:rsid w:val="00C963F8"/>
    <w:rsid w:val="00C96BB1"/>
    <w:rsid w:val="00C970C8"/>
    <w:rsid w:val="00CA2F80"/>
    <w:rsid w:val="00CA3ECF"/>
    <w:rsid w:val="00CA4AE6"/>
    <w:rsid w:val="00CA6DBD"/>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06B6C"/>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E54"/>
    <w:rsid w:val="00D50FBE"/>
    <w:rsid w:val="00D52863"/>
    <w:rsid w:val="00D530B9"/>
    <w:rsid w:val="00D56BB6"/>
    <w:rsid w:val="00D570E4"/>
    <w:rsid w:val="00D573F9"/>
    <w:rsid w:val="00D57533"/>
    <w:rsid w:val="00D60532"/>
    <w:rsid w:val="00D6058B"/>
    <w:rsid w:val="00D60814"/>
    <w:rsid w:val="00D608E5"/>
    <w:rsid w:val="00D60A95"/>
    <w:rsid w:val="00D61A05"/>
    <w:rsid w:val="00D61C4D"/>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1339"/>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1CBC"/>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1E54"/>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53CF"/>
    <w:rsid w:val="00E67BAE"/>
    <w:rsid w:val="00E711AE"/>
    <w:rsid w:val="00E716F3"/>
    <w:rsid w:val="00E737AD"/>
    <w:rsid w:val="00E76789"/>
    <w:rsid w:val="00E76A95"/>
    <w:rsid w:val="00E774F6"/>
    <w:rsid w:val="00E8106F"/>
    <w:rsid w:val="00E811B6"/>
    <w:rsid w:val="00E91A0E"/>
    <w:rsid w:val="00E931FF"/>
    <w:rsid w:val="00E9405F"/>
    <w:rsid w:val="00E9503C"/>
    <w:rsid w:val="00E956D9"/>
    <w:rsid w:val="00EA02E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419F"/>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060B"/>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2659"/>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5BC2"/>
    <w:rsid w:val="00F96061"/>
    <w:rsid w:val="00F96CA7"/>
    <w:rsid w:val="00F9711D"/>
    <w:rsid w:val="00FA011F"/>
    <w:rsid w:val="00FA1DCF"/>
    <w:rsid w:val="00FA27DD"/>
    <w:rsid w:val="00FA3E3A"/>
    <w:rsid w:val="00FA6D0F"/>
    <w:rsid w:val="00FA70AD"/>
    <w:rsid w:val="00FA7544"/>
    <w:rsid w:val="00FA75E0"/>
    <w:rsid w:val="00FA7771"/>
    <w:rsid w:val="00FB0AFB"/>
    <w:rsid w:val="00FB0C06"/>
    <w:rsid w:val="00FB0DC9"/>
    <w:rsid w:val="00FB20B1"/>
    <w:rsid w:val="00FB27AA"/>
    <w:rsid w:val="00FB3AB4"/>
    <w:rsid w:val="00FB6188"/>
    <w:rsid w:val="00FB78D2"/>
    <w:rsid w:val="00FC1D88"/>
    <w:rsid w:val="00FC2CE8"/>
    <w:rsid w:val="00FC35EC"/>
    <w:rsid w:val="00FC4A8B"/>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6825242">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3065513">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183713792">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06708612">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05803910">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517697249">
      <w:bodyDiv w:val="1"/>
      <w:marLeft w:val="0"/>
      <w:marRight w:val="0"/>
      <w:marTop w:val="0"/>
      <w:marBottom w:val="0"/>
      <w:divBdr>
        <w:top w:val="none" w:sz="0" w:space="0" w:color="auto"/>
        <w:left w:val="none" w:sz="0" w:space="0" w:color="auto"/>
        <w:bottom w:val="none" w:sz="0" w:space="0" w:color="auto"/>
        <w:right w:val="none" w:sz="0" w:space="0" w:color="auto"/>
      </w:divBdr>
    </w:div>
    <w:div w:id="681973569">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894900572">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164396487">
      <w:bodyDiv w:val="1"/>
      <w:marLeft w:val="0"/>
      <w:marRight w:val="0"/>
      <w:marTop w:val="0"/>
      <w:marBottom w:val="0"/>
      <w:divBdr>
        <w:top w:val="none" w:sz="0" w:space="0" w:color="auto"/>
        <w:left w:val="none" w:sz="0" w:space="0" w:color="auto"/>
        <w:bottom w:val="none" w:sz="0" w:space="0" w:color="auto"/>
        <w:right w:val="none" w:sz="0" w:space="0" w:color="auto"/>
      </w:divBdr>
    </w:div>
    <w:div w:id="1198351951">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1974788">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623225810">
      <w:bodyDiv w:val="1"/>
      <w:marLeft w:val="0"/>
      <w:marRight w:val="0"/>
      <w:marTop w:val="0"/>
      <w:marBottom w:val="0"/>
      <w:divBdr>
        <w:top w:val="none" w:sz="0" w:space="0" w:color="auto"/>
        <w:left w:val="none" w:sz="0" w:space="0" w:color="auto"/>
        <w:bottom w:val="none" w:sz="0" w:space="0" w:color="auto"/>
        <w:right w:val="none" w:sz="0" w:space="0" w:color="auto"/>
      </w:divBdr>
    </w:div>
    <w:div w:id="1694258282">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898708994">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5.tst.jus.br/consultaProcessual/resumoForm.do?consulta=1&amp;numeroInt=134060&amp;anoInt=2020" TargetMode="External"/><Relationship Id="rId18" Type="http://schemas.openxmlformats.org/officeDocument/2006/relationships/hyperlink" Target="http://aplicacao5.tst.jus.br/consultaProcessual/resumoForm.do?consulta=1&amp;numeroInt=150059&amp;anoInt=2019" TargetMode="External"/><Relationship Id="rId26" Type="http://schemas.openxmlformats.org/officeDocument/2006/relationships/hyperlink" Target="https://consultaprocessual.tst.jus.br/consultaProcessual/consultaTstNumUnica.do?consulta=Consultar&amp;conscsjt=&amp;numeroTst=1000353&amp;digitoTst=68&amp;anoTst=2018&amp;orgaoTst=5&amp;tribunalTst=02&amp;varaTst=0080&amp;submit=Consulta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739&amp;digitoTst=20&amp;anoTst=2014&amp;orgaoTst=5&amp;tribunalTst=10&amp;varaTst=0861&amp;submit=Consultar" TargetMode="External"/><Relationship Id="rId34" Type="http://schemas.openxmlformats.org/officeDocument/2006/relationships/hyperlink" Target="http://aplicacao5.tst.jus.br/consultaProcessual/resumoForm.do?consulta=1&amp;numeroInt=212234&amp;anoInt=2017"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nsultaprocessual.tst.jus.br/consultaProcessual/consultaTstNumUnica.do?consulta=Consultar&amp;conscsjt=&amp;numeroTst=1257&amp;digitoTst=47&amp;anoTst=2014&amp;orgaoTst=5&amp;tribunalTst=03&amp;varaTst=0071&amp;submit=Consultar" TargetMode="External"/><Relationship Id="rId17" Type="http://schemas.openxmlformats.org/officeDocument/2006/relationships/hyperlink" Target="https://consultaprocessual.tst.jus.br/consultaProcessual/consultaTstNumUnica.do?consulta=Consultar&amp;conscsjt=&amp;numeroTst=11051&amp;digitoTst=51&amp;anoTst=2019&amp;orgaoTst=5&amp;tribunalTst=03&amp;varaTst=0028&amp;submit=Consultar" TargetMode="External"/><Relationship Id="rId25" Type="http://schemas.openxmlformats.org/officeDocument/2006/relationships/hyperlink" Target="https://consultaprocessual.tst.jus.br/consultaProcessual/consultaTstNumUnica.do?consulta=Consultar&amp;conscsjt=&amp;numeroTst=1276&amp;digitoTst=84&amp;anoTst=2011&amp;orgaoTst=5&amp;tribunalTst=06&amp;varaTst=0003&amp;submit=Consultar" TargetMode="External"/><Relationship Id="rId33" Type="http://schemas.openxmlformats.org/officeDocument/2006/relationships/hyperlink" Target="http://aplicacao5.tst.jus.br/consultaProcessual/resumoForm.do?consulta=1&amp;numeroInt=140100&amp;anoInt=202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228133&amp;anoInt=2020" TargetMode="External"/><Relationship Id="rId20" Type="http://schemas.openxmlformats.org/officeDocument/2006/relationships/hyperlink" Target="http://aplicacao5.tst.jus.br/consultaProcessual/resumoForm.do?consulta=1&amp;numeroInt=175330&amp;anoInt=2020" TargetMode="External"/><Relationship Id="rId29" Type="http://schemas.openxmlformats.org/officeDocument/2006/relationships/hyperlink" Target="https://consultaprocessual.tst.jus.br/consultaProcessual/consultaTstNumUnica.do?consulta=Consultar&amp;conscsjt=&amp;numeroTst=1003291&amp;digitoTst=15&amp;anoTst=2013&amp;orgaoTst=5&amp;tribunalTst=02&amp;varaTst=0467&amp;submit=Consulta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230157&amp;anoInt=2019" TargetMode="External"/><Relationship Id="rId24" Type="http://schemas.openxmlformats.org/officeDocument/2006/relationships/hyperlink" Target="https://consultaprocessual.tst.jus.br/consultaProcessual/consultaTstNumUnica.do?consulta=Consultar&amp;conscsjt=&amp;numeroTst=221&amp;digitoTst=53&amp;anoTst=2012&amp;orgaoTst=5&amp;tribunalTst=09&amp;varaTst=0012&amp;submit=Consultar" TargetMode="External"/><Relationship Id="rId32" Type="http://schemas.openxmlformats.org/officeDocument/2006/relationships/hyperlink" Target="http://aplicacao5.tst.jus.br/consultaProcessual/resumoForm.do?consulta=1&amp;numeroInt=240316&amp;anoInt=2019" TargetMode="External"/><Relationship Id="rId37" Type="http://schemas.openxmlformats.org/officeDocument/2006/relationships/hyperlink" Target="http://www.tst.jus.br/push"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7972&amp;anoInt=2018" TargetMode="External"/><Relationship Id="rId23" Type="http://schemas.openxmlformats.org/officeDocument/2006/relationships/hyperlink" Target="https://consultaprocessual.tst.jus.br/consultaProcessual/consultaTstNumUnica.do?consulta=Consultar&amp;conscsjt=&amp;numeroTst=550&amp;digitoTst=76&amp;anoTst=2014&amp;orgaoTst=5&amp;tribunalTst=02&amp;varaTst=0081&amp;submit=Consultar" TargetMode="External"/><Relationship Id="rId28" Type="http://schemas.openxmlformats.org/officeDocument/2006/relationships/hyperlink" Target="https://consultaprocessual.tst.jus.br/consultaProcessual/consultaTstNumUnica.do?consulta=Consultar&amp;conscsjt=&amp;numeroTst=100080&amp;digitoTst=60&amp;anoTst=2016&amp;orgaoTst=5&amp;tribunalTst=01&amp;varaTst=0065&amp;submit=Consultar" TargetMode="External"/><Relationship Id="rId36" Type="http://schemas.openxmlformats.org/officeDocument/2006/relationships/hyperlink" Target="http://www.tst.jus.br/web/guest/informativo-tst" TargetMode="External"/><Relationship Id="rId10" Type="http://schemas.openxmlformats.org/officeDocument/2006/relationships/hyperlink" Target="https://consultaprocessual.tst.jus.br/consultaProcessual/consultaTstNumUnica.do?consulta=Consultar&amp;conscsjt=&amp;numeroTst=10953&amp;digitoTst=57&amp;anoTst=2018&amp;orgaoTst=5&amp;tribunalTst=03&amp;varaTst=0107&amp;submit=Consultar" TargetMode="External"/><Relationship Id="rId19" Type="http://schemas.openxmlformats.org/officeDocument/2006/relationships/hyperlink" Target="http://aplicacao5.tst.jus.br/consultaProcessual/resumoForm.do?consulta=1&amp;numeroInt=7052&amp;anoInt=2021" TargetMode="External"/><Relationship Id="rId31" Type="http://schemas.openxmlformats.org/officeDocument/2006/relationships/hyperlink" Target="http://aplicacao5.tst.jus.br/consultaProcessual/resumoForm.do?consulta=1&amp;numeroInt=262221&amp;anoInt=2018" TargetMode="External"/><Relationship Id="rId4" Type="http://schemas.microsoft.com/office/2007/relationships/stylesWithEffects" Target="stylesWithEffects.xml"/><Relationship Id="rId9" Type="http://schemas.openxmlformats.org/officeDocument/2006/relationships/hyperlink" Target="https://consultaprocessual.tst.jus.br/consultaProcessual/consultaTstNumUnica.do?consulta=Consultar&amp;conscsjt=&amp;numeroTst=1000&amp;digitoTst=71&amp;anoTst=2012&amp;orgaoTst=5&amp;tribunalTst=06&amp;varaTst=0018&amp;submit=Consultar" TargetMode="External"/><Relationship Id="rId14" Type="http://schemas.openxmlformats.org/officeDocument/2006/relationships/hyperlink" Target="http://aplicacao5.tst.jus.br/consultaProcessual/resumoForm.do?consulta=1&amp;numeroInt=237555&amp;anoInt=2021" TargetMode="External"/><Relationship Id="rId22" Type="http://schemas.openxmlformats.org/officeDocument/2006/relationships/hyperlink" Target="http://aplicacao4.tst.jus.br/consultaProcessual/consultaTstNumUnica.do?consulta=Consultar&amp;conscsjt=&amp;numeroTst=1734&amp;digitoTst=72&amp;anoTst=2014&amp;orgaoTst=5&amp;tribunalTst=03&amp;varaTst=0038&amp;submit=Consultar" TargetMode="External"/><Relationship Id="rId27" Type="http://schemas.openxmlformats.org/officeDocument/2006/relationships/hyperlink" Target="https://consultaprocessual.tst.jus.br/consultaProcessual/consultaTstNumUnica.do?consulta=Consultar&amp;conscsjt=&amp;numeroTst=1536&amp;digitoTst=90&amp;anoTst=2017&amp;orgaoTst=5&amp;tribunalTst=12&amp;varaTst=0034&amp;submit=Consultar" TargetMode="External"/><Relationship Id="rId30" Type="http://schemas.openxmlformats.org/officeDocument/2006/relationships/hyperlink" Target="http://aplicacao4.tst.jus.br/consultaProcessual/consultaTstNumUnica.do?consulta=Consultar&amp;conscsjt=&amp;numeroTst=1734&amp;digitoTst=89&amp;anoTst=2012&amp;orgaoTst=5&amp;tribunalTst=05&amp;varaTst=0134&amp;submit=Consultar" TargetMode="External"/><Relationship Id="rId35" Type="http://schemas.openxmlformats.org/officeDocument/2006/relationships/hyperlink" Target="mailto:cjur@tst.jus.br"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767B-AAA7-4FE3-8BAC-B107ACA6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24</Pages>
  <Words>12806</Words>
  <Characters>69153</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81796</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184</cp:revision>
  <cp:lastPrinted>2021-12-16T12:30:00Z</cp:lastPrinted>
  <dcterms:created xsi:type="dcterms:W3CDTF">2021-07-22T20:32:00Z</dcterms:created>
  <dcterms:modified xsi:type="dcterms:W3CDTF">2022-03-10T21:39:00Z</dcterms:modified>
</cp:coreProperties>
</file>