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643B59" w14:paraId="19F29D7E" w14:textId="77777777" w:rsidTr="00E3622E">
        <w:trPr>
          <w:trHeight w:val="537"/>
        </w:trPr>
        <w:tc>
          <w:tcPr>
            <w:tcW w:w="9538" w:type="dxa"/>
            <w:tcBorders>
              <w:top w:val="single" w:sz="4" w:space="0" w:color="auto"/>
            </w:tcBorders>
          </w:tcPr>
          <w:p w14:paraId="36C0B528" w14:textId="529C3CF0" w:rsidR="008D5CA9" w:rsidRPr="00643B59" w:rsidRDefault="00C26DFB" w:rsidP="00DC50EB">
            <w:pPr>
              <w:pStyle w:val="Cabealho"/>
              <w:tabs>
                <w:tab w:val="clear" w:pos="4419"/>
                <w:tab w:val="clear" w:pos="8838"/>
              </w:tabs>
              <w:jc w:val="both"/>
              <w:rPr>
                <w:rFonts w:ascii="Open Sans" w:hAnsi="Open Sans" w:cs="Open Sans"/>
              </w:rPr>
            </w:pPr>
            <w:r w:rsidRPr="00643B59">
              <w:rPr>
                <w:rFonts w:ascii="Open Sans" w:hAnsi="Open Sans" w:cs="Open Sans"/>
              </w:rPr>
              <w:t>Este Informativo, elaborado a partir de notas tomadas nas sessões de julgamento, contém resumos não</w:t>
            </w:r>
            <w:r w:rsidR="00DC50EB" w:rsidRPr="00643B59">
              <w:rPr>
                <w:rFonts w:ascii="Open Sans" w:hAnsi="Open Sans" w:cs="Open Sans"/>
              </w:rPr>
              <w:t xml:space="preserve"> </w:t>
            </w:r>
            <w:r w:rsidRPr="00643B59">
              <w:rPr>
                <w:rFonts w:ascii="Open Sans" w:hAnsi="Open Sans" w:cs="Open Sans"/>
              </w:rPr>
              <w:t>oficiais de decisões proferidas pelo Tribunal. A fidelidade dos resumos ao conteúdo efetivo das decisões, embora seja uma das metas perseguidas neste trabalho, somente poderá ser aferida após a sua publicação no Diário</w:t>
            </w:r>
            <w:r w:rsidR="00980944" w:rsidRPr="00643B59">
              <w:rPr>
                <w:rFonts w:ascii="Open Sans" w:hAnsi="Open Sans" w:cs="Open Sans"/>
              </w:rPr>
              <w:t xml:space="preserve"> Eletrônico </w:t>
            </w:r>
            <w:r w:rsidRPr="00643B59">
              <w:rPr>
                <w:rFonts w:ascii="Open Sans" w:hAnsi="Open Sans" w:cs="Open Sans"/>
              </w:rPr>
              <w:t>da Justiça</w:t>
            </w:r>
            <w:r w:rsidR="00980944" w:rsidRPr="00643B59">
              <w:rPr>
                <w:rFonts w:ascii="Open Sans" w:hAnsi="Open Sans" w:cs="Open Sans"/>
              </w:rPr>
              <w:t xml:space="preserve"> do Trabalho</w:t>
            </w:r>
            <w:r w:rsidRPr="00643B59">
              <w:rPr>
                <w:rFonts w:ascii="Open Sans" w:hAnsi="Open Sans" w:cs="Open Sans"/>
              </w:rPr>
              <w:t>.</w:t>
            </w:r>
          </w:p>
        </w:tc>
      </w:tr>
    </w:tbl>
    <w:p w14:paraId="292A1471" w14:textId="77777777" w:rsidR="00555612" w:rsidRPr="004E0EA6" w:rsidRDefault="00555612" w:rsidP="007E1C54">
      <w:pPr>
        <w:autoSpaceDE/>
        <w:autoSpaceDN/>
        <w:ind w:right="510"/>
        <w:jc w:val="both"/>
        <w:rPr>
          <w:rFonts w:ascii="Open Sans" w:eastAsiaTheme="minorHAnsi" w:hAnsi="Open Sans" w:cs="Open Sans"/>
          <w:lang w:eastAsia="en-US"/>
        </w:rPr>
      </w:pPr>
    </w:p>
    <w:p w14:paraId="4E5F0865" w14:textId="44952E73" w:rsidR="00555612" w:rsidRPr="00643B59" w:rsidRDefault="00555612" w:rsidP="007E1C54">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 w:val="left" w:pos="9498"/>
        </w:tabs>
        <w:spacing w:line="240" w:lineRule="auto"/>
        <w:ind w:right="510" w:firstLine="0"/>
        <w:jc w:val="center"/>
        <w:rPr>
          <w:rFonts w:ascii="Open Sans" w:hAnsi="Open Sans" w:cs="Open Sans"/>
          <w:b/>
          <w:bCs/>
          <w:iCs/>
          <w:sz w:val="28"/>
          <w:szCs w:val="28"/>
          <w:lang w:val="pt-BR"/>
        </w:rPr>
      </w:pPr>
      <w:r w:rsidRPr="00643B59">
        <w:rPr>
          <w:rFonts w:ascii="Open Sans" w:hAnsi="Open Sans" w:cs="Open Sans"/>
          <w:b/>
          <w:bCs/>
          <w:iCs/>
          <w:sz w:val="28"/>
          <w:szCs w:val="28"/>
          <w:lang w:val="pt-BR"/>
        </w:rPr>
        <w:t>SUBSEÇÃO I ESPECIALIZADA EM DISSÍDIOS INDIVIDUAIS</w:t>
      </w:r>
    </w:p>
    <w:p w14:paraId="433E6B86" w14:textId="77777777" w:rsidR="004E0EA6" w:rsidRPr="004E0EA6" w:rsidRDefault="004E0EA6" w:rsidP="004E0EA6">
      <w:pPr>
        <w:pStyle w:val="Corpo"/>
        <w:spacing w:line="240" w:lineRule="auto"/>
        <w:ind w:firstLine="0"/>
        <w:rPr>
          <w:rFonts w:ascii="Open Sans" w:hAnsi="Open Sans" w:cs="Open Sans"/>
          <w:sz w:val="20"/>
          <w:szCs w:val="20"/>
          <w:lang w:val="pt-BR"/>
        </w:rPr>
      </w:pPr>
    </w:p>
    <w:p w14:paraId="23364CCE" w14:textId="77777777" w:rsidR="00C57073" w:rsidRDefault="00C57073" w:rsidP="0098060A">
      <w:pPr>
        <w:pStyle w:val="Corpo"/>
        <w:spacing w:line="240" w:lineRule="auto"/>
        <w:ind w:right="368" w:firstLine="0"/>
        <w:rPr>
          <w:rFonts w:ascii="Open Sans" w:hAnsi="Open Sans" w:cs="Open Sans"/>
          <w:b/>
          <w:i/>
          <w:strike/>
          <w:lang w:val="pt-BR"/>
        </w:rPr>
      </w:pPr>
      <w:r>
        <w:rPr>
          <w:rFonts w:ascii="Open Sans" w:hAnsi="Open Sans" w:cs="Open Sans"/>
          <w:b/>
          <w:i/>
          <w:lang w:val="pt-BR"/>
        </w:rPr>
        <w:t xml:space="preserve">Doença ocupacional. Estabilidade provisória. Determinação judicial de reintegração em função readaptada. Possibilidade de percepção cumulada de salário e de indenização por dano material (pensão mensal). Marco inicial da obrigação. </w:t>
      </w:r>
    </w:p>
    <w:p w14:paraId="752D30B5" w14:textId="77777777" w:rsidR="00C57073" w:rsidRDefault="00C57073" w:rsidP="0098060A">
      <w:pPr>
        <w:pStyle w:val="Corpo"/>
        <w:spacing w:line="240" w:lineRule="auto"/>
        <w:ind w:right="368" w:firstLine="0"/>
        <w:rPr>
          <w:rFonts w:ascii="Open Sans" w:hAnsi="Open Sans" w:cs="Open Sans"/>
          <w:lang w:val="pt-BR"/>
        </w:rPr>
      </w:pPr>
      <w:r>
        <w:rPr>
          <w:rFonts w:ascii="Open Sans" w:hAnsi="Open Sans" w:cs="Open Sans"/>
          <w:lang w:val="pt-BR"/>
        </w:rPr>
        <w:t xml:space="preserve">Tratando-se de determinação judicial de reintegração em outra função, em face de estabilidade provisória decorrente de doença ocupacional, é possível a percepção cumulada de salário e de indenização por danos materiais (pensão mensal). Isso porque os salários do período de reintegração e a pensão mensal possuem natureza jurídica e fatos geradores distintos. Com efeito, o direito à pensão mensal emana do dano sofrido pelo empregado, decorrente de doença ocupacional, e possui fundamento no instituto da responsabilidade civil (artigos 186 e 927 do CC). Por outro lado, a remuneração percebida pelo empregado reintegrado tem natureza trabalhista e decorre diretamente da prestação de serviços em benefício da reclamada. Com base nesses fundamentos, a SBDI-I, por unanimidade, conheceu dos embargos por divergência jurisprudencial e, no mérito, por maioria, deu-lhes provimento para majorar a condenação ao pagamento de pensão mensal, fixando como termo inicial da obrigação a data do retorno ao trabalho, após o término do benefício previdenciário. Vencidos os Ministros Cláudio Mascarenhas Brandão, Alexandre Luiz Ramos, Renato de Lacerda Paiva e as Ministras Dora Maria da Costa e Maria Cristina </w:t>
      </w:r>
      <w:proofErr w:type="spellStart"/>
      <w:r>
        <w:rPr>
          <w:rFonts w:ascii="Open Sans" w:hAnsi="Open Sans" w:cs="Open Sans"/>
          <w:lang w:val="pt-BR"/>
        </w:rPr>
        <w:t>Irigoyen</w:t>
      </w:r>
      <w:proofErr w:type="spellEnd"/>
      <w:r>
        <w:rPr>
          <w:rFonts w:ascii="Open Sans" w:hAnsi="Open Sans" w:cs="Open Sans"/>
          <w:lang w:val="pt-BR"/>
        </w:rPr>
        <w:t xml:space="preserve"> </w:t>
      </w:r>
      <w:proofErr w:type="spellStart"/>
      <w:r>
        <w:rPr>
          <w:rFonts w:ascii="Open Sans" w:hAnsi="Open Sans" w:cs="Open Sans"/>
          <w:lang w:val="pt-BR"/>
        </w:rPr>
        <w:t>Peduzzi</w:t>
      </w:r>
      <w:proofErr w:type="spellEnd"/>
      <w:r>
        <w:rPr>
          <w:rFonts w:ascii="Open Sans" w:hAnsi="Open Sans" w:cs="Open Sans"/>
          <w:lang w:val="pt-BR"/>
        </w:rPr>
        <w:t xml:space="preserve">, que negavam provimento aos embargos. </w:t>
      </w:r>
      <w:hyperlink r:id="rId9" w:history="1">
        <w:r>
          <w:rPr>
            <w:rStyle w:val="Hyperlink"/>
            <w:rFonts w:ascii="Open Sans" w:hAnsi="Open Sans" w:cs="Open Sans"/>
            <w:lang w:val="pt-BR"/>
          </w:rPr>
          <w:t>TST-</w:t>
        </w:r>
        <w:r>
          <w:rPr>
            <w:rStyle w:val="Hyperlink"/>
            <w:rFonts w:ascii="Open Sans" w:hAnsi="Open Sans" w:cs="Open Sans"/>
            <w:bCs/>
          </w:rPr>
          <w:t>E-RR-266300-17.2008.5.02.0060</w:t>
        </w:r>
      </w:hyperlink>
      <w:r>
        <w:rPr>
          <w:rFonts w:ascii="Open Sans" w:hAnsi="Open Sans" w:cs="Open Sans"/>
          <w:u w:val="single"/>
          <w:lang w:val="pt-BR"/>
        </w:rPr>
        <w:t xml:space="preserve">, SBDI-I, rel. Min. Hugo </w:t>
      </w:r>
      <w:proofErr w:type="spellStart"/>
      <w:r>
        <w:rPr>
          <w:rFonts w:ascii="Open Sans" w:hAnsi="Open Sans" w:cs="Open Sans"/>
          <w:u w:val="single"/>
          <w:lang w:val="pt-BR"/>
        </w:rPr>
        <w:t>Scheuermann</w:t>
      </w:r>
      <w:proofErr w:type="spellEnd"/>
      <w:r>
        <w:rPr>
          <w:rFonts w:ascii="Open Sans" w:hAnsi="Open Sans" w:cs="Open Sans"/>
          <w:u w:val="single"/>
          <w:lang w:val="pt-BR"/>
        </w:rPr>
        <w:t>, 4/11/2021.</w:t>
      </w:r>
      <w:r>
        <w:rPr>
          <w:rFonts w:ascii="Open Sans" w:hAnsi="Open Sans" w:cs="Open Sans"/>
          <w:lang w:val="pt-BR"/>
        </w:rPr>
        <w:t xml:space="preserve"> </w:t>
      </w:r>
    </w:p>
    <w:p w14:paraId="61B28098" w14:textId="77777777" w:rsidR="00C57073" w:rsidRDefault="00C57073" w:rsidP="0098060A">
      <w:pPr>
        <w:pStyle w:val="Corpo"/>
        <w:spacing w:line="240" w:lineRule="auto"/>
        <w:ind w:right="368" w:firstLine="0"/>
        <w:rPr>
          <w:rFonts w:ascii="Open Sans" w:hAnsi="Open Sans" w:cs="Open Sans"/>
          <w:b/>
          <w:lang w:val="pt-BR"/>
        </w:rPr>
      </w:pPr>
    </w:p>
    <w:p w14:paraId="17FC3631" w14:textId="77777777" w:rsidR="00C57073" w:rsidRDefault="00C57073" w:rsidP="0098060A">
      <w:pPr>
        <w:pStyle w:val="Corpo"/>
        <w:spacing w:line="240" w:lineRule="auto"/>
        <w:ind w:right="368" w:firstLine="0"/>
        <w:rPr>
          <w:rFonts w:ascii="Open Sans" w:hAnsi="Open Sans" w:cs="Open Sans"/>
          <w:b/>
          <w:lang w:val="pt-BR"/>
        </w:rPr>
      </w:pPr>
      <w:r>
        <w:rPr>
          <w:rFonts w:ascii="Open Sans" w:hAnsi="Open Sans" w:cs="Open Sans"/>
          <w:b/>
          <w:lang w:val="pt-BR"/>
        </w:rPr>
        <w:t>Agravo em Embargos em Embargos de Declaração em Recurso de Revista. Contrariedade à Súmula 422 do TST. Ausência de indicação do item da súmula. Admissibilidade do recurso de embargos. Impossibilidade.</w:t>
      </w:r>
    </w:p>
    <w:p w14:paraId="41B7A9A7" w14:textId="25DF9F11" w:rsidR="00C57073" w:rsidRDefault="00C57073" w:rsidP="0098060A">
      <w:pPr>
        <w:pStyle w:val="Corpo"/>
        <w:spacing w:line="240" w:lineRule="auto"/>
        <w:ind w:right="368" w:firstLine="0"/>
        <w:rPr>
          <w:rFonts w:ascii="Open Sans" w:hAnsi="Open Sans" w:cs="Open Sans"/>
          <w:lang w:val="pt-BR"/>
        </w:rPr>
      </w:pPr>
      <w:r>
        <w:rPr>
          <w:rFonts w:ascii="Open Sans" w:hAnsi="Open Sans" w:cs="Open Sans"/>
          <w:lang w:val="pt-BR"/>
        </w:rPr>
        <w:t xml:space="preserve">A falta de indicação do item da Súmula 422 do TST entendido como violado inviabiliza a admissibilidade do recurso de embargos. No caso, foi denegado </w:t>
      </w:r>
      <w:r>
        <w:rPr>
          <w:rFonts w:ascii="Open Sans" w:hAnsi="Open Sans" w:cs="Open Sans"/>
          <w:lang w:val="pt-BR"/>
        </w:rPr>
        <w:lastRenderedPageBreak/>
        <w:t xml:space="preserve">seguimento ao recurso de embargos por contrariedade </w:t>
      </w:r>
      <w:proofErr w:type="gramStart"/>
      <w:r>
        <w:rPr>
          <w:rFonts w:ascii="Open Sans" w:hAnsi="Open Sans" w:cs="Open Sans"/>
          <w:lang w:val="pt-BR"/>
        </w:rPr>
        <w:t>à</w:t>
      </w:r>
      <w:proofErr w:type="gramEnd"/>
      <w:r>
        <w:rPr>
          <w:rFonts w:ascii="Open Sans" w:hAnsi="Open Sans" w:cs="Open Sans"/>
          <w:lang w:val="pt-BR"/>
        </w:rPr>
        <w:t xml:space="preserve"> Sumula 422, sob a justificativa de que a não impugnação dos argumentos da decisão recorrida resulta em recurso </w:t>
      </w:r>
      <w:proofErr w:type="spellStart"/>
      <w:r>
        <w:rPr>
          <w:rFonts w:ascii="Open Sans" w:hAnsi="Open Sans" w:cs="Open Sans"/>
          <w:lang w:val="pt-BR"/>
        </w:rPr>
        <w:t>desfundamentado</w:t>
      </w:r>
      <w:proofErr w:type="spellEnd"/>
      <w:r>
        <w:rPr>
          <w:rFonts w:ascii="Open Sans" w:hAnsi="Open Sans" w:cs="Open Sans"/>
          <w:lang w:val="pt-BR"/>
        </w:rPr>
        <w:t xml:space="preserve"> e de que a indicação de contrariedade a sumula de natureza processual não enseja a admissibilidade dos embargos. Ocorre que, a alegação de contrariedade à Súmula 422 do TST, sem a indicação do respectivo item violado, enseja a não admissibilidade do recurso de embargos, o que acarreta a manutenção da decisão denegatória do recurso de embargos, por fundamento diverso. Sob esses fundamentos</w:t>
      </w:r>
      <w:r>
        <w:rPr>
          <w:rFonts w:ascii="Open Sans" w:hAnsi="Open Sans" w:cs="Open Sans"/>
          <w:lang w:val="pt-BR"/>
        </w:rPr>
        <w:t>,</w:t>
      </w:r>
      <w:r>
        <w:rPr>
          <w:rFonts w:ascii="Open Sans" w:hAnsi="Open Sans" w:cs="Open Sans"/>
          <w:lang w:val="pt-BR"/>
        </w:rPr>
        <w:t xml:space="preserve"> a SBDI, por maioria, vencidos os Ministros Renato de Lacerda Paiva, Luiz Philippe Vieira de Mello Filho e José Roberto Freire Pimenta, conheceu do agravo e, no mérito, negou-lhe provimento. </w:t>
      </w:r>
      <w:hyperlink r:id="rId10" w:history="1">
        <w:r>
          <w:rPr>
            <w:rStyle w:val="Hyperlink"/>
            <w:rFonts w:ascii="Open Sans" w:hAnsi="Open Sans" w:cs="Open Sans"/>
            <w:lang w:val="pt-BR"/>
          </w:rPr>
          <w:t>TST-Ag-E-ED-RR-543-07.2015.5.08.0009</w:t>
        </w:r>
      </w:hyperlink>
      <w:r>
        <w:rPr>
          <w:rFonts w:ascii="Open Sans" w:hAnsi="Open Sans" w:cs="Open Sans"/>
          <w:u w:val="single"/>
          <w:lang w:val="pt-BR"/>
        </w:rPr>
        <w:t>, SBDI-I, rel. Min. Dora Maria da Costa, 11/11/2021.</w:t>
      </w:r>
    </w:p>
    <w:p w14:paraId="5D5AF212" w14:textId="77777777" w:rsidR="00C57073" w:rsidRDefault="00C57073" w:rsidP="0098060A">
      <w:pPr>
        <w:ind w:right="368"/>
        <w:jc w:val="both"/>
        <w:rPr>
          <w:rFonts w:ascii="Open Sans" w:hAnsi="Open Sans" w:cs="Open Sans"/>
          <w:b/>
          <w:sz w:val="24"/>
          <w:szCs w:val="24"/>
        </w:rPr>
      </w:pPr>
    </w:p>
    <w:p w14:paraId="05059301" w14:textId="77777777" w:rsidR="00C57073" w:rsidRDefault="00C57073" w:rsidP="0098060A">
      <w:pPr>
        <w:ind w:right="368"/>
        <w:jc w:val="both"/>
        <w:rPr>
          <w:rFonts w:ascii="Open Sans" w:hAnsi="Open Sans" w:cs="Open Sans"/>
          <w:b/>
          <w:i/>
          <w:sz w:val="24"/>
          <w:szCs w:val="24"/>
        </w:rPr>
      </w:pPr>
      <w:r>
        <w:rPr>
          <w:rFonts w:ascii="Open Sans" w:hAnsi="Open Sans" w:cs="Open Sans"/>
          <w:b/>
          <w:i/>
          <w:sz w:val="24"/>
          <w:szCs w:val="24"/>
        </w:rPr>
        <w:t xml:space="preserve">Responsabilidade civil. Indenização por danos decorrentes de acidente do trabalho. Cobrador de ônibus. Vítima fatal em assalto. Aplicabilidade da responsabilidade objetiva do empregador. Tema 932 da Repercussão Geral. Efeito vinculante e eficácia </w:t>
      </w:r>
      <w:r>
        <w:rPr>
          <w:rFonts w:ascii="Open Sans" w:hAnsi="Open Sans" w:cs="Open Sans"/>
          <w:b/>
          <w:sz w:val="24"/>
          <w:szCs w:val="24"/>
        </w:rPr>
        <w:t>erga omnes</w:t>
      </w:r>
      <w:r>
        <w:rPr>
          <w:rFonts w:ascii="Open Sans" w:hAnsi="Open Sans" w:cs="Open Sans"/>
          <w:b/>
          <w:i/>
          <w:sz w:val="24"/>
          <w:szCs w:val="24"/>
        </w:rPr>
        <w:t>.</w:t>
      </w:r>
    </w:p>
    <w:p w14:paraId="41E54782" w14:textId="77777777" w:rsidR="00C57073" w:rsidRDefault="00C57073" w:rsidP="0098060A">
      <w:pPr>
        <w:ind w:right="368"/>
        <w:jc w:val="both"/>
        <w:rPr>
          <w:rFonts w:ascii="Open Sans" w:hAnsi="Open Sans" w:cs="Open Sans"/>
          <w:sz w:val="24"/>
          <w:szCs w:val="24"/>
          <w:u w:val="single"/>
        </w:rPr>
      </w:pPr>
      <w:r>
        <w:rPr>
          <w:rFonts w:ascii="Open Sans" w:hAnsi="Open Sans" w:cs="Open Sans"/>
          <w:sz w:val="24"/>
          <w:szCs w:val="24"/>
        </w:rPr>
        <w:t xml:space="preserve">A atividade de cobrador de ônibus de transporte coletivo urbano é caracterizada como de risco especial, com potencialidade lesiva superior e imposição de maior ônus ao trabalhador do que aos demais membros da sociedade, atraindo a responsabilidade civil objetiva do empregador pelos danos decorrentes de acidente do trabalho. Desse modo, à luz do Tema 932 da Repercussão Geral, com efeito vinculante e eficácia </w:t>
      </w:r>
      <w:r>
        <w:rPr>
          <w:rFonts w:ascii="Open Sans" w:hAnsi="Open Sans" w:cs="Open Sans"/>
          <w:i/>
          <w:sz w:val="24"/>
          <w:szCs w:val="24"/>
        </w:rPr>
        <w:t>erga omnes</w:t>
      </w:r>
      <w:r>
        <w:rPr>
          <w:rFonts w:ascii="Open Sans" w:hAnsi="Open Sans" w:cs="Open Sans"/>
          <w:sz w:val="24"/>
          <w:szCs w:val="24"/>
        </w:rPr>
        <w:t xml:space="preserve">, reconhecendo o maior risco implicado ao trabalhador, que foi vitimado em assalto, manteve-se a responsabilização objetiva da empresa pelos danos decorrentes do acidente ocorrido, nos termos do art. 927, parágrafo único, do Código Civil. Sob esse fundamento, a SBDI-I, por unanimidade, não conheceu do recurso de embargos interposto pela reclamada. </w:t>
      </w:r>
      <w:hyperlink r:id="rId11" w:history="1">
        <w:r>
          <w:rPr>
            <w:rStyle w:val="Hyperlink"/>
            <w:rFonts w:ascii="Open Sans" w:hAnsi="Open Sans" w:cs="Open Sans"/>
            <w:sz w:val="24"/>
            <w:szCs w:val="24"/>
          </w:rPr>
          <w:t>TST-E-ED-RR-238100-91.2005.5.01.0202</w:t>
        </w:r>
      </w:hyperlink>
      <w:r>
        <w:rPr>
          <w:rFonts w:ascii="Open Sans" w:hAnsi="Open Sans" w:cs="Open Sans"/>
          <w:sz w:val="24"/>
          <w:szCs w:val="24"/>
          <w:u w:val="single"/>
        </w:rPr>
        <w:t>, SBDI-I, rel. Min. Alexandre Luiz Ramos, 11/11/2021.</w:t>
      </w:r>
    </w:p>
    <w:p w14:paraId="3F4E88EC" w14:textId="77777777" w:rsidR="00E41E54" w:rsidRDefault="00E41E54" w:rsidP="0098060A">
      <w:pPr>
        <w:pStyle w:val="Corpo"/>
        <w:spacing w:line="240" w:lineRule="auto"/>
        <w:ind w:right="368" w:firstLine="0"/>
        <w:rPr>
          <w:rFonts w:ascii="Open Sans" w:hAnsi="Open Sans" w:cs="Open Sans"/>
          <w:b/>
          <w:i/>
          <w:lang w:val="pt-BR"/>
        </w:rPr>
      </w:pPr>
    </w:p>
    <w:p w14:paraId="2B365834" w14:textId="524292F5" w:rsidR="00C1383D" w:rsidRPr="00643B59" w:rsidRDefault="006261EC" w:rsidP="0098060A">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 w:val="left" w:pos="9498"/>
        </w:tabs>
        <w:spacing w:line="240" w:lineRule="auto"/>
        <w:ind w:right="368" w:firstLine="0"/>
        <w:jc w:val="center"/>
        <w:rPr>
          <w:rFonts w:ascii="Open Sans" w:hAnsi="Open Sans" w:cs="Open Sans"/>
          <w:b/>
          <w:bCs/>
          <w:iCs/>
          <w:sz w:val="28"/>
          <w:szCs w:val="28"/>
          <w:lang w:val="pt-BR"/>
        </w:rPr>
      </w:pPr>
      <w:r w:rsidRPr="00643B59">
        <w:rPr>
          <w:rFonts w:ascii="Open Sans" w:hAnsi="Open Sans" w:cs="Open Sans"/>
          <w:b/>
          <w:bCs/>
          <w:iCs/>
          <w:sz w:val="28"/>
          <w:szCs w:val="28"/>
          <w:lang w:val="pt-BR"/>
        </w:rPr>
        <w:t xml:space="preserve">SUBSEÇÃO </w:t>
      </w:r>
      <w:r w:rsidR="00C1383D" w:rsidRPr="00643B59">
        <w:rPr>
          <w:rFonts w:ascii="Open Sans" w:hAnsi="Open Sans" w:cs="Open Sans"/>
          <w:b/>
          <w:bCs/>
          <w:iCs/>
          <w:sz w:val="28"/>
          <w:szCs w:val="28"/>
          <w:lang w:val="pt-BR"/>
        </w:rPr>
        <w:t>I</w:t>
      </w:r>
      <w:r w:rsidR="00FD049C" w:rsidRPr="00643B59">
        <w:rPr>
          <w:rFonts w:ascii="Open Sans" w:hAnsi="Open Sans" w:cs="Open Sans"/>
          <w:b/>
          <w:bCs/>
          <w:iCs/>
          <w:sz w:val="28"/>
          <w:szCs w:val="28"/>
          <w:lang w:val="pt-BR"/>
        </w:rPr>
        <w:t>I</w:t>
      </w:r>
      <w:r w:rsidR="00C1383D" w:rsidRPr="00643B59">
        <w:rPr>
          <w:rFonts w:ascii="Open Sans" w:hAnsi="Open Sans" w:cs="Open Sans"/>
          <w:b/>
          <w:bCs/>
          <w:iCs/>
          <w:sz w:val="28"/>
          <w:szCs w:val="28"/>
          <w:lang w:val="pt-BR"/>
        </w:rPr>
        <w:t xml:space="preserve"> ESPECIALIZADA EM DISSÍDIOS INDIVIDUAIS</w:t>
      </w:r>
    </w:p>
    <w:p w14:paraId="4E18ACF8" w14:textId="1C7E23EA" w:rsidR="00744F2E" w:rsidRPr="004E0EA6" w:rsidRDefault="00744F2E" w:rsidP="0098060A">
      <w:pPr>
        <w:tabs>
          <w:tab w:val="left" w:pos="1029"/>
        </w:tabs>
        <w:ind w:right="368"/>
        <w:rPr>
          <w:rFonts w:ascii="Open Sans" w:hAnsi="Open Sans" w:cs="Open Sans"/>
        </w:rPr>
      </w:pPr>
    </w:p>
    <w:p w14:paraId="52D9F24E" w14:textId="77777777" w:rsidR="00334958" w:rsidRDefault="00334958" w:rsidP="0098060A">
      <w:pPr>
        <w:ind w:right="368"/>
        <w:jc w:val="both"/>
        <w:rPr>
          <w:rFonts w:ascii="Open Sans" w:hAnsi="Open Sans" w:cs="Open Sans"/>
          <w:i/>
          <w:color w:val="000000"/>
          <w:sz w:val="24"/>
          <w:szCs w:val="24"/>
        </w:rPr>
      </w:pPr>
      <w:r>
        <w:rPr>
          <w:rFonts w:ascii="Open Sans" w:hAnsi="Open Sans" w:cs="Open Sans"/>
          <w:b/>
          <w:i/>
          <w:sz w:val="24"/>
          <w:szCs w:val="24"/>
        </w:rPr>
        <w:t>Mandado de Segurança. Penhora de 30% dos honorários médicos para pagamento de débito trabalhista. Percentual de penhora limitado a 50% do ganho líquido. Ato impugnado praticado na vigência do CPC/15. OJ 153 da SBDI-2. Inaplicável. Abusividade não demonstrada. Previsão legal. Artigos 529, § 3º, e 833, § 2º, do CPC/15.</w:t>
      </w:r>
    </w:p>
    <w:p w14:paraId="0E316FFB" w14:textId="07E2E7FF" w:rsidR="00334958" w:rsidRDefault="00334958" w:rsidP="0098060A">
      <w:pPr>
        <w:ind w:right="368"/>
        <w:jc w:val="both"/>
        <w:rPr>
          <w:rFonts w:ascii="Open Sans" w:hAnsi="Open Sans" w:cs="Open Sans"/>
          <w:sz w:val="24"/>
          <w:szCs w:val="24"/>
        </w:rPr>
      </w:pPr>
      <w:r>
        <w:rPr>
          <w:rFonts w:ascii="Open Sans" w:hAnsi="Open Sans" w:cs="Open Sans"/>
          <w:sz w:val="24"/>
          <w:szCs w:val="24"/>
        </w:rPr>
        <w:t xml:space="preserve">A limitação de 50% (cinquenta por cento), prevista no art. 529, § 3°, do CPC/2015, incide sobre a totalidade dos rendimentos auferidos pela parte executada, não se limitando a um rendimento individualizado. No caso, a autoridade coatora determinou o bloqueio da totalidade dos valores recebidos pelo impetrante (executado) a título de honorários médicos da UNIMED, que corresponde a sua </w:t>
      </w:r>
      <w:r>
        <w:rPr>
          <w:rFonts w:ascii="Open Sans" w:hAnsi="Open Sans" w:cs="Open Sans"/>
          <w:sz w:val="24"/>
          <w:szCs w:val="24"/>
        </w:rPr>
        <w:lastRenderedPageBreak/>
        <w:t xml:space="preserve">principal fonte de renda. Ao julgar a presente ação mandamental, o TRT concedeu parcialmente a segurança e limitou a penhora a 30% (trinta por cento) do valor dos honorários médicos recebidos da UNIMED. No tocante à possibilidade da penhora sobre os honorários médicos recebidos pelo impetrante, tem-se que o ato inquinado de coator ocorreu em 2018, quando já vigente o CPC/2015, o qual </w:t>
      </w:r>
      <w:r>
        <w:rPr>
          <w:rFonts w:ascii="Open Sans" w:hAnsi="Open Sans" w:cs="Open Sans"/>
          <w:color w:val="000000"/>
          <w:sz w:val="24"/>
          <w:szCs w:val="24"/>
        </w:rPr>
        <w:t xml:space="preserve">dispõe que a impenhorabilidade dos vencimentos não se aplica às hipóteses em que a constrição for destinada ao pagamento de prestação alimentícia "independentemente de sua origem", como é o caso das verbas de natureza salarial devidas ao empregado (art. 833, IV, e § 2º). Na hipótese, inaplicável a OJ 153 da SDI-2, haja vista que a determinação de bloqueio e penhora se deu já na vigência no CPC de 2015. </w:t>
      </w:r>
      <w:r>
        <w:rPr>
          <w:rFonts w:ascii="Open Sans" w:hAnsi="Open Sans" w:cs="Open Sans"/>
          <w:sz w:val="24"/>
          <w:szCs w:val="24"/>
        </w:rPr>
        <w:t xml:space="preserve">No que concerne à incidência do percentual de bloqueio, o art. 529, § 3º, do CPC/15 limita o percentual de penhora a 50% do ganho líquido do executado, revelando, dessa forma, a preocupação do legislador em também não desprover o devedor de quantia minimamente necessária a sua subsistência. Sob esses fundamentos, </w:t>
      </w:r>
      <w:r>
        <w:rPr>
          <w:rFonts w:ascii="Open Sans" w:hAnsi="Open Sans" w:cs="Open Sans"/>
          <w:sz w:val="24"/>
          <w:szCs w:val="24"/>
        </w:rPr>
        <w:t>decidiu</w:t>
      </w:r>
      <w:r>
        <w:rPr>
          <w:rFonts w:ascii="Open Sans" w:hAnsi="Open Sans" w:cs="Open Sans"/>
          <w:sz w:val="24"/>
          <w:szCs w:val="24"/>
        </w:rPr>
        <w:t xml:space="preserve"> a SBDI-2, por unanimidade, que </w:t>
      </w:r>
      <w:r>
        <w:rPr>
          <w:rFonts w:ascii="Open Sans" w:hAnsi="Open Sans" w:cs="Open Sans"/>
          <w:color w:val="000000"/>
          <w:sz w:val="24"/>
          <w:szCs w:val="24"/>
        </w:rPr>
        <w:t xml:space="preserve">a penhora deve recair sobre a totalidade das fontes de renda do executado, sem ultrapassar o percentual de 30% dos rendimentos líquidos do impetrante. </w:t>
      </w:r>
      <w:hyperlink r:id="rId12" w:history="1">
        <w:r>
          <w:rPr>
            <w:rStyle w:val="Hyperlink"/>
            <w:rFonts w:ascii="Open Sans" w:hAnsi="Open Sans" w:cs="Open Sans"/>
            <w:sz w:val="24"/>
            <w:szCs w:val="24"/>
          </w:rPr>
          <w:t>TST-ROT-100051-06.2019.5.01.0000</w:t>
        </w:r>
      </w:hyperlink>
      <w:r>
        <w:rPr>
          <w:rFonts w:ascii="Open Sans" w:hAnsi="Open Sans" w:cs="Open Sans"/>
          <w:sz w:val="24"/>
          <w:szCs w:val="24"/>
          <w:u w:val="single"/>
        </w:rPr>
        <w:t>, SBDI-II, rel. Min. Alexandre de Souza Agra Belmonte, 9/11/2021.</w:t>
      </w:r>
    </w:p>
    <w:p w14:paraId="19A1BB44" w14:textId="77777777" w:rsidR="00334958" w:rsidRDefault="00334958" w:rsidP="0098060A">
      <w:pPr>
        <w:pStyle w:val="SemEspaamento"/>
        <w:ind w:right="368"/>
        <w:jc w:val="both"/>
        <w:rPr>
          <w:rFonts w:ascii="Open Sans" w:hAnsi="Open Sans" w:cs="Open Sans"/>
          <w:b/>
          <w:sz w:val="24"/>
          <w:szCs w:val="24"/>
        </w:rPr>
      </w:pPr>
    </w:p>
    <w:p w14:paraId="6C99D354" w14:textId="77777777" w:rsidR="00334958" w:rsidRDefault="00334958" w:rsidP="0098060A">
      <w:pPr>
        <w:ind w:right="368"/>
        <w:jc w:val="both"/>
        <w:rPr>
          <w:rFonts w:ascii="Open Sans" w:hAnsi="Open Sans" w:cs="Open Sans"/>
          <w:b/>
          <w:i/>
          <w:sz w:val="24"/>
          <w:szCs w:val="24"/>
        </w:rPr>
      </w:pPr>
      <w:r>
        <w:rPr>
          <w:rFonts w:ascii="Open Sans" w:hAnsi="Open Sans" w:cs="Open Sans"/>
          <w:b/>
          <w:i/>
          <w:sz w:val="24"/>
          <w:szCs w:val="24"/>
        </w:rPr>
        <w:t>Ação Rescisória. Art. 966, incisos II e V, do CPC. Pretensão de indenização por danos morais e materiais. Período de vínculo celetista com o ente público. Competência da Justiça do Trabalho. Decisão rescindenda em consonância com o entendimento firmado pelo STF à época. Tema de Repercussão Geral nº 928. Sinalização de mudança de entendimento em reclamações constitucionais. Não cabimento da ação rescisória.  Óbice da Súmula nº 343 do STF e da tese fixada no Tema nº 136 de Repercussão Geral.</w:t>
      </w:r>
    </w:p>
    <w:p w14:paraId="644D1D1F" w14:textId="77777777" w:rsidR="00334958" w:rsidRDefault="00334958" w:rsidP="0098060A">
      <w:pPr>
        <w:ind w:right="368"/>
        <w:jc w:val="both"/>
        <w:rPr>
          <w:rFonts w:ascii="Open Sans" w:hAnsi="Open Sans" w:cs="Open Sans"/>
          <w:sz w:val="24"/>
          <w:szCs w:val="24"/>
          <w:u w:val="single"/>
        </w:rPr>
      </w:pPr>
      <w:r>
        <w:rPr>
          <w:rFonts w:ascii="Open Sans" w:hAnsi="Open Sans" w:cs="Open Sans"/>
          <w:sz w:val="24"/>
          <w:szCs w:val="24"/>
        </w:rPr>
        <w:t xml:space="preserve">A existência de decisões em reclamações constitucionais que indiquem mudança de entendimento firmado em tema de repercussão geral não autoriza a utilização da ação rescisória para desconstituir decisão proferida em harmonia com o entendimento firmado, à época, pelo Plenário do STF, ante o óbice da Súmula nº 343 do STF e da tese fixada no Tema nº 136 de Repercussão Geral. Com esse entendimento, a SBDI-II, por unanimidade, negou provimento ao recurso ordinário interposto pela Fundação Nacional de Saúde - Funasa, autora da ação rescisória, por meio da qual pretendia a desconstituição de julgado que, com fundamento no Tema nº 928 de Repercussão Geral, declarou a competência da Justiça do Trabalho para processar e julgar reclamação trabalhista com pedido de indenização por danos morais e materiais supostamente causados pelo manuseio do DDT, relativo ao período em que o servidor público possuía vínculo celetista com a Funasa. Salientou-se que, apesar de recentes decisões de Turmas do Supremo Tribunal Federal em reclamações terem declarado a competência da Justiça Federal para julgar as </w:t>
      </w:r>
      <w:r>
        <w:rPr>
          <w:rFonts w:ascii="Open Sans" w:hAnsi="Open Sans" w:cs="Open Sans"/>
          <w:sz w:val="24"/>
          <w:szCs w:val="24"/>
        </w:rPr>
        <w:lastRenderedPageBreak/>
        <w:t xml:space="preserve">demandas idênticas à do caso em análise, tais julgados não têm o condão de suprimir a tese fixada no Tema nº 928 pelo Pleno do STF. Destacou-se, ainda, que, nos termos do art. 11, inciso II, do Regimento Interno do STF, o reexame de questão de inconstitucionalidade já decidida pelo Plenário, não poderia ser realizado por Turma. </w:t>
      </w:r>
      <w:hyperlink r:id="rId13" w:history="1">
        <w:r>
          <w:rPr>
            <w:rStyle w:val="Hyperlink"/>
            <w:rFonts w:ascii="Open Sans" w:hAnsi="Open Sans" w:cs="Open Sans"/>
            <w:sz w:val="24"/>
            <w:szCs w:val="24"/>
          </w:rPr>
          <w:t>TST-ROT-200-94.2020.5.14.0000</w:t>
        </w:r>
      </w:hyperlink>
      <w:r>
        <w:rPr>
          <w:rFonts w:ascii="Open Sans" w:hAnsi="Open Sans" w:cs="Open Sans"/>
          <w:sz w:val="24"/>
          <w:szCs w:val="24"/>
          <w:u w:val="single"/>
        </w:rPr>
        <w:t>, SBDI-II, rel. Min. Evandro Pereira Valadão Lopes, 9/11/2021.</w:t>
      </w:r>
    </w:p>
    <w:p w14:paraId="6CB416BF" w14:textId="77777777" w:rsidR="00E653CF" w:rsidRDefault="00E653CF" w:rsidP="0098060A">
      <w:pPr>
        <w:ind w:right="368"/>
        <w:jc w:val="both"/>
        <w:rPr>
          <w:rFonts w:ascii="Open Sans" w:hAnsi="Open Sans" w:cs="Open Sans"/>
          <w:b/>
          <w:i/>
          <w:color w:val="FF0000"/>
          <w:sz w:val="24"/>
          <w:szCs w:val="24"/>
        </w:rPr>
      </w:pPr>
    </w:p>
    <w:p w14:paraId="7217D15D" w14:textId="77777777" w:rsidR="009A76A2" w:rsidRPr="00643B59" w:rsidRDefault="009A76A2" w:rsidP="0098060A">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right="368" w:firstLine="0"/>
        <w:jc w:val="center"/>
        <w:rPr>
          <w:rFonts w:ascii="Open Sans" w:hAnsi="Open Sans" w:cs="Open Sans"/>
          <w:b/>
          <w:bCs/>
          <w:iCs/>
          <w:sz w:val="28"/>
          <w:lang w:val="pt-BR"/>
        </w:rPr>
      </w:pPr>
      <w:r w:rsidRPr="00643B59">
        <w:rPr>
          <w:rFonts w:ascii="Open Sans" w:hAnsi="Open Sans" w:cs="Open Sans"/>
          <w:b/>
          <w:bCs/>
          <w:iCs/>
          <w:sz w:val="28"/>
          <w:lang w:val="pt-BR"/>
        </w:rPr>
        <w:t>TURMAS</w:t>
      </w:r>
    </w:p>
    <w:p w14:paraId="16C7DDD1" w14:textId="77777777" w:rsidR="009A76A2" w:rsidRPr="00643B59" w:rsidRDefault="009A76A2" w:rsidP="0098060A">
      <w:pPr>
        <w:pStyle w:val="Cabealho"/>
        <w:tabs>
          <w:tab w:val="clear" w:pos="4419"/>
          <w:tab w:val="clear" w:pos="8838"/>
        </w:tabs>
        <w:ind w:right="368"/>
        <w:jc w:val="center"/>
        <w:rPr>
          <w:rFonts w:ascii="Open Sans" w:hAnsi="Open Sans" w:cs="Open Sans"/>
          <w:i/>
        </w:rPr>
      </w:pPr>
      <w:r w:rsidRPr="00643B59">
        <w:rPr>
          <w:rFonts w:ascii="Open Sans" w:hAnsi="Open Sans" w:cs="Open Sans"/>
          <w:i/>
        </w:rPr>
        <w:t xml:space="preserve">Transcrição de ementas selecionadas </w:t>
      </w:r>
      <w:r w:rsidR="009D2FB1" w:rsidRPr="00643B59">
        <w:rPr>
          <w:rFonts w:ascii="Open Sans" w:hAnsi="Open Sans" w:cs="Open Sans"/>
          <w:i/>
        </w:rPr>
        <w:t>n</w:t>
      </w:r>
      <w:r w:rsidRPr="00643B59">
        <w:rPr>
          <w:rFonts w:ascii="Open Sans" w:hAnsi="Open Sans" w:cs="Open Sans"/>
          <w:i/>
        </w:rPr>
        <w:t>as sessões de julgamento das Turmas do TST.</w:t>
      </w:r>
    </w:p>
    <w:p w14:paraId="1F30AD67" w14:textId="77777777" w:rsidR="002973E0" w:rsidRPr="004E0EA6" w:rsidRDefault="002973E0" w:rsidP="0098060A">
      <w:pPr>
        <w:autoSpaceDE/>
        <w:autoSpaceDN/>
        <w:ind w:right="368"/>
        <w:jc w:val="both"/>
        <w:rPr>
          <w:rFonts w:ascii="Open Sans" w:eastAsiaTheme="minorHAnsi" w:hAnsi="Open Sans" w:cs="Open Sans"/>
          <w:lang w:eastAsia="en-US"/>
        </w:rPr>
      </w:pPr>
    </w:p>
    <w:p w14:paraId="503B237C" w14:textId="77777777" w:rsidR="0098060A" w:rsidRPr="00FC4A8B" w:rsidRDefault="0098060A" w:rsidP="0098060A">
      <w:pPr>
        <w:pStyle w:val="Ementa"/>
        <w:ind w:left="0" w:right="368"/>
        <w:rPr>
          <w:rFonts w:ascii="Open Sans" w:hAnsi="Open Sans" w:cs="Open Sans"/>
          <w:color w:val="auto"/>
          <w:lang w:val="pt-BR"/>
        </w:rPr>
      </w:pPr>
      <w:r w:rsidRPr="00FC4A8B">
        <w:rPr>
          <w:rFonts w:ascii="Open Sans" w:hAnsi="Open Sans" w:cs="Open Sans"/>
          <w:bCs/>
          <w:color w:val="auto"/>
          <w:lang w:val="pt-BR"/>
        </w:rPr>
        <w:t xml:space="preserve">“[...] RECURSO DE REVISTA. LEI Nº 13.015/2014. </w:t>
      </w:r>
      <w:r w:rsidRPr="00FC4A8B">
        <w:rPr>
          <w:rFonts w:ascii="Open Sans" w:hAnsi="Open Sans" w:cs="Open Sans"/>
          <w:color w:val="auto"/>
          <w:lang w:val="pt-BR"/>
        </w:rPr>
        <w:t xml:space="preserve">REPRESENTAÇÃO SINDICAL. PRINCÍPIO DA ESPECIFICIDADE EM DETRIMENTO DA TERRITORIALIDADE. SINDICATO ESPECÍFICO DE BASE NACIONAL E SINDICATO ECLÉTICO DE BASE ESTADUAL FUNDADO POSTERIORMENTE. Na hipótese, o Tribunal </w:t>
      </w:r>
      <w:r w:rsidRPr="00FC4A8B">
        <w:rPr>
          <w:rFonts w:ascii="Open Sans" w:hAnsi="Open Sans" w:cs="Open Sans"/>
          <w:i/>
          <w:color w:val="auto"/>
          <w:lang w:val="pt-BR"/>
        </w:rPr>
        <w:t>a quo</w:t>
      </w:r>
      <w:r w:rsidRPr="00FC4A8B">
        <w:rPr>
          <w:rFonts w:ascii="Open Sans" w:hAnsi="Open Sans" w:cs="Open Sans"/>
          <w:color w:val="auto"/>
          <w:lang w:val="pt-BR"/>
        </w:rPr>
        <w:t xml:space="preserve"> concluiu ser regular a dissociação do sindicato nacional autor, ainda que específico, para a constituição do sindicato estadual réu, ainda que eclético, por expressa manifestação de assentimento dos interessados da categoria envolvida. Discute-se, assim, o legítimo representante das cooperativas de serviços médicos do Estado do Tocantins, se o sindicato específico de base nacional ou o sindicato eclético de base estadual. O Supremo Tribunal Federal tem entendimento de que a criação de um novo sindicato de categoria mais específica por desdobramento não ofende o princípio da unicidade sindical (precedentes). Ocorre que a hipótese dos autos não é de dissociação, uma vez que, já existindo sindicato específico, foi criado sindicato eclético em menor base territorial. Ademais, nos casos de conflito, acerca da representatividade sindical, entre o princípio da especificidade e o da territorialidade, esta Corte superior tem decidido que deve prevalecer o princípio da especificidade, nos termos do art. 570 da CLT. Decisão regional em conflito com a jurisprudência desta Corte. Precedentes. </w:t>
      </w:r>
      <w:r w:rsidRPr="00FC4A8B">
        <w:rPr>
          <w:rFonts w:ascii="Open Sans" w:hAnsi="Open Sans" w:cs="Open Sans"/>
          <w:bCs/>
          <w:color w:val="auto"/>
          <w:lang w:val="pt-BR"/>
        </w:rPr>
        <w:t>Recurso de revista de que se conhece e a que se dá provimento.” (</w:t>
      </w:r>
      <w:hyperlink r:id="rId14" w:history="1">
        <w:r w:rsidRPr="00FC4A8B">
          <w:rPr>
            <w:rStyle w:val="Hyperlink"/>
            <w:rFonts w:ascii="Open Sans" w:hAnsi="Open Sans" w:cs="Open Sans"/>
            <w:bCs/>
            <w:lang w:val="pt-BR"/>
          </w:rPr>
          <w:t>TST-RR-1257-64.2012.5.10.0801</w:t>
        </w:r>
      </w:hyperlink>
      <w:r w:rsidRPr="00FC4A8B">
        <w:rPr>
          <w:rFonts w:ascii="Open Sans" w:hAnsi="Open Sans" w:cs="Open Sans"/>
          <w:bCs/>
          <w:color w:val="auto"/>
          <w:lang w:val="pt-BR"/>
        </w:rPr>
        <w:t xml:space="preserve">, 2ª Turma, rel. Min. Maria Helena </w:t>
      </w:r>
      <w:proofErr w:type="spellStart"/>
      <w:r w:rsidRPr="00FC4A8B">
        <w:rPr>
          <w:rFonts w:ascii="Open Sans" w:hAnsi="Open Sans" w:cs="Open Sans"/>
          <w:bCs/>
          <w:color w:val="auto"/>
          <w:lang w:val="pt-BR"/>
        </w:rPr>
        <w:t>Mallmann</w:t>
      </w:r>
      <w:proofErr w:type="spellEnd"/>
      <w:r w:rsidRPr="00FC4A8B">
        <w:rPr>
          <w:rFonts w:ascii="Open Sans" w:hAnsi="Open Sans" w:cs="Open Sans"/>
          <w:bCs/>
          <w:color w:val="auto"/>
          <w:lang w:val="pt-BR"/>
        </w:rPr>
        <w:t>, julgado em 17/11/2021.</w:t>
      </w:r>
      <w:proofErr w:type="gramStart"/>
      <w:r w:rsidRPr="00FC4A8B">
        <w:rPr>
          <w:rFonts w:ascii="Open Sans" w:hAnsi="Open Sans" w:cs="Open Sans"/>
          <w:bCs/>
          <w:color w:val="auto"/>
          <w:lang w:val="pt-BR"/>
        </w:rPr>
        <w:t>)</w:t>
      </w:r>
      <w:proofErr w:type="gramEnd"/>
    </w:p>
    <w:p w14:paraId="07CD3746" w14:textId="77777777" w:rsidR="0098060A" w:rsidRPr="00FC4A8B" w:rsidRDefault="0098060A" w:rsidP="0098060A">
      <w:pPr>
        <w:ind w:right="368"/>
        <w:jc w:val="both"/>
        <w:rPr>
          <w:rFonts w:ascii="Open Sans" w:hAnsi="Open Sans" w:cs="Open Sans"/>
          <w:sz w:val="24"/>
          <w:szCs w:val="24"/>
        </w:rPr>
      </w:pPr>
    </w:p>
    <w:p w14:paraId="66CE2922" w14:textId="77777777" w:rsidR="0098060A" w:rsidRDefault="0098060A" w:rsidP="0098060A">
      <w:pPr>
        <w:ind w:right="368"/>
        <w:jc w:val="both"/>
        <w:rPr>
          <w:rFonts w:ascii="Open Sans" w:hAnsi="Open Sans" w:cs="Open Sans"/>
          <w:sz w:val="24"/>
          <w:szCs w:val="24"/>
        </w:rPr>
      </w:pPr>
      <w:r>
        <w:rPr>
          <w:rFonts w:ascii="Open Sans" w:hAnsi="Open Sans" w:cs="Open Sans"/>
          <w:sz w:val="24"/>
          <w:szCs w:val="24"/>
        </w:rPr>
        <w:t xml:space="preserve">“RECURSO DE REVISTA. PROTESTO JUDICIAL. INTERRUPÇÃO DA PRESCRIÇÃO. REFORMA TRABALHISTA. ART. 11, § 3º, DA CLT. O art. 11, § 3º, da CLT, introduzido pela Lei nº 13.467/2017, ao estabelecer que a interrupção da prescrição somente </w:t>
      </w:r>
      <w:proofErr w:type="gramStart"/>
      <w:r>
        <w:rPr>
          <w:rFonts w:ascii="Open Sans" w:hAnsi="Open Sans" w:cs="Open Sans"/>
          <w:sz w:val="24"/>
          <w:szCs w:val="24"/>
        </w:rPr>
        <w:t>ocorrerá</w:t>
      </w:r>
      <w:proofErr w:type="gramEnd"/>
      <w:r>
        <w:rPr>
          <w:rFonts w:ascii="Open Sans" w:hAnsi="Open Sans" w:cs="Open Sans"/>
          <w:sz w:val="24"/>
          <w:szCs w:val="24"/>
        </w:rPr>
        <w:t xml:space="preserve"> pelo ajuizamento de reclamação trabalhista, deve ser interpretado de forma sistemática com a disciplina legal a respeito das causas interruptivas de prescrição, de modo que remanesce aplicável o protesto judicial ao processo do trabalho. Recurso de revista não conhecido.” (</w:t>
      </w:r>
      <w:hyperlink r:id="rId15" w:history="1">
        <w:r>
          <w:rPr>
            <w:rStyle w:val="Hyperlink"/>
            <w:rFonts w:ascii="Open Sans" w:hAnsi="Open Sans" w:cs="Open Sans"/>
            <w:sz w:val="24"/>
            <w:szCs w:val="24"/>
          </w:rPr>
          <w:t>TST-RR-10711-43.2019.5.15.0006</w:t>
        </w:r>
      </w:hyperlink>
      <w:r>
        <w:rPr>
          <w:rFonts w:ascii="Open Sans" w:hAnsi="Open Sans" w:cs="Open Sans"/>
          <w:sz w:val="24"/>
          <w:szCs w:val="24"/>
        </w:rPr>
        <w:t xml:space="preserve">, 3ª Turma, rel. Min. Alberto Luiz </w:t>
      </w:r>
      <w:proofErr w:type="spellStart"/>
      <w:r>
        <w:rPr>
          <w:rFonts w:ascii="Open Sans" w:hAnsi="Open Sans" w:cs="Open Sans"/>
          <w:sz w:val="24"/>
          <w:szCs w:val="24"/>
        </w:rPr>
        <w:t>Bresciani</w:t>
      </w:r>
      <w:proofErr w:type="spellEnd"/>
      <w:r>
        <w:rPr>
          <w:rFonts w:ascii="Open Sans" w:hAnsi="Open Sans" w:cs="Open Sans"/>
          <w:sz w:val="24"/>
          <w:szCs w:val="24"/>
        </w:rPr>
        <w:t xml:space="preserve"> de </w:t>
      </w:r>
      <w:proofErr w:type="spellStart"/>
      <w:r>
        <w:rPr>
          <w:rFonts w:ascii="Open Sans" w:hAnsi="Open Sans" w:cs="Open Sans"/>
          <w:sz w:val="24"/>
          <w:szCs w:val="24"/>
        </w:rPr>
        <w:t>Fontan</w:t>
      </w:r>
      <w:proofErr w:type="spellEnd"/>
      <w:r>
        <w:rPr>
          <w:rFonts w:ascii="Open Sans" w:hAnsi="Open Sans" w:cs="Open Sans"/>
          <w:sz w:val="24"/>
          <w:szCs w:val="24"/>
        </w:rPr>
        <w:t xml:space="preserve"> Pereira, julgado em 9/11/2021.)</w:t>
      </w:r>
    </w:p>
    <w:p w14:paraId="0E0CD9BE" w14:textId="77777777" w:rsidR="0098060A" w:rsidRDefault="0098060A" w:rsidP="0098060A">
      <w:pPr>
        <w:ind w:right="368"/>
        <w:jc w:val="both"/>
        <w:rPr>
          <w:rFonts w:ascii="Open Sans" w:hAnsi="Open Sans" w:cs="Open Sans"/>
          <w:sz w:val="24"/>
          <w:szCs w:val="24"/>
        </w:rPr>
      </w:pPr>
    </w:p>
    <w:p w14:paraId="1E0A0014" w14:textId="77777777" w:rsidR="0098060A" w:rsidRDefault="0098060A" w:rsidP="0098060A">
      <w:pPr>
        <w:ind w:right="368"/>
        <w:jc w:val="both"/>
        <w:rPr>
          <w:rFonts w:ascii="Open Sans" w:hAnsi="Open Sans" w:cs="Open Sans"/>
          <w:sz w:val="24"/>
          <w:szCs w:val="24"/>
        </w:rPr>
      </w:pPr>
      <w:proofErr w:type="gramStart"/>
      <w:r>
        <w:rPr>
          <w:rFonts w:ascii="Open Sans" w:hAnsi="Open Sans" w:cs="Open Sans"/>
          <w:sz w:val="24"/>
          <w:szCs w:val="24"/>
        </w:rPr>
        <w:lastRenderedPageBreak/>
        <w:t>“AGRAVO DE INSTRUMENTO EM RECURSO DE REVISTA.</w:t>
      </w:r>
      <w:proofErr w:type="gramEnd"/>
      <w:r>
        <w:rPr>
          <w:rFonts w:ascii="Open Sans" w:hAnsi="Open Sans" w:cs="Open Sans"/>
          <w:sz w:val="24"/>
          <w:szCs w:val="24"/>
        </w:rPr>
        <w:t xml:space="preserve"> RITO SUMARÍSSIMO. EXTINÇÃO DO CONTRATO DE TRABALHO NA VIGÊNCIA DA CADUCA MP Nº 927/20. FORÇA MAIOR. DIFICULDADE FINANCEIRA. QUADRO PANDÊMICO DECORRENTE DO COVID-19 (SARS-COV-2). CONFIGURAÇÃO. Sabe-se que, por força do princípio da alteridade, o empregador deve arcar com os riscos de seu empreendimento, na forma do art. 2º da CLT. Nos termos do art. 501 da CLT, “entende-se como força maior todo acontecimento inevitável, em relação à vontade do empregador, e para a realização do qual este não concorreu, direta ou indiretamente.” O §2ºdo mesmo dispositivo, por sua vez, determina que</w:t>
      </w:r>
      <w:r>
        <w:rPr>
          <w:rFonts w:ascii="Open Sans" w:hAnsi="Open Sans" w:cs="Open Sans"/>
          <w:i/>
          <w:sz w:val="24"/>
          <w:szCs w:val="24"/>
        </w:rPr>
        <w:t xml:space="preserve"> “A ocorrência do motivo de força maior que não afetar substancialmente, nem for suscetível de afetar, em tais condições, a situação econômica e financeira da empresa não se aplicam as restrições desta Lei referentes ao disposto neste Capítulo.”</w:t>
      </w:r>
      <w:r>
        <w:rPr>
          <w:rFonts w:ascii="Open Sans" w:hAnsi="Open Sans" w:cs="Open Sans"/>
          <w:sz w:val="24"/>
          <w:szCs w:val="24"/>
        </w:rPr>
        <w:t xml:space="preserve"> As restrições impostas pela norma consolidada, portanto, são aplicáveis apenas quando a situação econômica e financeira da empresa é afetada de tal modo que impossibilite a execução parcial e/ou total de suas atividades. É fato que o c. TST vem decidindo que a dificuldade financeira enfrentada pelas empresas, por constituir risco previsível da atividade econômica desenvolvida pelo empregador, não se enquadra como episódio de força maior. Precedentes. No entanto, a caduca MP 927/20, a qual dispunha sobre as medidas trabalhistas a serem adotadas pelas empresas para a preservação do emprego, por conta dos efeitos nefastos causados pela pandemia do Covid-19, vigente ao tempo da dispensa do empregado, equiparou o estado de calamidade pública, relacionado ao </w:t>
      </w:r>
      <w:proofErr w:type="spellStart"/>
      <w:r>
        <w:rPr>
          <w:rFonts w:ascii="Open Sans" w:hAnsi="Open Sans" w:cs="Open Sans"/>
          <w:sz w:val="24"/>
          <w:szCs w:val="24"/>
        </w:rPr>
        <w:t>coronavírus</w:t>
      </w:r>
      <w:proofErr w:type="spellEnd"/>
      <w:r>
        <w:rPr>
          <w:rFonts w:ascii="Open Sans" w:hAnsi="Open Sans" w:cs="Open Sans"/>
          <w:sz w:val="24"/>
          <w:szCs w:val="24"/>
        </w:rPr>
        <w:t xml:space="preserve"> (COVID 19), à hipótese de força maior (art. 1º, parágrafo único). Verdade que o Decreto Federal 10.282/20 definiu o transporte intermunicipal, interestadual e internacional de passageiros como atividade essencial. Não passa despercebido, entretanto, que as ações de combate e prevenção ao </w:t>
      </w:r>
      <w:proofErr w:type="spellStart"/>
      <w:r>
        <w:rPr>
          <w:rFonts w:ascii="Open Sans" w:hAnsi="Open Sans" w:cs="Open Sans"/>
          <w:sz w:val="24"/>
          <w:szCs w:val="24"/>
        </w:rPr>
        <w:t>coronavírus</w:t>
      </w:r>
      <w:proofErr w:type="spellEnd"/>
      <w:r>
        <w:rPr>
          <w:rFonts w:ascii="Open Sans" w:hAnsi="Open Sans" w:cs="Open Sans"/>
          <w:sz w:val="24"/>
          <w:szCs w:val="24"/>
        </w:rPr>
        <w:t xml:space="preserve"> (COVID 19) impuseram nova dinâmica à </w:t>
      </w:r>
      <w:proofErr w:type="gramStart"/>
      <w:r>
        <w:rPr>
          <w:rFonts w:ascii="Open Sans" w:hAnsi="Open Sans" w:cs="Open Sans"/>
          <w:sz w:val="24"/>
          <w:szCs w:val="24"/>
        </w:rPr>
        <w:t>mobilidade</w:t>
      </w:r>
      <w:proofErr w:type="gramEnd"/>
      <w:r>
        <w:rPr>
          <w:rFonts w:ascii="Open Sans" w:hAnsi="Open Sans" w:cs="Open Sans"/>
          <w:sz w:val="24"/>
          <w:szCs w:val="24"/>
        </w:rPr>
        <w:t xml:space="preserve"> nas cidades. As medidas de distanciamento social, isolamento e a quarentena, que determinaram compulsoriamente por meio de decretos legislativos estaduais e municipais, o fechamento parcial e/ou total do comércio, de locais públicos ou acessíveis ao público, de escolas, bancos e serviços, a proibição de viagens nacionais e internacionais, além da </w:t>
      </w:r>
      <w:proofErr w:type="gramStart"/>
      <w:r>
        <w:rPr>
          <w:rFonts w:ascii="Open Sans" w:hAnsi="Open Sans" w:cs="Open Sans"/>
          <w:sz w:val="24"/>
          <w:szCs w:val="24"/>
        </w:rPr>
        <w:t>flexibilização</w:t>
      </w:r>
      <w:proofErr w:type="gramEnd"/>
      <w:r>
        <w:rPr>
          <w:rFonts w:ascii="Open Sans" w:hAnsi="Open Sans" w:cs="Open Sans"/>
          <w:sz w:val="24"/>
          <w:szCs w:val="24"/>
        </w:rPr>
        <w:t xml:space="preserve"> do </w:t>
      </w:r>
      <w:proofErr w:type="spellStart"/>
      <w:r>
        <w:rPr>
          <w:rFonts w:ascii="Open Sans" w:hAnsi="Open Sans" w:cs="Open Sans"/>
          <w:sz w:val="24"/>
          <w:szCs w:val="24"/>
        </w:rPr>
        <w:t>teletrabalho</w:t>
      </w:r>
      <w:proofErr w:type="spellEnd"/>
      <w:r>
        <w:rPr>
          <w:rFonts w:ascii="Open Sans" w:hAnsi="Open Sans" w:cs="Open Sans"/>
          <w:sz w:val="24"/>
          <w:szCs w:val="24"/>
        </w:rPr>
        <w:t xml:space="preserve">, causaram de forma inconteste a queda brusca da demanda de passageiros, o que obrigou as empresas que atuam no ramo de transporte de passageiros em estradas e rodovias, como é o caso da ora ré, a reduzirem frotas e a frequência das linhas de ônibus (adequação oferta/demanda), implicando sem sombra de dúvida a redução significativa de faturamento e, portanto, eventual comprometimento de obrigações contratuais e fiscais em determinados casos. Não se olvida que em circunstâncias tais, o eventual equilíbrio das prestações às quais as empresas se obrigaram sofreu alteração significativa, tornando o pactuado, muitas vezes, impossível de ser cumprido naquele momento, sem o comprometimento de outras obrigações trabalhistas e fiscais, a ponto de aproximar, nas relações de </w:t>
      </w:r>
      <w:r>
        <w:rPr>
          <w:rFonts w:ascii="Open Sans" w:hAnsi="Open Sans" w:cs="Open Sans"/>
          <w:sz w:val="24"/>
          <w:szCs w:val="24"/>
        </w:rPr>
        <w:lastRenderedPageBreak/>
        <w:t xml:space="preserve">trabalho, tamanho o impacto, a teoria do fortuito com a da imprevisão na busca de soluções de enfrentamento. São vários os dispositivos legais, civis, trabalhistas e processuais que, com base na força maior e na imprevisão, dão suporte a essa conclusão: </w:t>
      </w:r>
      <w:proofErr w:type="spellStart"/>
      <w:r>
        <w:rPr>
          <w:rFonts w:ascii="Open Sans" w:hAnsi="Open Sans" w:cs="Open Sans"/>
          <w:sz w:val="24"/>
          <w:szCs w:val="24"/>
        </w:rPr>
        <w:t>arts</w:t>
      </w:r>
      <w:proofErr w:type="spellEnd"/>
      <w:r>
        <w:rPr>
          <w:rFonts w:ascii="Open Sans" w:hAnsi="Open Sans" w:cs="Open Sans"/>
          <w:sz w:val="24"/>
          <w:szCs w:val="24"/>
        </w:rPr>
        <w:t xml:space="preserve">. 317, 413, 478 a 480 do Código Civil; 873 da CLT; e 505, I, do CPC, sem falar na Lei nº 14.010/2020, que suspendeu, dentre outras providências, até mesmo prazos prescricionais e decadenciais, liminares para desocupação de imóveis. Em que pese a toda a fundamentação exposta, ressalta-se que o art. 502 da CLT, plenamente válido no período de vigência da MP 927/20 (sequer mencionado na MP 927/90), estabelece que </w:t>
      </w:r>
      <w:r>
        <w:rPr>
          <w:rFonts w:ascii="Open Sans" w:hAnsi="Open Sans" w:cs="Open Sans"/>
          <w:i/>
          <w:sz w:val="24"/>
          <w:szCs w:val="24"/>
        </w:rPr>
        <w:t xml:space="preserve">“ocorrendo motivo de força maior que determine a extinção da empresa, ou de um dos estabelecimentos em que trabalhe o empregado, é assegurada a este, quando despedido, uma indenização na forma seguinte: I - sendo estável, nos termos dos </w:t>
      </w:r>
      <w:proofErr w:type="spellStart"/>
      <w:r>
        <w:rPr>
          <w:rFonts w:ascii="Open Sans" w:hAnsi="Open Sans" w:cs="Open Sans"/>
          <w:i/>
          <w:sz w:val="24"/>
          <w:szCs w:val="24"/>
        </w:rPr>
        <w:t>arts</w:t>
      </w:r>
      <w:proofErr w:type="spellEnd"/>
      <w:r>
        <w:rPr>
          <w:rFonts w:ascii="Open Sans" w:hAnsi="Open Sans" w:cs="Open Sans"/>
          <w:i/>
          <w:sz w:val="24"/>
          <w:szCs w:val="24"/>
        </w:rPr>
        <w:t>. 477 e 478; II - não tendo direito à estabilidade, metade da que seria devida em caso de rescisão sem justa causa; III - havendo contrato por prazo determinado, aquela a que se refere o art. 479 desta Lei, reduzida igualmente à metade.”</w:t>
      </w:r>
      <w:r>
        <w:rPr>
          <w:rFonts w:ascii="Open Sans" w:hAnsi="Open Sans" w:cs="Open Sans"/>
          <w:sz w:val="24"/>
          <w:szCs w:val="24"/>
        </w:rPr>
        <w:t xml:space="preserve"> Portanto, não se acolherá a arguição de força maior como justificativa para rescindir contratos de trabalho se a empresa não foi extinta, ou seja, se não encerrou suas atividades. Efetivamente, o foco dos normativos editados pelo governo federal para o enfrentamento da crise mundial, notadamente as caducas MP 927/20 e 928/20 e a MP 936/20, esta convertida na Lei 14.020/20, que promoveram a </w:t>
      </w:r>
      <w:proofErr w:type="gramStart"/>
      <w:r>
        <w:rPr>
          <w:rFonts w:ascii="Open Sans" w:hAnsi="Open Sans" w:cs="Open Sans"/>
          <w:sz w:val="24"/>
          <w:szCs w:val="24"/>
        </w:rPr>
        <w:t>flexibilização</w:t>
      </w:r>
      <w:proofErr w:type="gramEnd"/>
      <w:r>
        <w:rPr>
          <w:rFonts w:ascii="Open Sans" w:hAnsi="Open Sans" w:cs="Open Sans"/>
          <w:sz w:val="24"/>
          <w:szCs w:val="24"/>
        </w:rPr>
        <w:t xml:space="preserve"> temporária em pontos sensíveis da legislação trabalhista, não foi permitir rescisões contratuais ou a mera supressão de direitos de forma unilateral e temerária por parte do empregador, mas exclusivamente proporcionar meios mais céleres e menos burocráticos, prestigiando o diálogo e o bom senso, para garantir a continuidade das atividades laborais e empresariais e, por consequência, preservar o pleno emprego e a renda do trabalhador.  In </w:t>
      </w:r>
      <w:proofErr w:type="spellStart"/>
      <w:r>
        <w:rPr>
          <w:rFonts w:ascii="Open Sans" w:hAnsi="Open Sans" w:cs="Open Sans"/>
          <w:sz w:val="24"/>
          <w:szCs w:val="24"/>
        </w:rPr>
        <w:t>casu</w:t>
      </w:r>
      <w:proofErr w:type="spellEnd"/>
      <w:r>
        <w:rPr>
          <w:rFonts w:ascii="Open Sans" w:hAnsi="Open Sans" w:cs="Open Sans"/>
          <w:sz w:val="24"/>
          <w:szCs w:val="24"/>
        </w:rPr>
        <w:t xml:space="preserve">, a ré fundamentou o apelo na alegação de afronta ao art. 7º, XXVI, da Constituição Federal, o que não se viabiliza. Conforme consignado pela Corte Regional, </w:t>
      </w:r>
      <w:r>
        <w:rPr>
          <w:rFonts w:ascii="Open Sans" w:hAnsi="Open Sans" w:cs="Open Sans"/>
          <w:i/>
          <w:sz w:val="24"/>
          <w:szCs w:val="24"/>
        </w:rPr>
        <w:t>“o Acordo Coletivo de Trabalho juntado em ID. 283ff86 e as Atas de Reuniões Emergenciais colacionadas em ID. 5523aa9 não previram a supressão do pagamento do aviso prévio nem a quitação de 13º salário proporcional a menor ou multa do FGTS pela metade no caso de rescisão sem justa causa, pelo contrário, convencionaram diversas medidas a serem adotadas para manutenção dos contratos de trabalho”</w:t>
      </w:r>
      <w:r>
        <w:rPr>
          <w:rFonts w:ascii="Open Sans" w:hAnsi="Open Sans" w:cs="Open Sans"/>
          <w:sz w:val="24"/>
          <w:szCs w:val="24"/>
        </w:rPr>
        <w:t xml:space="preserve">. Assim, arrematou que </w:t>
      </w:r>
      <w:r>
        <w:rPr>
          <w:rFonts w:ascii="Open Sans" w:hAnsi="Open Sans" w:cs="Open Sans"/>
          <w:i/>
          <w:sz w:val="24"/>
          <w:szCs w:val="24"/>
        </w:rPr>
        <w:t>“não se trata de negar validade aos ajustes coletivos, mas de ausência de permissivo de quitação a menor do acerto rescisório.”</w:t>
      </w:r>
      <w:r>
        <w:rPr>
          <w:rFonts w:ascii="Open Sans" w:hAnsi="Open Sans" w:cs="Open Sans"/>
          <w:sz w:val="24"/>
          <w:szCs w:val="24"/>
        </w:rPr>
        <w:t xml:space="preserve"> Já que não se deixou de reconhecer, portanto, a validade de ajustes coletivos, a rejeição da pretensão recursal quanto ao pagamento das verbas rescisórias pertinentes, no particular, na forma do art. 502 da CLT, não afronta o art. 7º, XXVI, da Constituição Federal. </w:t>
      </w:r>
      <w:proofErr w:type="gramStart"/>
      <w:r>
        <w:rPr>
          <w:rFonts w:ascii="Open Sans" w:hAnsi="Open Sans" w:cs="Open Sans"/>
          <w:sz w:val="24"/>
          <w:szCs w:val="24"/>
        </w:rPr>
        <w:t>Agravo de instrumento conhecido e desprovido.”</w:t>
      </w:r>
      <w:proofErr w:type="gramEnd"/>
      <w:r>
        <w:rPr>
          <w:rFonts w:ascii="Open Sans" w:hAnsi="Open Sans" w:cs="Open Sans"/>
          <w:sz w:val="24"/>
          <w:szCs w:val="24"/>
        </w:rPr>
        <w:t xml:space="preserve"> (</w:t>
      </w:r>
      <w:hyperlink r:id="rId16" w:history="1">
        <w:r>
          <w:rPr>
            <w:rStyle w:val="Hyperlink"/>
            <w:rFonts w:ascii="Open Sans" w:hAnsi="Open Sans" w:cs="Open Sans"/>
            <w:sz w:val="24"/>
            <w:szCs w:val="24"/>
          </w:rPr>
          <w:t>TST-AIRR-10402-15.2020.5.03.0008</w:t>
        </w:r>
      </w:hyperlink>
      <w:r>
        <w:rPr>
          <w:rFonts w:ascii="Open Sans" w:hAnsi="Open Sans" w:cs="Open Sans"/>
          <w:sz w:val="24"/>
          <w:szCs w:val="24"/>
        </w:rPr>
        <w:t>, 3ª Turma, rel. Min. Alexandre de Souza Agra Belmonte, julgado em 10/11/2021.)</w:t>
      </w:r>
    </w:p>
    <w:p w14:paraId="00B1BFA2" w14:textId="77777777" w:rsidR="0098060A" w:rsidRDefault="0098060A" w:rsidP="0098060A">
      <w:pPr>
        <w:ind w:right="368"/>
        <w:jc w:val="both"/>
        <w:rPr>
          <w:rFonts w:ascii="Open Sans" w:hAnsi="Open Sans" w:cs="Open Sans"/>
          <w:sz w:val="24"/>
          <w:szCs w:val="24"/>
        </w:rPr>
      </w:pPr>
    </w:p>
    <w:p w14:paraId="3E115E74" w14:textId="77777777" w:rsidR="0098060A" w:rsidRDefault="0098060A" w:rsidP="0098060A">
      <w:pPr>
        <w:ind w:right="368"/>
        <w:jc w:val="both"/>
        <w:rPr>
          <w:rFonts w:ascii="Open Sans" w:hAnsi="Open Sans" w:cs="Open Sans"/>
          <w:color w:val="000000"/>
          <w:sz w:val="24"/>
          <w:szCs w:val="24"/>
        </w:rPr>
      </w:pPr>
      <w:r>
        <w:rPr>
          <w:rFonts w:ascii="Open Sans" w:hAnsi="Open Sans" w:cs="Open Sans"/>
          <w:color w:val="000000"/>
          <w:sz w:val="24"/>
          <w:szCs w:val="24"/>
        </w:rPr>
        <w:lastRenderedPageBreak/>
        <w:t xml:space="preserve">“[...] RECURSO DE REVISTA – ACORDO EXTRAJUDICIAL HOMOLOGADO EM JUÍZO – PROCEDIMENTO DE JURISDIÇÃO VOLUNTÁRIA – ARTS. 855-B A 855-E DA CLT – QUITAÇÃO GERAL - TRANSCENDÊNCIA JURÍDICA. </w:t>
      </w:r>
      <w:proofErr w:type="gramStart"/>
      <w:r>
        <w:rPr>
          <w:rFonts w:ascii="Open Sans" w:hAnsi="Open Sans" w:cs="Open Sans"/>
          <w:color w:val="000000"/>
          <w:sz w:val="24"/>
          <w:szCs w:val="24"/>
        </w:rPr>
        <w:t>1</w:t>
      </w:r>
      <w:proofErr w:type="gramEnd"/>
      <w:r>
        <w:rPr>
          <w:rFonts w:ascii="Open Sans" w:hAnsi="Open Sans" w:cs="Open Sans"/>
          <w:color w:val="000000"/>
          <w:sz w:val="24"/>
          <w:szCs w:val="24"/>
        </w:rPr>
        <w:t xml:space="preserve">. Problema que sempre atormentou o empregador foi o relativo à rescisão do contrato de trabalho e da quitação dos haveres trabalhistas, de modo a não permanecer com a espada de </w:t>
      </w:r>
      <w:proofErr w:type="spellStart"/>
      <w:r>
        <w:rPr>
          <w:rFonts w:ascii="Open Sans" w:hAnsi="Open Sans" w:cs="Open Sans"/>
          <w:color w:val="000000"/>
          <w:sz w:val="24"/>
          <w:szCs w:val="24"/>
        </w:rPr>
        <w:t>Dâmocles</w:t>
      </w:r>
      <w:proofErr w:type="spellEnd"/>
      <w:r>
        <w:rPr>
          <w:rFonts w:ascii="Open Sans" w:hAnsi="Open Sans" w:cs="Open Sans"/>
          <w:color w:val="000000"/>
          <w:sz w:val="24"/>
          <w:szCs w:val="24"/>
        </w:rPr>
        <w:t xml:space="preserve"> sobre sua cabeça. 2. A ineficácia prática da homologação da rescisão contratual do sindicato, em face do teor da Súmula 330 do TST, dada a não quitação integral do contrato de trabalho, levou a SBDI-2 desta Corte a não reputar simulada a lide visando à homologação de acordo pela Justiça do Trabalho, pois só assim se conseguiria colocar fim ao conflito laboral e dar segurança jurídica às partes do distrato (cfr. TST-ROAR-103900-90.2005.5.04.0000, Rel. Min. Ives Gandra Martins Filho, DEJT de 12/09/08). 3. Para resolver tal problema, a Lei 13.467/17, em vigor desde 11/11/17, instituiu o procedimento de jurisdição voluntária na Justiça do Trabalho atinente à homologação, em juízo, de acordo extrajudicial, nos termos dos </w:t>
      </w:r>
      <w:proofErr w:type="spellStart"/>
      <w:r>
        <w:rPr>
          <w:rFonts w:ascii="Open Sans" w:hAnsi="Open Sans" w:cs="Open Sans"/>
          <w:color w:val="000000"/>
          <w:sz w:val="24"/>
          <w:szCs w:val="24"/>
        </w:rPr>
        <w:t>arts</w:t>
      </w:r>
      <w:proofErr w:type="spellEnd"/>
      <w:r>
        <w:rPr>
          <w:rFonts w:ascii="Open Sans" w:hAnsi="Open Sans" w:cs="Open Sans"/>
          <w:color w:val="000000"/>
          <w:sz w:val="24"/>
          <w:szCs w:val="24"/>
        </w:rPr>
        <w:t xml:space="preserve">. 855-B a 855-E da CLT, juntamente com o fito de colocar termo ao contrato de trabalho. 4. Da simples leitura dos novos comandos de lei, notadamente do art. 855-C da CLT, extrai-se a vocação prioritária dos acordos extrajudiciais para regular a rescisão contratual e, portanto, o fim da relação contratual de trabalho. Não fosse a possibilidade da quitação geral do contrato de trabalho com a chancela do Judiciário e o Capítulo III-A não teria sido acrescido ao Título X da CLT, que trata do Processo Judiciário do Trabalho. 5. Curial, ainda, trazer à baila, que a ideia que indelevelmente adere ao acordo extrajudicial é a de que, retirada uma das cláusulas que o compõem, a parte a quem ela favoreceria não faria o acordo. A alternativa que caberia ao Judiciário, portanto, seria a homologação integral ou a rejeição da proposta, se eivada de vícios. Tal entendimento resta corroborado pelo STF </w:t>
      </w:r>
      <w:proofErr w:type="gramStart"/>
      <w:r>
        <w:rPr>
          <w:rFonts w:ascii="Open Sans" w:hAnsi="Open Sans" w:cs="Open Sans"/>
          <w:color w:val="000000"/>
          <w:sz w:val="24"/>
          <w:szCs w:val="24"/>
        </w:rPr>
        <w:t>quanto</w:t>
      </w:r>
      <w:proofErr w:type="gramEnd"/>
      <w:r>
        <w:rPr>
          <w:rFonts w:ascii="Open Sans" w:hAnsi="Open Sans" w:cs="Open Sans"/>
          <w:color w:val="000000"/>
          <w:sz w:val="24"/>
          <w:szCs w:val="24"/>
        </w:rPr>
        <w:t xml:space="preserve"> à circunstância de a validade do acordo depender da homologação integral ou de sua rejeição total, não podendo ser balanceado pelo Poder Judiciário (Voto do Min. </w:t>
      </w:r>
      <w:proofErr w:type="spellStart"/>
      <w:r>
        <w:rPr>
          <w:rFonts w:ascii="Open Sans" w:hAnsi="Open Sans" w:cs="Open Sans"/>
          <w:color w:val="000000"/>
          <w:sz w:val="24"/>
          <w:szCs w:val="24"/>
        </w:rPr>
        <w:t>Teori</w:t>
      </w:r>
      <w:proofErr w:type="spellEnd"/>
      <w:r>
        <w:rPr>
          <w:rFonts w:ascii="Open Sans" w:hAnsi="Open Sans" w:cs="Open Sans"/>
          <w:color w:val="000000"/>
          <w:sz w:val="24"/>
          <w:szCs w:val="24"/>
        </w:rPr>
        <w:t xml:space="preserve"> Zavascki no </w:t>
      </w:r>
      <w:proofErr w:type="spellStart"/>
      <w:r>
        <w:rPr>
          <w:rFonts w:ascii="Open Sans" w:hAnsi="Open Sans" w:cs="Open Sans"/>
          <w:color w:val="000000"/>
          <w:sz w:val="24"/>
          <w:szCs w:val="24"/>
        </w:rPr>
        <w:t>leading</w:t>
      </w:r>
      <w:proofErr w:type="spellEnd"/>
      <w:r>
        <w:rPr>
          <w:rFonts w:ascii="Open Sans" w:hAnsi="Open Sans" w:cs="Open Sans"/>
          <w:color w:val="000000"/>
          <w:sz w:val="24"/>
          <w:szCs w:val="24"/>
        </w:rPr>
        <w:t xml:space="preserve"> case STF-RE 590.715/SC, Rel. Min. Roberto Barroso, </w:t>
      </w:r>
      <w:proofErr w:type="spellStart"/>
      <w:r>
        <w:rPr>
          <w:rFonts w:ascii="Open Sans" w:hAnsi="Open Sans" w:cs="Open Sans"/>
          <w:color w:val="000000"/>
          <w:sz w:val="24"/>
          <w:szCs w:val="24"/>
        </w:rPr>
        <w:t>DJe</w:t>
      </w:r>
      <w:proofErr w:type="spellEnd"/>
      <w:r>
        <w:rPr>
          <w:rFonts w:ascii="Open Sans" w:hAnsi="Open Sans" w:cs="Open Sans"/>
          <w:color w:val="000000"/>
          <w:sz w:val="24"/>
          <w:szCs w:val="24"/>
        </w:rPr>
        <w:t xml:space="preserve"> de 29/05/15). 6. Nesse sentido, o art. 855-B, §§ 1º e 2º, da CLT, que trata da apresentação do acordo extrajudicial à Justiça, a par dos requisitos gerais de validade dos negócios jurídicos que se aplicam ao Direito do Trabalho, nos termos do art. 8º, § 1º, da Lei Consolidada e que perfazem o ato jurídico perfeito (CC, art. 104 – agente capaz, objeto lícito e forma prescrita ou não vedada por lei), traçou as balizas para a apresentação do acordo extrajudicial apto à homologação judicial: petição conjunta dos interessados e advogados distintos, podendo haver assistência sindical para o trabalhador. 7. A petição conjuntamente assinada para a apresentação do requerimento de homologação ao juiz de piso serve à demonstração da anuência mútua dos interessados em por fim ao contratado, e, os advogados distintos, à garantia de que as pretensões estarão sendo individualmente respeitadas. Assim, a atuação do Judiciário Laboral na tarefa de jurisdição voluntária </w:t>
      </w:r>
      <w:r>
        <w:rPr>
          <w:rFonts w:ascii="Open Sans" w:hAnsi="Open Sans" w:cs="Open Sans"/>
          <w:color w:val="000000"/>
          <w:sz w:val="24"/>
          <w:szCs w:val="24"/>
        </w:rPr>
        <w:lastRenderedPageBreak/>
        <w:t xml:space="preserve">é binária: homologar ou não o acordo. Não lhe é dado substituir-se às partes e homologar parcialmente o acordo, se este tinha por finalidade quitar integralmente o contrato de trabalho extinto. Sem quitação geral, o empregador não proporia o acordo, nem se disporia a manter todas as vantagens nele contida. 8. No caso concreto, o Regional, mantendo a sentença, assentou que a homologação em juízo, por meio de um procedimento de jurisdição voluntária, deve ser interpretada restritivamente (art. 843 do CC), não alcançando, por conseguinte, as parcelas que não foram objeto da avença (art. 515, § 2º, do CPC). 9. Nesse sentido, a conclusão acerca da invalidade, total ou parcial, do pacto extrajudicial, por impossibilidade de “renúncia” de direitos diz menos com a validação extrínseca do negócio jurídico do que com a razoabilidade intrínseca do acordo, cujo questionamento não cabe ao Judiciário nesse procedimento, pois lhe esvazia o sentido e estabelece limites e discussões não queridos pelos Requerentes ao ajuizar o procedimento. 10. Ora, estando presentes os requisitos gerais do negócio jurídico e os específicos preconizados pela lei trabalhista (CLT, art. 855-B), não há de se questionar a vontade das Partes envolvidas e do mérito do acordado, notadamente quando a lei requer a presença de advogado para o empregado, rechaçando, nesta situação, o uso do </w:t>
      </w:r>
      <w:r>
        <w:rPr>
          <w:rFonts w:ascii="Open Sans" w:hAnsi="Open Sans" w:cs="Open Sans"/>
          <w:i/>
          <w:color w:val="000000"/>
          <w:sz w:val="24"/>
          <w:szCs w:val="24"/>
        </w:rPr>
        <w:t xml:space="preserve">jus </w:t>
      </w:r>
      <w:proofErr w:type="spellStart"/>
      <w:r>
        <w:rPr>
          <w:rFonts w:ascii="Open Sans" w:hAnsi="Open Sans" w:cs="Open Sans"/>
          <w:i/>
          <w:color w:val="000000"/>
          <w:sz w:val="24"/>
          <w:szCs w:val="24"/>
        </w:rPr>
        <w:t>postulandi</w:t>
      </w:r>
      <w:proofErr w:type="spellEnd"/>
      <w:r>
        <w:rPr>
          <w:rFonts w:ascii="Open Sans" w:hAnsi="Open Sans" w:cs="Open Sans"/>
          <w:color w:val="000000"/>
          <w:sz w:val="24"/>
          <w:szCs w:val="24"/>
        </w:rPr>
        <w:t xml:space="preserve"> do art. 791 da CLT, como se depreende do art. 855-B, § 1º, da CLT. 11. Assim sendo, é válido o termo de transação extrajudicial apresentado pelos Interessados, com quitação geral e irrestrita do contrato havido, nessas condições, que deve ser homologado. </w:t>
      </w:r>
      <w:proofErr w:type="gramStart"/>
      <w:r>
        <w:rPr>
          <w:rFonts w:ascii="Open Sans" w:hAnsi="Open Sans" w:cs="Open Sans"/>
          <w:color w:val="000000"/>
          <w:sz w:val="24"/>
          <w:szCs w:val="24"/>
        </w:rPr>
        <w:t>Recurso de revista provido.”</w:t>
      </w:r>
      <w:proofErr w:type="gramEnd"/>
      <w:r>
        <w:rPr>
          <w:rFonts w:ascii="Open Sans" w:hAnsi="Open Sans" w:cs="Open Sans"/>
          <w:color w:val="000000"/>
          <w:sz w:val="24"/>
          <w:szCs w:val="24"/>
        </w:rPr>
        <w:t xml:space="preserve"> (</w:t>
      </w:r>
      <w:hyperlink r:id="rId17" w:history="1">
        <w:r>
          <w:rPr>
            <w:rStyle w:val="Hyperlink"/>
            <w:rFonts w:ascii="Open Sans" w:hAnsi="Open Sans" w:cs="Open Sans"/>
            <w:sz w:val="24"/>
            <w:szCs w:val="24"/>
          </w:rPr>
          <w:t>TST-RRAg-1001365-34.2018.5.02.0431</w:t>
        </w:r>
      </w:hyperlink>
      <w:r>
        <w:rPr>
          <w:rFonts w:ascii="Open Sans" w:hAnsi="Open Sans" w:cs="Open Sans"/>
          <w:sz w:val="24"/>
          <w:szCs w:val="24"/>
        </w:rPr>
        <w:t>,</w:t>
      </w:r>
      <w:r>
        <w:rPr>
          <w:rFonts w:ascii="Open Sans" w:hAnsi="Open Sans" w:cs="Open Sans"/>
          <w:color w:val="000000"/>
          <w:sz w:val="24"/>
          <w:szCs w:val="24"/>
        </w:rPr>
        <w:t xml:space="preserve"> 4ª Turma, rel. Min. Ives Gandra da Silva Martins Filho, julgado em 16/11/2021.)</w:t>
      </w:r>
    </w:p>
    <w:p w14:paraId="3B614F40" w14:textId="77777777" w:rsidR="0098060A" w:rsidRDefault="0098060A" w:rsidP="0098060A">
      <w:pPr>
        <w:ind w:right="368"/>
        <w:jc w:val="both"/>
        <w:rPr>
          <w:rFonts w:ascii="Open Sans" w:hAnsi="Open Sans" w:cs="Open Sans"/>
          <w:color w:val="000000"/>
          <w:sz w:val="24"/>
          <w:szCs w:val="24"/>
        </w:rPr>
      </w:pPr>
    </w:p>
    <w:p w14:paraId="1F2A17A7" w14:textId="77777777" w:rsidR="0098060A" w:rsidRPr="008601A7" w:rsidRDefault="0098060A" w:rsidP="0098060A">
      <w:pPr>
        <w:pStyle w:val="Ementa"/>
        <w:ind w:left="0" w:right="368"/>
        <w:outlineLvl w:val="0"/>
        <w:rPr>
          <w:rFonts w:ascii="Open Sans" w:hAnsi="Open Sans" w:cs="Open Sans"/>
          <w:i/>
          <w:color w:val="000000" w:themeColor="text1"/>
          <w:lang w:val="pt-BR"/>
        </w:rPr>
      </w:pPr>
      <w:bookmarkStart w:id="0" w:name="Ementa"/>
      <w:bookmarkStart w:id="1" w:name="tempEmenta"/>
      <w:r w:rsidRPr="008601A7">
        <w:rPr>
          <w:rFonts w:ascii="Open Sans" w:hAnsi="Open Sans" w:cs="Open Sans"/>
          <w:color w:val="000000" w:themeColor="text1"/>
          <w:lang w:val="pt-BR"/>
        </w:rPr>
        <w:t>“</w:t>
      </w:r>
      <w:bookmarkEnd w:id="0"/>
      <w:r w:rsidRPr="008601A7">
        <w:rPr>
          <w:rFonts w:ascii="Open Sans" w:hAnsi="Open Sans" w:cs="Open Sans"/>
          <w:color w:val="000000" w:themeColor="text1"/>
          <w:lang w:val="pt-BR"/>
        </w:rPr>
        <w:t xml:space="preserve">AGRAVO DE INSTRUMENTO EM RECURSO DE REVISTA. ACÓRDÃO PUBLICADO NA VIGÊNCIA DA LEI Nº 13.467/2017. </w:t>
      </w:r>
      <w:r w:rsidRPr="008601A7">
        <w:rPr>
          <w:rFonts w:ascii="Open Sans" w:hAnsi="Open Sans" w:cs="Open Sans"/>
          <w:bCs/>
          <w:color w:val="000000" w:themeColor="text1"/>
          <w:lang w:val="pt-BR"/>
        </w:rPr>
        <w:t xml:space="preserve">CALAMIDADE PÚBLICA. PANDEMIA DE COVID-19. SAQUE DOS DEPÓSITOS DE FGTS. CONDIÇÕES ESTABELECIDAS NA MP Nº 946/2020. VINCULAÇÃO. TRANSCENDÊNCIA JURÍDICA. </w:t>
      </w:r>
      <w:r w:rsidRPr="008601A7">
        <w:rPr>
          <w:rFonts w:ascii="Open Sans" w:hAnsi="Open Sans" w:cs="Open Sans"/>
          <w:color w:val="000000" w:themeColor="text1"/>
          <w:lang w:val="pt-BR"/>
        </w:rPr>
        <w:t xml:space="preserve">A questão relativa à aplicação das restrições contidas na MP nº 946/2020 à pretensão obreira de saque dos depósitos de FGTS da conta vinculada é nova no âmbito desta Corte Superior, razão pela qual a matéria possui transcendência jurídica. No tema de fundo, contudo, a decisão do Regional, naquilo em que limitou o direito ao saque dos depósitos de FGTS ao valor de R$ 1.045,00 (hum mil e quarenta e cinco reais), nos termos do art. 6º da citada MP nº 946/2020, está em consonância com o posicionamento externado pelo Supremo Tribunal Federal na decisão monocrática proferida pelo relator da Ação Direta de Inconstitucionalidade nº 6.379, na qual o pedido liminar, no sentido de cassar o limite de saque e o cronograma elaborado pela medida provisória, foi rejeitado. Nos termos da fundamentação do Ministro Gilmar Mendes, </w:t>
      </w:r>
      <w:proofErr w:type="gramStart"/>
      <w:r w:rsidRPr="007C3805">
        <w:rPr>
          <w:rFonts w:ascii="Open Sans" w:hAnsi="Open Sans" w:cs="Open Sans"/>
          <w:i/>
          <w:color w:val="000000" w:themeColor="text1"/>
          <w:lang w:val="pt-BR"/>
        </w:rPr>
        <w:t xml:space="preserve">“não me parece que a mera declaração de estado de calamidade pública permita o levantamento do FGTS, independentemente de expedição de outro regulamento específico e autorizativo do </w:t>
      </w:r>
      <w:r w:rsidRPr="007C3805">
        <w:rPr>
          <w:rFonts w:ascii="Open Sans" w:hAnsi="Open Sans" w:cs="Open Sans"/>
          <w:i/>
          <w:color w:val="000000" w:themeColor="text1"/>
          <w:lang w:val="pt-BR"/>
        </w:rPr>
        <w:lastRenderedPageBreak/>
        <w:t>saque.</w:t>
      </w:r>
      <w:proofErr w:type="gramEnd"/>
      <w:r w:rsidRPr="007C3805">
        <w:rPr>
          <w:rFonts w:ascii="Open Sans" w:hAnsi="Open Sans" w:cs="Open Sans"/>
          <w:i/>
          <w:color w:val="000000" w:themeColor="text1"/>
          <w:lang w:val="pt-BR"/>
        </w:rPr>
        <w:t xml:space="preserve"> </w:t>
      </w:r>
      <w:proofErr w:type="gramStart"/>
      <w:r w:rsidRPr="007C3805">
        <w:rPr>
          <w:rFonts w:ascii="Open Sans" w:hAnsi="Open Sans" w:cs="Open Sans"/>
          <w:i/>
          <w:color w:val="000000" w:themeColor="text1"/>
          <w:lang w:val="pt-BR"/>
        </w:rPr>
        <w:t>Em razão disso, justamente, foi editada a Medida Provisória 946/2020, que disciplinou o assunto e permitiu o saque do fundo, no valor de até R$ 1045 por trabalhador, segundo cronograma.”</w:t>
      </w:r>
      <w:proofErr w:type="gramEnd"/>
      <w:r w:rsidRPr="007C3805">
        <w:rPr>
          <w:rFonts w:ascii="Open Sans" w:hAnsi="Open Sans" w:cs="Open Sans"/>
          <w:i/>
          <w:color w:val="000000" w:themeColor="text1"/>
          <w:lang w:val="pt-BR"/>
        </w:rPr>
        <w:t xml:space="preserve"> </w:t>
      </w:r>
      <w:r w:rsidRPr="008601A7">
        <w:rPr>
          <w:rFonts w:ascii="Open Sans" w:hAnsi="Open Sans" w:cs="Open Sans"/>
          <w:color w:val="000000" w:themeColor="text1"/>
          <w:lang w:val="pt-BR"/>
        </w:rPr>
        <w:t xml:space="preserve">Sua Excelência, observou, ainda, que “Não vejo, ao menos nesse juízo liminar, como a concessão do saque do FGTS prevista para o dia 15 de junho de 2020 e em valor fixado em até R$ 1045,00 pode violar os princípios questionados nestas ações diretas de inconstitucionalidade.” Concluiu, ao final, pela ausência do periculum in mora, que para ele seria exatamente o inverso, uma vez que </w:t>
      </w:r>
      <w:r w:rsidRPr="007C3805">
        <w:rPr>
          <w:rFonts w:ascii="Open Sans" w:hAnsi="Open Sans" w:cs="Open Sans"/>
          <w:i/>
          <w:color w:val="000000" w:themeColor="text1"/>
          <w:lang w:val="pt-BR"/>
        </w:rPr>
        <w:t>“o deferimento da liminar postulada poderia, em última análise, prejudicar a capacidade de pagamento do FGTS neste instante, conforme as já citadas informações do Secretário de Política Econômica.”</w:t>
      </w:r>
      <w:r w:rsidRPr="008601A7">
        <w:rPr>
          <w:rFonts w:ascii="Open Sans" w:hAnsi="Open Sans" w:cs="Open Sans"/>
          <w:color w:val="000000" w:themeColor="text1"/>
          <w:lang w:val="pt-BR"/>
        </w:rPr>
        <w:t xml:space="preserve"> Em que pese ainda não haja solução final para esta ação direta de inconstitucionalidade (ou mesmo para a outra ADI que tramita conjuntamente no STF – ADI nº 3.671), parece razoável, diante do cenário jurídico instalado com a MP nº 946/2020, concluir que, de fato, o enquadramento da hipótese específica da pandemia de COVID-19 na seara genérica do art. 20, XVI, da Lei nº 8.036/1990 e do Decreto nº 5.113/2014, liberando saques da conta vinculada, sem respeitar os limites e cronogramas estabelecidos pelas normas regulamentares expedidas pelo Governo Federal, seria invadir um campo de atuação política ligado exclusivamente às atividades típicas dos Poderes Executivo (que gere o fundo) e Legislativo (a quem cabe a apreciação da referida Medida Provisória, assim como a edição normas gerais sobre esse tema). Diante desse contexto, a decisão do Regional merece ser mantida, na medida em que não há, na norma específica editada após a calamidade pública decretada com o surgimento da pandemia de COVID-19 (MP nº 946/2020), previsão capaz de viabilizar o pleito autoral de saque integral dos valores depositados na conta vinculada do FGTS, ou, subsidiariamente, o saque de R$ 6.220,00 (seis mil, duzentos e vinte reais), nos </w:t>
      </w:r>
      <w:proofErr w:type="gramStart"/>
      <w:r w:rsidRPr="008601A7">
        <w:rPr>
          <w:rFonts w:ascii="Open Sans" w:hAnsi="Open Sans" w:cs="Open Sans"/>
          <w:color w:val="000000" w:themeColor="text1"/>
          <w:lang w:val="pt-BR"/>
        </w:rPr>
        <w:t>termos</w:t>
      </w:r>
      <w:proofErr w:type="gramEnd"/>
      <w:r w:rsidRPr="008601A7">
        <w:rPr>
          <w:rFonts w:ascii="Open Sans" w:hAnsi="Open Sans" w:cs="Open Sans"/>
          <w:color w:val="000000" w:themeColor="text1"/>
          <w:lang w:val="pt-BR"/>
        </w:rPr>
        <w:t xml:space="preserve"> do art. 4º do Decreto nº 5.113/2004, o qual é inaplicável à espécie. A interpretação sugerida pela reclamante, no sentido de que o pleito de saque do FGTS por necessidade pessoal ocasionada pela calamidade decorrente da COVID-19 não se confunde com a liberação de saque do FGTS regulamentada pela MP nº 946/2020, pois não teria como pressuposto essa condição de </w:t>
      </w:r>
      <w:r w:rsidRPr="007C3805">
        <w:rPr>
          <w:rFonts w:ascii="Open Sans" w:hAnsi="Open Sans" w:cs="Open Sans"/>
          <w:i/>
          <w:color w:val="000000" w:themeColor="text1"/>
          <w:lang w:val="pt-BR"/>
        </w:rPr>
        <w:t>“necessidade pessoal”</w:t>
      </w:r>
      <w:r w:rsidRPr="008601A7">
        <w:rPr>
          <w:rFonts w:ascii="Open Sans" w:hAnsi="Open Sans" w:cs="Open Sans"/>
          <w:color w:val="000000" w:themeColor="text1"/>
          <w:lang w:val="pt-BR"/>
        </w:rPr>
        <w:t xml:space="preserve">, é um contrassenso, se foi exatamente a dimensão e amplitude econômica da crise causada pela pandemia do </w:t>
      </w:r>
      <w:proofErr w:type="gramStart"/>
      <w:r w:rsidRPr="008601A7">
        <w:rPr>
          <w:rFonts w:ascii="Open Sans" w:hAnsi="Open Sans" w:cs="Open Sans"/>
          <w:color w:val="000000" w:themeColor="text1"/>
          <w:lang w:val="pt-BR"/>
        </w:rPr>
        <w:t>novo Corona</w:t>
      </w:r>
      <w:proofErr w:type="gramEnd"/>
      <w:r w:rsidRPr="008601A7">
        <w:rPr>
          <w:rFonts w:ascii="Open Sans" w:hAnsi="Open Sans" w:cs="Open Sans"/>
          <w:color w:val="000000" w:themeColor="text1"/>
          <w:lang w:val="pt-BR"/>
        </w:rPr>
        <w:t xml:space="preserve"> Vírus (SARS-COV-19) que motivou a edição da referida medida provisória, tendo em vista não apenas a situação de decréscimo de renda e de postos de trabalho para a população, mas, igualmente, a necessidade de manter o fundo hígido. Ou seja, não fosse </w:t>
      </w:r>
      <w:proofErr w:type="gramStart"/>
      <w:r w:rsidRPr="008601A7">
        <w:rPr>
          <w:rFonts w:ascii="Open Sans" w:hAnsi="Open Sans" w:cs="Open Sans"/>
          <w:color w:val="000000" w:themeColor="text1"/>
          <w:lang w:val="pt-BR"/>
        </w:rPr>
        <w:t>a</w:t>
      </w:r>
      <w:proofErr w:type="gramEnd"/>
      <w:r w:rsidRPr="008601A7">
        <w:rPr>
          <w:rFonts w:ascii="Open Sans" w:hAnsi="Open Sans" w:cs="Open Sans"/>
          <w:color w:val="000000" w:themeColor="text1"/>
          <w:lang w:val="pt-BR"/>
        </w:rPr>
        <w:t xml:space="preserve"> calamidade pública decorrente da deflagração dos efeitos econômicos deletérios da COVID-19 uma causa associada exatamente ao art. 20, XVI, da Lei nº 8.036/1990, e com características próprias que impuseram ao Poder Executivo uma regulamentação emergencial mais restritiva, dada a sua amplitude, não haveria necessidade de edição da medida provisória, já que a situação já estaria abraçada pelo Decreto nº 5.113/2004. O intuito do Governo </w:t>
      </w:r>
      <w:r w:rsidRPr="008601A7">
        <w:rPr>
          <w:rFonts w:ascii="Open Sans" w:hAnsi="Open Sans" w:cs="Open Sans"/>
          <w:color w:val="000000" w:themeColor="text1"/>
          <w:lang w:val="pt-BR"/>
        </w:rPr>
        <w:lastRenderedPageBreak/>
        <w:t xml:space="preserve">Federal com essa medida foi organizar a liberação de saques sem promover a ruína do fundo, que possui um relevante papel social que transcende às causas transitórias da atual conjuntura econômica, e deve permanecer fiel à sua missão constitucional de fomentar o desenvolvimento econômico do país e a estabilidade financeira dos trabalhadores em momentos de crise ou necessidade emergencial, mas tudo isso dentro das balizas econômicas traçadas pelos gestores do fundo, </w:t>
      </w:r>
      <w:proofErr w:type="gramStart"/>
      <w:r w:rsidRPr="008601A7">
        <w:rPr>
          <w:rFonts w:ascii="Open Sans" w:hAnsi="Open Sans" w:cs="Open Sans"/>
          <w:color w:val="000000" w:themeColor="text1"/>
          <w:lang w:val="pt-BR"/>
        </w:rPr>
        <w:t>sob pena</w:t>
      </w:r>
      <w:proofErr w:type="gramEnd"/>
      <w:r w:rsidRPr="008601A7">
        <w:rPr>
          <w:rFonts w:ascii="Open Sans" w:hAnsi="Open Sans" w:cs="Open Sans"/>
          <w:color w:val="000000" w:themeColor="text1"/>
          <w:lang w:val="pt-BR"/>
        </w:rPr>
        <w:t xml:space="preserve"> de rompimento brusco de sua liquidez, com consequente vulneração de seus princípios instituidores. A limitação dos saques, ao que tudo indica, foi uma medida de natureza protetiva do fundo, com o intuito de fomentar a liberação limitada de suas reservas, sem descurar do delicado momento econômico dos seus legítimos legatários, já que outras políticas públicas de amparo e assistência social foram </w:t>
      </w:r>
      <w:proofErr w:type="gramStart"/>
      <w:r w:rsidRPr="008601A7">
        <w:rPr>
          <w:rFonts w:ascii="Open Sans" w:hAnsi="Open Sans" w:cs="Open Sans"/>
          <w:color w:val="000000" w:themeColor="text1"/>
          <w:lang w:val="pt-BR"/>
        </w:rPr>
        <w:t>implementadas</w:t>
      </w:r>
      <w:proofErr w:type="gramEnd"/>
      <w:r w:rsidRPr="008601A7">
        <w:rPr>
          <w:rFonts w:ascii="Open Sans" w:hAnsi="Open Sans" w:cs="Open Sans"/>
          <w:color w:val="000000" w:themeColor="text1"/>
          <w:lang w:val="pt-BR"/>
        </w:rPr>
        <w:t xml:space="preserve"> em conjunto com essa medida, a exemplo daquelas tratadas pelas Medidas Provisórias </w:t>
      </w:r>
      <w:proofErr w:type="spellStart"/>
      <w:r w:rsidRPr="008601A7">
        <w:rPr>
          <w:rFonts w:ascii="Open Sans" w:hAnsi="Open Sans" w:cs="Open Sans"/>
          <w:color w:val="000000" w:themeColor="text1"/>
          <w:lang w:val="pt-BR"/>
        </w:rPr>
        <w:t>nº</w:t>
      </w:r>
      <w:r w:rsidRPr="008601A7">
        <w:rPr>
          <w:rFonts w:ascii="Open Sans" w:hAnsi="Open Sans" w:cs="Open Sans"/>
          <w:color w:val="000000" w:themeColor="text1"/>
          <w:vertAlign w:val="superscript"/>
          <w:lang w:val="pt-BR"/>
        </w:rPr>
        <w:t>s</w:t>
      </w:r>
      <w:proofErr w:type="spellEnd"/>
      <w:r w:rsidRPr="008601A7">
        <w:rPr>
          <w:rFonts w:ascii="Open Sans" w:hAnsi="Open Sans" w:cs="Open Sans"/>
          <w:color w:val="000000" w:themeColor="text1"/>
          <w:lang w:val="pt-BR"/>
        </w:rPr>
        <w:t xml:space="preserve"> 927/2020 e 937/2020. Qualquer invasão discricionária do Poder Judiciário nesse campo atuarial de gestão equilibrada das reservas do FGTS, ou mesmo das medidas de enfrentamento econômico da crise legada pela pandemia de COVID-19, seria uma atuação fora dos limites da jurisdição, porquanto dissociada de critérios econômico-financeiros apreciáveis e vinculantes da aplicação política adequada de tais recursos. Não há, portanto, um direito da reclamante a obter um saque ilimitado dos valores vinculados à sua conta do FGTS, tampouco um direito ao saque pretendido nos termos do art. 4º do Decreto nº 5.113/2004 (no valor de R$ 6.220,00), já que os saques motivados pelo contexto de calamidade pública decorrente da deflagração da pandemia de COVID-19 estão limitados pelo art. 6º da citada MP nº 946/2020. Ante o exposto, em que pese </w:t>
      </w:r>
      <w:proofErr w:type="gramStart"/>
      <w:r w:rsidRPr="008601A7">
        <w:rPr>
          <w:rFonts w:ascii="Open Sans" w:hAnsi="Open Sans" w:cs="Open Sans"/>
          <w:color w:val="000000" w:themeColor="text1"/>
          <w:lang w:val="pt-BR"/>
        </w:rPr>
        <w:t>a</w:t>
      </w:r>
      <w:proofErr w:type="gramEnd"/>
      <w:r w:rsidRPr="008601A7">
        <w:rPr>
          <w:rFonts w:ascii="Open Sans" w:hAnsi="Open Sans" w:cs="Open Sans"/>
          <w:color w:val="000000" w:themeColor="text1"/>
          <w:lang w:val="pt-BR"/>
        </w:rPr>
        <w:t xml:space="preserve"> transcendência jurídica reconhecida, não comporta provimento o agravo de instrumento da reclamante. </w:t>
      </w:r>
      <w:proofErr w:type="gramStart"/>
      <w:r w:rsidRPr="008601A7">
        <w:rPr>
          <w:rFonts w:ascii="Open Sans" w:hAnsi="Open Sans" w:cs="Open Sans"/>
          <w:color w:val="000000" w:themeColor="text1"/>
          <w:lang w:val="pt-BR"/>
        </w:rPr>
        <w:t xml:space="preserve">Agravo de instrumento não </w:t>
      </w:r>
      <w:bookmarkStart w:id="2" w:name="tempRelatorio"/>
      <w:r w:rsidRPr="008601A7">
        <w:rPr>
          <w:rFonts w:ascii="Open Sans" w:hAnsi="Open Sans" w:cs="Open Sans"/>
          <w:color w:val="000000" w:themeColor="text1"/>
          <w:lang w:val="pt-BR"/>
        </w:rPr>
        <w:t>provido</w:t>
      </w:r>
      <w:r w:rsidRPr="008601A7">
        <w:rPr>
          <w:rFonts w:ascii="Open Sans" w:hAnsi="Open Sans" w:cs="Open Sans"/>
          <w:bCs/>
          <w:color w:val="000000" w:themeColor="text1"/>
          <w:lang w:val="pt-BR"/>
        </w:rPr>
        <w:t>.</w:t>
      </w:r>
      <w:bookmarkEnd w:id="2"/>
      <w:r w:rsidRPr="008601A7">
        <w:rPr>
          <w:rFonts w:ascii="Open Sans" w:hAnsi="Open Sans" w:cs="Open Sans"/>
          <w:color w:val="000000" w:themeColor="text1"/>
          <w:kern w:val="2"/>
          <w:lang w:val="pt-BR"/>
        </w:rPr>
        <w:t>”</w:t>
      </w:r>
      <w:bookmarkEnd w:id="1"/>
      <w:proofErr w:type="gramEnd"/>
      <w:r w:rsidRPr="008601A7">
        <w:rPr>
          <w:rFonts w:ascii="Open Sans" w:hAnsi="Open Sans" w:cs="Open Sans"/>
          <w:color w:val="auto"/>
          <w:lang w:val="pt-BR"/>
        </w:rPr>
        <w:t xml:space="preserve"> (</w:t>
      </w:r>
      <w:hyperlink r:id="rId18" w:history="1">
        <w:r w:rsidRPr="008601A7">
          <w:rPr>
            <w:rStyle w:val="Hyperlink"/>
            <w:rFonts w:ascii="Open Sans" w:hAnsi="Open Sans" w:cs="Open Sans"/>
            <w:lang w:val="pt-BR"/>
          </w:rPr>
          <w:t>TST-AIRR-578-19.2020.5.06.0341</w:t>
        </w:r>
      </w:hyperlink>
      <w:r w:rsidRPr="008601A7">
        <w:rPr>
          <w:rFonts w:ascii="Open Sans" w:hAnsi="Open Sans" w:cs="Open Sans"/>
          <w:lang w:val="pt-BR"/>
        </w:rPr>
        <w:t>,</w:t>
      </w:r>
      <w:r w:rsidRPr="008601A7">
        <w:rPr>
          <w:rFonts w:ascii="Open Sans" w:hAnsi="Open Sans" w:cs="Open Sans"/>
          <w:bCs/>
          <w:lang w:val="pt-BR"/>
        </w:rPr>
        <w:t xml:space="preserve"> </w:t>
      </w:r>
      <w:r w:rsidRPr="008601A7">
        <w:rPr>
          <w:rFonts w:ascii="Open Sans" w:hAnsi="Open Sans" w:cs="Open Sans"/>
          <w:color w:val="auto"/>
          <w:lang w:val="pt-BR"/>
        </w:rPr>
        <w:t>5ª Turma, rel. Min. Breno Medeiros, julgado em 10/11/2021.)</w:t>
      </w:r>
    </w:p>
    <w:p w14:paraId="2CDA2D7F" w14:textId="77777777" w:rsidR="0098060A" w:rsidRDefault="0098060A" w:rsidP="0098060A">
      <w:pPr>
        <w:ind w:right="368"/>
        <w:jc w:val="both"/>
        <w:rPr>
          <w:rFonts w:ascii="Open Sans" w:hAnsi="Open Sans" w:cs="Open Sans"/>
          <w:sz w:val="24"/>
          <w:szCs w:val="24"/>
        </w:rPr>
      </w:pPr>
    </w:p>
    <w:p w14:paraId="49103415" w14:textId="77777777" w:rsidR="0098060A" w:rsidRDefault="0098060A" w:rsidP="0098060A">
      <w:pPr>
        <w:ind w:right="368"/>
        <w:jc w:val="both"/>
        <w:rPr>
          <w:rFonts w:ascii="Open Sans" w:hAnsi="Open Sans" w:cs="Open Sans"/>
          <w:sz w:val="24"/>
          <w:szCs w:val="24"/>
        </w:rPr>
      </w:pPr>
      <w:r>
        <w:rPr>
          <w:rFonts w:ascii="Open Sans" w:hAnsi="Open Sans" w:cs="Open Sans"/>
          <w:sz w:val="24"/>
          <w:szCs w:val="24"/>
        </w:rPr>
        <w:t xml:space="preserve">"RECURSO DE REVISTA SOB A ÉGIDE DA LEI 13.015/2014. PRESCRIÇÃO. DANO MORAL E MATERIAL. ACIDENTE DO TRABALHO. AFASTAMENTO PREVIDENCIÁRIO. ACTIO NATA. CESSAÇÃO DO BENEFÍCIO PREVIDENCIÁRIO. PRONUNCIAMENTO </w:t>
      </w:r>
      <w:r>
        <w:rPr>
          <w:rFonts w:ascii="Open Sans" w:hAnsi="Open Sans" w:cs="Open Sans"/>
          <w:i/>
          <w:sz w:val="24"/>
          <w:szCs w:val="24"/>
        </w:rPr>
        <w:t>EX OFFICIO</w:t>
      </w:r>
      <w:r>
        <w:rPr>
          <w:rFonts w:ascii="Open Sans" w:hAnsi="Open Sans" w:cs="Open Sans"/>
          <w:sz w:val="24"/>
          <w:szCs w:val="24"/>
        </w:rPr>
        <w:t xml:space="preserve">. REQUISITOS DO ARTIGO 896, § 1º-A, DA CLT, ATENDIDOS. A SBDI-1 desta Corte tem jurisprudência no sentido de que, às ações de indenização por dano moral ou patrimonial decorrente da relação de trabalho, relativo a fatos ocorridos depois da vigência da Emenda Constitucional 45/2004, a qual se iniciou em 31/12/2004, aplica-se o prazo prescricional previsto no artigo 7º, XXIX, da Constituição Federal, sendo aplicável o prazo prescricional civil nos demais casos. A contagem do prazo prescricional somente tem início, em se tratando de acidente de trabalho ou doença ocupacional, a partir do momento em que o empregado tem ciência inequívoca da incapacidade laborativa ou do resultado gravoso para sua saúde física ou mental, ou seja, com a alta previdenciária ou com a concessão da aposentadoria por invalidez, e </w:t>
      </w:r>
      <w:r>
        <w:rPr>
          <w:rFonts w:ascii="Open Sans" w:hAnsi="Open Sans" w:cs="Open Sans"/>
          <w:sz w:val="24"/>
          <w:szCs w:val="24"/>
        </w:rPr>
        <w:lastRenderedPageBreak/>
        <w:t xml:space="preserve">não simplesmente da data do acidente, nem mesmo do afastamento. É que não se poderia exigir da vítima o ajuizamento da ação quando ainda persistiam dúvidas acerca da extensão dos danos sofridos. Extrai-se do acórdão regional que o obreiro foi vítima de acidente de trabalho e ficou afastado recebendo auxílio previdenciário cuja alta do benefício foi em 28/02/2011. A rescisão do contrato de trabalho ocorreu em 31/05/2013 e a presente ação foi ajuizada em 06/08/2013. Fixado o marco inicial da prescrição em momento posterior à vigência da Emenda Constitucional 45/2004, deve ser observado o prazo prescricional trabalhista (art. 7º, XXIX, da CF de 1988). O contrato de trabalho foi rescindido em 31/05/2013 e a ação foi ajuizada em 06/08/2013, antes de findar o prazo prescricional bienal. Da mesma forma, verifica-se que não há de se falar em prescrição quinquenal na medida em que a presente ação foi ajuizada em 06/08/2013 e o termo inicial do prazo prescricional foi </w:t>
      </w:r>
      <w:proofErr w:type="gramStart"/>
      <w:r>
        <w:rPr>
          <w:rFonts w:ascii="Open Sans" w:hAnsi="Open Sans" w:cs="Open Sans"/>
          <w:sz w:val="24"/>
          <w:szCs w:val="24"/>
        </w:rPr>
        <w:t>a</w:t>
      </w:r>
      <w:proofErr w:type="gramEnd"/>
      <w:r>
        <w:rPr>
          <w:rFonts w:ascii="Open Sans" w:hAnsi="Open Sans" w:cs="Open Sans"/>
          <w:sz w:val="24"/>
          <w:szCs w:val="24"/>
        </w:rPr>
        <w:t xml:space="preserve"> </w:t>
      </w:r>
      <w:proofErr w:type="gramStart"/>
      <w:r>
        <w:rPr>
          <w:rFonts w:ascii="Open Sans" w:hAnsi="Open Sans" w:cs="Open Sans"/>
          <w:sz w:val="24"/>
          <w:szCs w:val="24"/>
        </w:rPr>
        <w:t>data</w:t>
      </w:r>
      <w:proofErr w:type="gramEnd"/>
      <w:r>
        <w:rPr>
          <w:rFonts w:ascii="Open Sans" w:hAnsi="Open Sans" w:cs="Open Sans"/>
          <w:sz w:val="24"/>
          <w:szCs w:val="24"/>
        </w:rPr>
        <w:t xml:space="preserve"> da alta médica previdenciária em 28/02/2011. Ademais, e considerando</w:t>
      </w:r>
      <w:proofErr w:type="gramStart"/>
      <w:r>
        <w:rPr>
          <w:rFonts w:ascii="Open Sans" w:hAnsi="Open Sans" w:cs="Open Sans"/>
          <w:sz w:val="24"/>
          <w:szCs w:val="24"/>
        </w:rPr>
        <w:t xml:space="preserve"> sobretudo</w:t>
      </w:r>
      <w:proofErr w:type="gramEnd"/>
      <w:r>
        <w:rPr>
          <w:rFonts w:ascii="Open Sans" w:hAnsi="Open Sans" w:cs="Open Sans"/>
          <w:sz w:val="24"/>
          <w:szCs w:val="24"/>
        </w:rPr>
        <w:t xml:space="preserve"> o tempo de regência dos atos processuais , frise-se ainda que a disposição contida no artigo 487, II, do CPC, ao determinar a decretação de ofício da prescrição, não se compatibiliza com os princípios regentes do Direito do Trabalho, notadamente o da proteção, que busca reequilibrar a disparidade de forças entre reclamante e reclamada. </w:t>
      </w:r>
      <w:proofErr w:type="gramStart"/>
      <w:r>
        <w:rPr>
          <w:rFonts w:ascii="Open Sans" w:hAnsi="Open Sans" w:cs="Open Sans"/>
          <w:sz w:val="24"/>
          <w:szCs w:val="24"/>
        </w:rPr>
        <w:t>Recurso de revista conhecido e provido."</w:t>
      </w:r>
      <w:proofErr w:type="gramEnd"/>
      <w:r>
        <w:rPr>
          <w:rFonts w:ascii="Open Sans" w:hAnsi="Open Sans" w:cs="Open Sans"/>
          <w:sz w:val="24"/>
          <w:szCs w:val="24"/>
        </w:rPr>
        <w:t xml:space="preserve"> (</w:t>
      </w:r>
      <w:hyperlink r:id="rId19" w:history="1">
        <w:r>
          <w:rPr>
            <w:rStyle w:val="Hyperlink"/>
            <w:rFonts w:ascii="Open Sans" w:hAnsi="Open Sans" w:cs="Open Sans"/>
            <w:sz w:val="24"/>
            <w:szCs w:val="24"/>
          </w:rPr>
          <w:t>TST-RR-2009-73.2013.5.12.0048</w:t>
        </w:r>
      </w:hyperlink>
      <w:r>
        <w:rPr>
          <w:rFonts w:ascii="Open Sans" w:hAnsi="Open Sans" w:cs="Open Sans"/>
          <w:sz w:val="24"/>
          <w:szCs w:val="24"/>
        </w:rPr>
        <w:t>, 6ª Turma, rel. Min. Augusto César Leite de Carvalho, julgado em 10/11/2021.)</w:t>
      </w:r>
    </w:p>
    <w:p w14:paraId="0DAAE665" w14:textId="77777777" w:rsidR="0098060A" w:rsidRDefault="0098060A" w:rsidP="0098060A">
      <w:pPr>
        <w:ind w:right="368"/>
        <w:jc w:val="both"/>
        <w:rPr>
          <w:rFonts w:ascii="Open Sans" w:hAnsi="Open Sans" w:cs="Open Sans"/>
          <w:sz w:val="24"/>
          <w:szCs w:val="24"/>
        </w:rPr>
      </w:pPr>
    </w:p>
    <w:p w14:paraId="70555F38" w14:textId="77777777" w:rsidR="0098060A" w:rsidRDefault="0098060A" w:rsidP="0098060A">
      <w:pPr>
        <w:ind w:right="368"/>
        <w:jc w:val="both"/>
        <w:rPr>
          <w:rFonts w:ascii="Open Sans" w:hAnsi="Open Sans" w:cs="Open Sans"/>
          <w:color w:val="000000"/>
          <w:sz w:val="24"/>
          <w:szCs w:val="24"/>
        </w:rPr>
      </w:pPr>
      <w:r>
        <w:rPr>
          <w:rFonts w:ascii="Open Sans" w:hAnsi="Open Sans" w:cs="Open Sans"/>
          <w:color w:val="000000"/>
          <w:sz w:val="24"/>
          <w:szCs w:val="24"/>
        </w:rPr>
        <w:t xml:space="preserve">“[...] RECURSO DE REVISTA. ACIDENTE DE TRABALHO. MANEJO DE GADO. ATIVIDADE DE RISCO. RESPONSABILIDADE CIVIL OBJETIVA DO EMPREGADOR. Este Tribunal Superior entende pela aplicação da teoria da reponsabilidade objetiva quando a atividade desenvolvida pelo empregador pressupõe a existência de risco potencial à integridade física e psíquica do trabalhador, tal como ocorre na hipótese dos autos, seja pelas condições adversas do campo, seja pela lida com os animais, tanto que o reclamante, no exercício da função de trabalhador rural, foi vítima de acidente de trabalho em razão da queda do animal de montaria utilizado no manejo do gado. Estando incontroversos nos autos a existência do dano e o nexo de causalidade (o acidente sofrido no desemprenho de suas funções), e considerando a atividade de manejo de gado como de risco, conclui-se pela aplicação </w:t>
      </w:r>
      <w:proofErr w:type="gramStart"/>
      <w:r>
        <w:rPr>
          <w:rFonts w:ascii="Open Sans" w:hAnsi="Open Sans" w:cs="Open Sans"/>
          <w:color w:val="000000"/>
          <w:sz w:val="24"/>
          <w:szCs w:val="24"/>
        </w:rPr>
        <w:t>do responsabilidade</w:t>
      </w:r>
      <w:proofErr w:type="gramEnd"/>
      <w:r>
        <w:rPr>
          <w:rFonts w:ascii="Open Sans" w:hAnsi="Open Sans" w:cs="Open Sans"/>
          <w:color w:val="000000"/>
          <w:sz w:val="24"/>
          <w:szCs w:val="24"/>
        </w:rPr>
        <w:t xml:space="preserve"> objetiva do reclamado pelo dano sofrido e, consequentemente,</w:t>
      </w:r>
      <w:bookmarkStart w:id="3" w:name="_GoBack"/>
      <w:bookmarkEnd w:id="3"/>
      <w:r>
        <w:rPr>
          <w:rFonts w:ascii="Open Sans" w:hAnsi="Open Sans" w:cs="Open Sans"/>
          <w:color w:val="000000"/>
          <w:sz w:val="24"/>
          <w:szCs w:val="24"/>
        </w:rPr>
        <w:t xml:space="preserve"> pela obrigação de indenizar. Recurso de revista conhecido e provido.” (</w:t>
      </w:r>
      <w:hyperlink r:id="rId20" w:history="1">
        <w:r>
          <w:rPr>
            <w:rStyle w:val="Hyperlink"/>
            <w:rFonts w:ascii="Open Sans" w:hAnsi="Open Sans" w:cs="Open Sans"/>
            <w:sz w:val="24"/>
            <w:szCs w:val="24"/>
          </w:rPr>
          <w:t>TST-</w:t>
        </w:r>
        <w:r>
          <w:rPr>
            <w:rStyle w:val="Hyperlink"/>
            <w:rFonts w:ascii="Open Sans" w:hAnsi="Open Sans" w:cs="Open Sans"/>
            <w:bCs/>
            <w:sz w:val="24"/>
            <w:szCs w:val="24"/>
          </w:rPr>
          <w:t>RR-24256-63.2019.5.24.0061</w:t>
        </w:r>
      </w:hyperlink>
      <w:r>
        <w:rPr>
          <w:rFonts w:ascii="Open Sans" w:hAnsi="Open Sans" w:cs="Open Sans"/>
          <w:color w:val="000000"/>
          <w:sz w:val="24"/>
          <w:szCs w:val="24"/>
        </w:rPr>
        <w:t>, 8ª Turma, rel. Min. Dora Maria da Costa, julgado em 10/11/2021.)</w:t>
      </w:r>
    </w:p>
    <w:p w14:paraId="38C1A4DA" w14:textId="5BB8A799" w:rsidR="0098060A" w:rsidRDefault="0098060A" w:rsidP="00F42659">
      <w:pPr>
        <w:tabs>
          <w:tab w:val="left" w:pos="4169"/>
        </w:tabs>
        <w:jc w:val="both"/>
        <w:rPr>
          <w:rFonts w:ascii="Open Sans" w:hAnsi="Open Sans" w:cs="Open Sans"/>
          <w:b/>
          <w:color w:val="FF0000"/>
          <w:sz w:val="24"/>
          <w:szCs w:val="24"/>
          <w:u w:val="single"/>
        </w:rPr>
      </w:pPr>
      <w:r>
        <w:rPr>
          <w:sz w:val="24"/>
          <w:szCs w:val="24"/>
        </w:rPr>
        <w:tab/>
      </w:r>
    </w:p>
    <w:p w14:paraId="77DE1B0E" w14:textId="77777777" w:rsidR="0098060A" w:rsidRDefault="0098060A" w:rsidP="0098060A">
      <w:pPr>
        <w:ind w:right="-71"/>
        <w:jc w:val="both"/>
        <w:rPr>
          <w:rFonts w:ascii="Open Sans" w:hAnsi="Open Sans" w:cs="Open Sans"/>
          <w:sz w:val="24"/>
          <w:szCs w:val="24"/>
          <w:u w:val="single"/>
        </w:rPr>
      </w:pPr>
    </w:p>
    <w:p w14:paraId="6572849C" w14:textId="77777777" w:rsidR="00FC1D88" w:rsidRPr="00643B59" w:rsidRDefault="00FC1D88" w:rsidP="00711749">
      <w:pPr>
        <w:ind w:right="510"/>
        <w:rPr>
          <w:rFonts w:ascii="Open Sans" w:hAnsi="Open Sans" w:cs="Open Sans"/>
          <w:sz w:val="10"/>
          <w:szCs w:val="10"/>
        </w:rPr>
      </w:pPr>
    </w:p>
    <w:p w14:paraId="4C33E7C9" w14:textId="77777777" w:rsidR="00184590" w:rsidRPr="00643B59" w:rsidRDefault="00503095" w:rsidP="00711749">
      <w:pPr>
        <w:pStyle w:val="Corpodetexto"/>
        <w:pBdr>
          <w:top w:val="single" w:sz="4" w:space="1" w:color="auto"/>
          <w:left w:val="single" w:sz="4" w:space="0" w:color="auto"/>
          <w:bottom w:val="single" w:sz="4" w:space="1" w:color="auto"/>
          <w:right w:val="single" w:sz="4" w:space="1" w:color="auto"/>
        </w:pBdr>
        <w:shd w:val="clear" w:color="auto" w:fill="B8CCE4"/>
        <w:ind w:right="510"/>
        <w:outlineLvl w:val="0"/>
        <w:rPr>
          <w:rFonts w:ascii="Open Sans" w:hAnsi="Open Sans" w:cs="Open Sans"/>
          <w:b w:val="0"/>
          <w:bCs w:val="0"/>
          <w:snapToGrid w:val="0"/>
          <w:sz w:val="24"/>
          <w:szCs w:val="24"/>
        </w:rPr>
      </w:pPr>
      <w:r w:rsidRPr="00643B59">
        <w:rPr>
          <w:rFonts w:ascii="Open Sans" w:hAnsi="Open Sans" w:cs="Open Sans"/>
          <w:b w:val="0"/>
          <w:bCs w:val="0"/>
          <w:snapToGrid w:val="0"/>
          <w:sz w:val="24"/>
          <w:szCs w:val="24"/>
        </w:rPr>
        <w:t xml:space="preserve">O </w:t>
      </w:r>
      <w:r w:rsidR="00184590" w:rsidRPr="00643B59">
        <w:rPr>
          <w:rFonts w:ascii="Open Sans" w:hAnsi="Open Sans" w:cs="Open Sans"/>
          <w:b w:val="0"/>
          <w:bCs w:val="0"/>
          <w:snapToGrid w:val="0"/>
          <w:sz w:val="24"/>
          <w:szCs w:val="24"/>
        </w:rPr>
        <w:t xml:space="preserve">Informativo TST é mantido pela </w:t>
      </w:r>
    </w:p>
    <w:p w14:paraId="7E4FD59E" w14:textId="77777777" w:rsidR="00184590" w:rsidRPr="00643B59" w:rsidRDefault="00184590" w:rsidP="00711749">
      <w:pPr>
        <w:pStyle w:val="Corpodetexto"/>
        <w:pBdr>
          <w:top w:val="single" w:sz="4" w:space="1" w:color="auto"/>
          <w:left w:val="single" w:sz="4" w:space="0" w:color="auto"/>
          <w:bottom w:val="single" w:sz="4" w:space="1" w:color="auto"/>
          <w:right w:val="single" w:sz="4" w:space="1" w:color="auto"/>
        </w:pBdr>
        <w:shd w:val="clear" w:color="auto" w:fill="B8CCE4"/>
        <w:ind w:right="510"/>
        <w:rPr>
          <w:rFonts w:ascii="Open Sans" w:hAnsi="Open Sans" w:cs="Open Sans"/>
          <w:b w:val="0"/>
          <w:bCs w:val="0"/>
          <w:snapToGrid w:val="0"/>
          <w:sz w:val="24"/>
          <w:szCs w:val="24"/>
        </w:rPr>
      </w:pPr>
      <w:r w:rsidRPr="00643B59">
        <w:rPr>
          <w:rFonts w:ascii="Open Sans" w:hAnsi="Open Sans" w:cs="Open Sans"/>
          <w:b w:val="0"/>
          <w:bCs w:val="0"/>
          <w:snapToGrid w:val="0"/>
          <w:sz w:val="24"/>
          <w:szCs w:val="24"/>
        </w:rPr>
        <w:t>Coordenadoria de Jurisprudência – CJUR</w:t>
      </w:r>
      <w:r w:rsidR="00F83AC5" w:rsidRPr="00643B59">
        <w:rPr>
          <w:rFonts w:ascii="Open Sans" w:hAnsi="Open Sans" w:cs="Open Sans"/>
          <w:b w:val="0"/>
          <w:bCs w:val="0"/>
          <w:snapToGrid w:val="0"/>
          <w:sz w:val="24"/>
          <w:szCs w:val="24"/>
        </w:rPr>
        <w:t>.</w:t>
      </w:r>
    </w:p>
    <w:p w14:paraId="57C3192A" w14:textId="77777777" w:rsidR="007F02D5" w:rsidRPr="00643B59" w:rsidRDefault="007F02D5"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p>
    <w:p w14:paraId="72A94961" w14:textId="77777777" w:rsidR="007614F1" w:rsidRPr="00643B59" w:rsidRDefault="00184590"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r w:rsidRPr="00643B59">
        <w:rPr>
          <w:rFonts w:ascii="Open Sans" w:hAnsi="Open Sans" w:cs="Open Sans"/>
          <w:snapToGrid w:val="0"/>
          <w:sz w:val="24"/>
          <w:szCs w:val="24"/>
        </w:rPr>
        <w:lastRenderedPageBreak/>
        <w:t>Informações/Sugestões/Críticas: (61)3043</w:t>
      </w:r>
      <w:r w:rsidR="00352B27" w:rsidRPr="00643B59">
        <w:rPr>
          <w:rFonts w:ascii="Open Sans" w:hAnsi="Open Sans" w:cs="Open Sans"/>
          <w:snapToGrid w:val="0"/>
          <w:sz w:val="24"/>
          <w:szCs w:val="24"/>
        </w:rPr>
        <w:t>-</w:t>
      </w:r>
      <w:r w:rsidRPr="00643B59">
        <w:rPr>
          <w:rFonts w:ascii="Open Sans" w:hAnsi="Open Sans" w:cs="Open Sans"/>
          <w:snapToGrid w:val="0"/>
          <w:sz w:val="24"/>
          <w:szCs w:val="24"/>
        </w:rPr>
        <w:t>4</w:t>
      </w:r>
      <w:r w:rsidR="000303C3" w:rsidRPr="00643B59">
        <w:rPr>
          <w:rFonts w:ascii="Open Sans" w:hAnsi="Open Sans" w:cs="Open Sans"/>
          <w:snapToGrid w:val="0"/>
          <w:sz w:val="24"/>
          <w:szCs w:val="24"/>
        </w:rPr>
        <w:t>612</w:t>
      </w:r>
      <w:r w:rsidR="007F02D5" w:rsidRPr="00643B59">
        <w:rPr>
          <w:rFonts w:ascii="Open Sans" w:hAnsi="Open Sans" w:cs="Open Sans"/>
          <w:snapToGrid w:val="0"/>
          <w:sz w:val="24"/>
          <w:szCs w:val="24"/>
        </w:rPr>
        <w:t xml:space="preserve"> ou </w:t>
      </w:r>
      <w:hyperlink r:id="rId21" w:history="1">
        <w:r w:rsidR="005F0522" w:rsidRPr="00643B59">
          <w:rPr>
            <w:rStyle w:val="Hyperlink"/>
            <w:rFonts w:ascii="Open Sans" w:hAnsi="Open Sans" w:cs="Open Sans"/>
            <w:snapToGrid w:val="0"/>
            <w:sz w:val="24"/>
            <w:szCs w:val="24"/>
          </w:rPr>
          <w:t>cjur@tst.jus.br</w:t>
        </w:r>
      </w:hyperlink>
    </w:p>
    <w:p w14:paraId="6371085F" w14:textId="77777777" w:rsidR="007F02D5" w:rsidRPr="00643B59" w:rsidRDefault="007F02D5"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p>
    <w:p w14:paraId="025B015A" w14:textId="77777777" w:rsidR="00B15004" w:rsidRPr="00643B59" w:rsidRDefault="009E534D"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r w:rsidRPr="00643B59">
        <w:rPr>
          <w:rFonts w:ascii="Open Sans" w:hAnsi="Open Sans" w:cs="Open Sans"/>
          <w:snapToGrid w:val="0"/>
          <w:sz w:val="24"/>
          <w:szCs w:val="24"/>
        </w:rPr>
        <w:t xml:space="preserve">Para acessar todas as edições: </w:t>
      </w:r>
      <w:hyperlink r:id="rId22" w:history="1">
        <w:r w:rsidR="00B15004" w:rsidRPr="00643B59">
          <w:rPr>
            <w:rStyle w:val="Hyperlink"/>
            <w:rFonts w:ascii="Open Sans" w:hAnsi="Open Sans" w:cs="Open Sans"/>
            <w:snapToGrid w:val="0"/>
            <w:sz w:val="24"/>
            <w:szCs w:val="24"/>
          </w:rPr>
          <w:t>http://www.tst.jus.br/web/guest/informativo-tst</w:t>
        </w:r>
      </w:hyperlink>
    </w:p>
    <w:p w14:paraId="784F8F31" w14:textId="77777777" w:rsidR="00B15004" w:rsidRPr="00643B59" w:rsidRDefault="00B15004"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p>
    <w:p w14:paraId="1F353F2B" w14:textId="77777777" w:rsidR="009E534D" w:rsidRPr="00643B59" w:rsidRDefault="009E534D" w:rsidP="00711749">
      <w:pPr>
        <w:pBdr>
          <w:top w:val="single" w:sz="4" w:space="1" w:color="auto"/>
          <w:left w:val="single" w:sz="4" w:space="0" w:color="auto"/>
          <w:bottom w:val="single" w:sz="4" w:space="1" w:color="auto"/>
          <w:right w:val="single" w:sz="4" w:space="1" w:color="auto"/>
        </w:pBdr>
        <w:shd w:val="clear" w:color="auto" w:fill="B8CCE4"/>
        <w:ind w:right="510"/>
        <w:jc w:val="center"/>
        <w:rPr>
          <w:rFonts w:ascii="Open Sans" w:hAnsi="Open Sans" w:cs="Open Sans"/>
          <w:snapToGrid w:val="0"/>
          <w:sz w:val="24"/>
          <w:szCs w:val="24"/>
        </w:rPr>
      </w:pPr>
      <w:r w:rsidRPr="00643B59">
        <w:rPr>
          <w:rFonts w:ascii="Open Sans" w:hAnsi="Open Sans" w:cs="Open Sans"/>
          <w:snapToGrid w:val="0"/>
          <w:sz w:val="24"/>
          <w:szCs w:val="24"/>
        </w:rPr>
        <w:t xml:space="preserve">Para receber via </w:t>
      </w:r>
      <w:r w:rsidRPr="00643B59">
        <w:rPr>
          <w:rFonts w:ascii="Open Sans" w:hAnsi="Open Sans" w:cs="Open Sans"/>
          <w:i/>
          <w:snapToGrid w:val="0"/>
          <w:sz w:val="24"/>
          <w:szCs w:val="24"/>
        </w:rPr>
        <w:t>e-mail</w:t>
      </w:r>
      <w:r w:rsidRPr="00643B59">
        <w:rPr>
          <w:rFonts w:ascii="Open Sans" w:hAnsi="Open Sans" w:cs="Open Sans"/>
          <w:snapToGrid w:val="0"/>
          <w:sz w:val="24"/>
          <w:szCs w:val="24"/>
        </w:rPr>
        <w:t xml:space="preserve">: </w:t>
      </w:r>
      <w:hyperlink r:id="rId23" w:history="1">
        <w:r w:rsidRPr="00643B59">
          <w:rPr>
            <w:rStyle w:val="Hyperlink"/>
            <w:rFonts w:ascii="Open Sans" w:hAnsi="Open Sans" w:cs="Open Sans"/>
            <w:snapToGrid w:val="0"/>
            <w:sz w:val="24"/>
            <w:szCs w:val="24"/>
          </w:rPr>
          <w:t>http://www.tst.jus.br/push</w:t>
        </w:r>
      </w:hyperlink>
    </w:p>
    <w:sectPr w:rsidR="009E534D" w:rsidRPr="00643B59" w:rsidSect="00A21529">
      <w:headerReference w:type="default" r:id="rId24"/>
      <w:footerReference w:type="default" r:id="rId25"/>
      <w:headerReference w:type="first" r:id="rId26"/>
      <w:footerReference w:type="first" r:id="rId27"/>
      <w:type w:val="continuous"/>
      <w:pgSz w:w="11907" w:h="16839" w:code="9"/>
      <w:pgMar w:top="2552" w:right="567" w:bottom="851" w:left="147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938C6" w14:textId="77777777" w:rsidR="007E1C54" w:rsidRDefault="007E1C54">
      <w:r>
        <w:separator/>
      </w:r>
    </w:p>
  </w:endnote>
  <w:endnote w:type="continuationSeparator" w:id="0">
    <w:p w14:paraId="629A26F6" w14:textId="77777777" w:rsidR="007E1C54" w:rsidRDefault="007E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Bebas Neue Regular">
    <w:altName w:val="Arial"/>
    <w:panose1 w:val="00000000000000000000"/>
    <w:charset w:val="00"/>
    <w:family w:val="modern"/>
    <w:notTrueType/>
    <w:pitch w:val="variable"/>
    <w:sig w:usb0="00000001" w:usb1="10000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94E" w14:textId="77777777" w:rsidR="007E1C54" w:rsidRDefault="007E1C54">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3805">
      <w:rPr>
        <w:rStyle w:val="Nmerodepgina"/>
        <w:noProof/>
      </w:rPr>
      <w:t>11</w:t>
    </w:r>
    <w:r>
      <w:rPr>
        <w:rStyle w:val="Nmerodepgina"/>
      </w:rPr>
      <w:fldChar w:fldCharType="end"/>
    </w:r>
  </w:p>
  <w:p w14:paraId="6A601A3A" w14:textId="77777777" w:rsidR="007E1C54" w:rsidRDefault="007E1C54">
    <w:pPr>
      <w:pStyle w:val="Rodap"/>
      <w:ind w:right="360"/>
    </w:pPr>
    <w:r>
      <w:rPr>
        <w:noProof/>
      </w:rPr>
      <mc:AlternateContent>
        <mc:Choice Requires="wps">
          <w:drawing>
            <wp:anchor distT="0" distB="0" distL="114300" distR="114300" simplePos="0" relativeHeight="251658240" behindDoc="0" locked="0" layoutInCell="0" allowOverlap="1" wp14:anchorId="5CBC2E08" wp14:editId="3A3EBF13">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3DA6F7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4583" w14:textId="77777777" w:rsidR="007E1C54" w:rsidRDefault="007E1C54">
    <w:pPr>
      <w:pStyle w:val="Rodap"/>
      <w:jc w:val="right"/>
    </w:pPr>
    <w:r>
      <w:rPr>
        <w:noProof/>
      </w:rPr>
      <mc:AlternateContent>
        <mc:Choice Requires="wps">
          <w:drawing>
            <wp:anchor distT="0" distB="0" distL="114300" distR="114300" simplePos="0" relativeHeight="251659264" behindDoc="0" locked="0" layoutInCell="0" allowOverlap="1" wp14:anchorId="61B9B569" wp14:editId="2C717555">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01CE205"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FC4A8B">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89C73" w14:textId="77777777" w:rsidR="007E1C54" w:rsidRDefault="007E1C54">
      <w:r>
        <w:separator/>
      </w:r>
    </w:p>
  </w:footnote>
  <w:footnote w:type="continuationSeparator" w:id="0">
    <w:p w14:paraId="6840175B" w14:textId="77777777" w:rsidR="007E1C54" w:rsidRDefault="007E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E483A" w14:textId="43524512" w:rsidR="007E1C54" w:rsidRPr="00AF45B3" w:rsidRDefault="007E1C54" w:rsidP="00E21DD2">
    <w:pPr>
      <w:pStyle w:val="Corpodetexto"/>
      <w:ind w:right="510"/>
      <w:jc w:val="right"/>
      <w:rPr>
        <w:rFonts w:ascii="Open Sans" w:hAnsi="Open Sans" w:cs="Open Sans"/>
        <w:sz w:val="28"/>
        <w:szCs w:val="28"/>
        <w14:shadow w14:blurRad="50800" w14:dist="38100" w14:dir="2700000" w14:sx="100000" w14:sy="100000" w14:kx="0" w14:ky="0" w14:algn="tl">
          <w14:srgbClr w14:val="000000">
            <w14:alpha w14:val="60000"/>
          </w14:srgbClr>
        </w14:shadow>
      </w:rPr>
    </w:pPr>
    <w:r w:rsidRPr="00AF45B3">
      <w:rPr>
        <w:rFonts w:ascii="Open Sans" w:hAnsi="Open Sans" w:cs="Open Sans"/>
        <w:color w:val="006699"/>
        <w:sz w:val="28"/>
        <w:szCs w:val="28"/>
      </w:rPr>
      <w:t>Informativo TST – nº 2</w:t>
    </w:r>
    <w:r w:rsidR="00EA02E9">
      <w:rPr>
        <w:rFonts w:ascii="Open Sans" w:hAnsi="Open Sans" w:cs="Open Sans"/>
        <w:color w:val="006699"/>
        <w:sz w:val="28"/>
        <w:szCs w:val="28"/>
      </w:rPr>
      <w:t>47</w:t>
    </w:r>
  </w:p>
  <w:p w14:paraId="02CA5011" w14:textId="4A603E93" w:rsidR="007E1C54" w:rsidRPr="00AF45B3" w:rsidRDefault="007E1C54" w:rsidP="00E21DD2">
    <w:pPr>
      <w:pStyle w:val="Cabealho"/>
      <w:ind w:right="510"/>
      <w:jc w:val="right"/>
      <w:rPr>
        <w:rFonts w:ascii="Open Sans" w:hAnsi="Open Sans" w:cs="Open Sans"/>
        <w:i/>
        <w:iCs/>
        <w:color w:val="005DA2"/>
        <w:sz w:val="22"/>
        <w:szCs w:val="22"/>
      </w:rPr>
    </w:pPr>
    <w:r w:rsidRPr="00FD049C">
      <w:rPr>
        <w:rFonts w:ascii="Open Sans" w:hAnsi="Open Sans" w:cs="Open Sans"/>
        <w:noProof/>
      </w:rPr>
      <mc:AlternateContent>
        <mc:Choice Requires="wps">
          <w:drawing>
            <wp:anchor distT="0" distB="0" distL="114300" distR="114300" simplePos="0" relativeHeight="251657216" behindDoc="0" locked="0" layoutInCell="0" allowOverlap="1" wp14:anchorId="5B549EDC" wp14:editId="585F57E7">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51EEA7B"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" o:allowincell="f" strokecolor="#969696"/>
          </w:pict>
        </mc:Fallback>
      </mc:AlternateContent>
    </w:r>
    <w:r w:rsidRPr="00C36CDA">
      <w:rPr>
        <w:rFonts w:ascii="Open Sans" w:hAnsi="Open Sans" w:cs="Open Sans"/>
        <w:i/>
        <w:iCs/>
        <w:color w:val="005DA2"/>
        <w:sz w:val="22"/>
        <w:szCs w:val="22"/>
      </w:rPr>
      <w:t xml:space="preserve"> </w:t>
    </w:r>
    <w:r w:rsidRPr="00AF45B3">
      <w:rPr>
        <w:rFonts w:ascii="Open Sans" w:hAnsi="Open Sans" w:cs="Open Sans"/>
        <w:i/>
        <w:iCs/>
        <w:color w:val="005DA2"/>
        <w:sz w:val="22"/>
        <w:szCs w:val="22"/>
      </w:rPr>
      <w:t xml:space="preserve">Período: </w:t>
    </w:r>
    <w:r w:rsidR="00EA02E9">
      <w:rPr>
        <w:rFonts w:ascii="Open Sans" w:hAnsi="Open Sans" w:cs="Open Sans"/>
        <w:i/>
        <w:iCs/>
        <w:color w:val="005DA2"/>
        <w:sz w:val="22"/>
        <w:szCs w:val="22"/>
      </w:rPr>
      <w:t>3 a 17 de novembro</w:t>
    </w:r>
    <w:r>
      <w:rPr>
        <w:rFonts w:ascii="Open Sans" w:hAnsi="Open Sans" w:cs="Open Sans"/>
        <w:i/>
        <w:iCs/>
        <w:color w:val="005DA2"/>
        <w:sz w:val="22"/>
        <w:szCs w:val="22"/>
      </w:rPr>
      <w:t xml:space="preserve"> </w:t>
    </w:r>
    <w:r w:rsidRPr="00AF45B3">
      <w:rPr>
        <w:rFonts w:ascii="Open Sans" w:hAnsi="Open Sans" w:cs="Open Sans"/>
        <w:i/>
        <w:iCs/>
        <w:color w:val="005DA2"/>
        <w:sz w:val="22"/>
        <w:szCs w:val="22"/>
      </w:rPr>
      <w:t>de 2021.</w:t>
    </w:r>
  </w:p>
  <w:p w14:paraId="03B49523" w14:textId="6071A4C0" w:rsidR="007E1C54" w:rsidRPr="00FD049C" w:rsidRDefault="007E1C54" w:rsidP="00FD049C">
    <w:pPr>
      <w:pStyle w:val="Cabealho"/>
      <w:jc w:val="right"/>
      <w:rPr>
        <w:rFonts w:ascii="Open Sans" w:hAnsi="Open Sans" w:cs="Open Sans"/>
        <w:i/>
        <w:iCs/>
        <w:color w:val="005DA2"/>
      </w:rPr>
    </w:pPr>
  </w:p>
  <w:p w14:paraId="6095BA40" w14:textId="14365702" w:rsidR="007E1C54" w:rsidRPr="006717E0" w:rsidRDefault="007E1C54" w:rsidP="00E91A0E">
    <w:pPr>
      <w:pStyle w:val="Cabealho"/>
      <w:jc w:val="right"/>
      <w:rPr>
        <w:i/>
        <w:iCs/>
        <w:color w:val="005DA2"/>
      </w:rPr>
    </w:pPr>
  </w:p>
  <w:p w14:paraId="6B1719A4" w14:textId="77777777" w:rsidR="007E1C54" w:rsidRPr="006717E0" w:rsidRDefault="007E1C54" w:rsidP="00787495">
    <w:pPr>
      <w:pStyle w:val="Cabealho"/>
      <w:jc w:val="right"/>
      <w:rPr>
        <w:i/>
        <w:iCs/>
        <w:color w:val="005DA2"/>
      </w:rPr>
    </w:pPr>
  </w:p>
  <w:p w14:paraId="703F9419" w14:textId="77777777" w:rsidR="007E1C54" w:rsidRPr="006717E0" w:rsidRDefault="007E1C54" w:rsidP="00654B75">
    <w:pPr>
      <w:pStyle w:val="Cabealho"/>
      <w:jc w:val="right"/>
      <w:rPr>
        <w:i/>
        <w:iCs/>
        <w:color w:val="005DA2"/>
      </w:rPr>
    </w:pPr>
  </w:p>
  <w:p w14:paraId="52217619" w14:textId="77777777" w:rsidR="007E1C54" w:rsidRPr="005D1DE4" w:rsidRDefault="007E1C54"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E9957" w14:textId="0ABA6964" w:rsidR="007E1C54" w:rsidRDefault="007E1C54">
    <w:pPr>
      <w:pStyle w:val="Cabealho"/>
    </w:pPr>
    <w:r>
      <w:rPr>
        <w:noProof/>
      </w:rPr>
      <mc:AlternateContent>
        <mc:Choice Requires="wps">
          <w:drawing>
            <wp:anchor distT="0" distB="0" distL="114300" distR="114300" simplePos="0" relativeHeight="251661312" behindDoc="0" locked="0" layoutInCell="0" allowOverlap="1" wp14:anchorId="2C69D10F" wp14:editId="0A5CE590">
              <wp:simplePos x="0" y="0"/>
              <wp:positionH relativeFrom="column">
                <wp:posOffset>860764</wp:posOffset>
              </wp:positionH>
              <wp:positionV relativeFrom="paragraph">
                <wp:posOffset>81280</wp:posOffset>
              </wp:positionV>
              <wp:extent cx="2422800" cy="756000"/>
              <wp:effectExtent l="0" t="0" r="0" b="63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800" cy="756000"/>
                      </a:xfrm>
                      <a:prstGeom prst="rect">
                        <a:avLst/>
                      </a:prstGeom>
                      <a:solidFill>
                        <a:srgbClr val="FFFFFF"/>
                      </a:solidFill>
                      <a:ln w="9525">
                        <a:noFill/>
                        <a:miter lim="800000"/>
                        <a:headEnd/>
                        <a:tailEnd/>
                      </a:ln>
                    </wps:spPr>
                    <wps:txbx>
                      <w:txbxContent>
                        <w:p w14:paraId="2311036A" w14:textId="56081A8C" w:rsidR="007E1C54" w:rsidRPr="00D50FBE" w:rsidRDefault="007E1C54" w:rsidP="00D50FBE">
                          <w:pPr>
                            <w:rPr>
                              <w:rFonts w:ascii="Open Sans" w:hAnsi="Open Sans" w:cs="Open Sans"/>
                              <w:sz w:val="24"/>
                              <w:szCs w:val="24"/>
                            </w:rPr>
                          </w:pPr>
                          <w:r w:rsidRPr="00D50FBE">
                            <w:rPr>
                              <w:rFonts w:ascii="Open Sans" w:hAnsi="Open Sans" w:cs="Open Sans"/>
                              <w:sz w:val="24"/>
                              <w:szCs w:val="24"/>
                            </w:rPr>
                            <w:t>Poder Judiciário</w:t>
                          </w:r>
                          <w:r w:rsidRPr="00D50FBE">
                            <w:rPr>
                              <w:rFonts w:ascii="Open Sans" w:hAnsi="Open Sans" w:cs="Open Sans"/>
                              <w:sz w:val="24"/>
                              <w:szCs w:val="24"/>
                            </w:rPr>
                            <w:br/>
                            <w:t>Justiça do Trabalho</w:t>
                          </w:r>
                          <w:r w:rsidRPr="00D50FBE">
                            <w:rPr>
                              <w:rFonts w:ascii="Open Sans" w:hAnsi="Open Sans" w:cs="Open Sans"/>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67.8pt;margin-top:6.4pt;width:190.75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" o:allowincell="f" stroked="f">
              <v:textbox>
                <w:txbxContent>
                  <w:p w14:paraId="2311036A" w14:textId="56081A8C" w:rsidR="007E1C54" w:rsidRPr="00D50FBE" w:rsidRDefault="007E1C54" w:rsidP="00D50FBE">
                    <w:pPr>
                      <w:rPr>
                        <w:rFonts w:ascii="Open Sans" w:hAnsi="Open Sans" w:cs="Open Sans"/>
                        <w:sz w:val="24"/>
                        <w:szCs w:val="24"/>
                      </w:rPr>
                    </w:pPr>
                    <w:r w:rsidRPr="00D50FBE">
                      <w:rPr>
                        <w:rFonts w:ascii="Open Sans" w:hAnsi="Open Sans" w:cs="Open Sans"/>
                        <w:sz w:val="24"/>
                        <w:szCs w:val="24"/>
                      </w:rPr>
                      <w:t>Poder Judiciário</w:t>
                    </w:r>
                    <w:r w:rsidRPr="00D50FBE">
                      <w:rPr>
                        <w:rFonts w:ascii="Open Sans" w:hAnsi="Open Sans" w:cs="Open Sans"/>
                        <w:sz w:val="24"/>
                        <w:szCs w:val="24"/>
                      </w:rPr>
                      <w:br/>
                      <w:t>Justiça do Trabalho</w:t>
                    </w:r>
                    <w:r w:rsidRPr="00D50FBE">
                      <w:rPr>
                        <w:rFonts w:ascii="Open Sans" w:hAnsi="Open Sans" w:cs="Open Sans"/>
                        <w:sz w:val="24"/>
                        <w:szCs w:val="24"/>
                      </w:rPr>
                      <w:br/>
                      <w:t>Tribunal Superior do Trabalho</w:t>
                    </w:r>
                  </w:p>
                </w:txbxContent>
              </v:textbox>
            </v:shape>
          </w:pict>
        </mc:Fallback>
      </mc:AlternateContent>
    </w:r>
    <w:r>
      <w:rPr>
        <w:noProof/>
      </w:rPr>
      <w:drawing>
        <wp:inline distT="0" distB="0" distL="0" distR="0" wp14:anchorId="6813E71C" wp14:editId="12FCE56A">
          <wp:extent cx="867595" cy="893135"/>
          <wp:effectExtent l="0" t="0" r="889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713" cy="893257"/>
                  </a:xfrm>
                  <a:prstGeom prst="rect">
                    <a:avLst/>
                  </a:prstGeom>
                  <a:noFill/>
                  <a:ln>
                    <a:noFill/>
                  </a:ln>
                </pic:spPr>
              </pic:pic>
            </a:graphicData>
          </a:graphic>
        </wp:inline>
      </w:drawing>
    </w:r>
  </w:p>
  <w:p w14:paraId="7FEF40D8" w14:textId="77777777" w:rsidR="007E1C54" w:rsidRDefault="007E1C54">
    <w:pPr>
      <w:pStyle w:val="Cabealho"/>
    </w:pPr>
  </w:p>
  <w:p w14:paraId="76D35218" w14:textId="2892F312" w:rsidR="007E1C54" w:rsidRDefault="007E1C54">
    <w:pPr>
      <w:pStyle w:val="Cabealho"/>
    </w:pPr>
    <w:r>
      <w:rPr>
        <w:rFonts w:ascii="Bebas Neue Regular" w:hAnsi="Bebas Neue Regular"/>
        <w:noProof/>
        <w:color w:val="006699"/>
        <w:sz w:val="30"/>
      </w:rPr>
      <w:drawing>
        <wp:inline distT="0" distB="0" distL="0" distR="0" wp14:anchorId="575DE765" wp14:editId="4882EC8D">
          <wp:extent cx="6124575" cy="8953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14:paraId="24015716" w14:textId="77777777" w:rsidR="007E1C54" w:rsidRDefault="007E1C54">
    <w:pPr>
      <w:pStyle w:val="Cabealho"/>
    </w:pPr>
  </w:p>
  <w:p w14:paraId="62769DEA" w14:textId="259D530D" w:rsidR="007E1C54" w:rsidRPr="00CE124A" w:rsidRDefault="007E1C54" w:rsidP="00E21DD2">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Nº 2</w:t>
    </w:r>
    <w:r w:rsidR="00EA02E9">
      <w:rPr>
        <w:rFonts w:ascii="Open Sans" w:hAnsi="Open Sans" w:cs="Open Sans"/>
        <w:b/>
        <w:color w:val="005DA2"/>
        <w:sz w:val="32"/>
        <w:szCs w:val="32"/>
      </w:rPr>
      <w:t>47</w:t>
    </w:r>
  </w:p>
  <w:p w14:paraId="7B94F950" w14:textId="52F820FD" w:rsidR="007E1C54" w:rsidRPr="00AF45B3" w:rsidRDefault="007E1C54" w:rsidP="00E21DD2">
    <w:pPr>
      <w:pStyle w:val="Cabealho"/>
      <w:ind w:right="510"/>
      <w:jc w:val="right"/>
      <w:rPr>
        <w:rFonts w:ascii="Open Sans" w:hAnsi="Open Sans" w:cs="Open Sans"/>
        <w:i/>
        <w:iCs/>
        <w:color w:val="005DA2"/>
        <w:sz w:val="22"/>
        <w:szCs w:val="22"/>
      </w:rPr>
    </w:pPr>
    <w:r w:rsidRPr="00AF45B3">
      <w:rPr>
        <w:rFonts w:ascii="Open Sans" w:hAnsi="Open Sans" w:cs="Open Sans"/>
        <w:i/>
        <w:iCs/>
        <w:color w:val="005DA2"/>
        <w:sz w:val="22"/>
        <w:szCs w:val="22"/>
      </w:rPr>
      <w:t xml:space="preserve">Período: </w:t>
    </w:r>
    <w:r w:rsidR="00EA02E9">
      <w:rPr>
        <w:rFonts w:ascii="Open Sans" w:hAnsi="Open Sans" w:cs="Open Sans"/>
        <w:i/>
        <w:iCs/>
        <w:color w:val="005DA2"/>
        <w:sz w:val="22"/>
        <w:szCs w:val="22"/>
      </w:rPr>
      <w:t>3 a 17 de novembro</w:t>
    </w:r>
    <w:r>
      <w:rPr>
        <w:rFonts w:ascii="Open Sans" w:hAnsi="Open Sans" w:cs="Open Sans"/>
        <w:i/>
        <w:iCs/>
        <w:color w:val="005DA2"/>
        <w:sz w:val="22"/>
        <w:szCs w:val="22"/>
      </w:rPr>
      <w:t xml:space="preserve"> </w:t>
    </w:r>
    <w:r w:rsidRPr="00AF45B3">
      <w:rPr>
        <w:rFonts w:ascii="Open Sans" w:hAnsi="Open Sans" w:cs="Open Sans"/>
        <w:i/>
        <w:iCs/>
        <w:color w:val="005DA2"/>
        <w:sz w:val="22"/>
        <w:szCs w:val="22"/>
      </w:rPr>
      <w:t>de 2021.</w:t>
    </w:r>
  </w:p>
  <w:p w14:paraId="1D2D7411" w14:textId="77777777" w:rsidR="007E1C54" w:rsidRDefault="007E1C54"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083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132A3"/>
    <w:rsid w:val="00013415"/>
    <w:rsid w:val="0001366C"/>
    <w:rsid w:val="000149BC"/>
    <w:rsid w:val="0001790D"/>
    <w:rsid w:val="00020CD0"/>
    <w:rsid w:val="00021967"/>
    <w:rsid w:val="000228E6"/>
    <w:rsid w:val="000249BA"/>
    <w:rsid w:val="00024CE9"/>
    <w:rsid w:val="000303C3"/>
    <w:rsid w:val="00032056"/>
    <w:rsid w:val="000322FB"/>
    <w:rsid w:val="000332F1"/>
    <w:rsid w:val="00034034"/>
    <w:rsid w:val="00040BBC"/>
    <w:rsid w:val="00041382"/>
    <w:rsid w:val="000425FC"/>
    <w:rsid w:val="000473A5"/>
    <w:rsid w:val="00047F3C"/>
    <w:rsid w:val="00050E85"/>
    <w:rsid w:val="0005125E"/>
    <w:rsid w:val="00052550"/>
    <w:rsid w:val="00052D74"/>
    <w:rsid w:val="00055A9D"/>
    <w:rsid w:val="00056752"/>
    <w:rsid w:val="0005765E"/>
    <w:rsid w:val="00057B87"/>
    <w:rsid w:val="0006020E"/>
    <w:rsid w:val="00063834"/>
    <w:rsid w:val="00064486"/>
    <w:rsid w:val="00065048"/>
    <w:rsid w:val="000665D5"/>
    <w:rsid w:val="00070DD1"/>
    <w:rsid w:val="000733B4"/>
    <w:rsid w:val="00073643"/>
    <w:rsid w:val="00073880"/>
    <w:rsid w:val="00075BDB"/>
    <w:rsid w:val="00076E4F"/>
    <w:rsid w:val="00077A5F"/>
    <w:rsid w:val="00077EAD"/>
    <w:rsid w:val="00080C40"/>
    <w:rsid w:val="00080F10"/>
    <w:rsid w:val="000816C5"/>
    <w:rsid w:val="000858FB"/>
    <w:rsid w:val="0009237D"/>
    <w:rsid w:val="00093AE9"/>
    <w:rsid w:val="00093BA8"/>
    <w:rsid w:val="00094103"/>
    <w:rsid w:val="000952C0"/>
    <w:rsid w:val="00095471"/>
    <w:rsid w:val="000A04E6"/>
    <w:rsid w:val="000A221C"/>
    <w:rsid w:val="000A2745"/>
    <w:rsid w:val="000A4C94"/>
    <w:rsid w:val="000A6DDE"/>
    <w:rsid w:val="000B2973"/>
    <w:rsid w:val="000B4D41"/>
    <w:rsid w:val="000B67DF"/>
    <w:rsid w:val="000B7CDE"/>
    <w:rsid w:val="000C3022"/>
    <w:rsid w:val="000C38FA"/>
    <w:rsid w:val="000C58F4"/>
    <w:rsid w:val="000C5AC6"/>
    <w:rsid w:val="000C672B"/>
    <w:rsid w:val="000C6790"/>
    <w:rsid w:val="000D0A49"/>
    <w:rsid w:val="000D21AE"/>
    <w:rsid w:val="000E0A91"/>
    <w:rsid w:val="000E1DC1"/>
    <w:rsid w:val="000E31CA"/>
    <w:rsid w:val="000E5C57"/>
    <w:rsid w:val="000E7CBE"/>
    <w:rsid w:val="000F01F9"/>
    <w:rsid w:val="000F0A8E"/>
    <w:rsid w:val="000F1A5B"/>
    <w:rsid w:val="000F260C"/>
    <w:rsid w:val="00106A93"/>
    <w:rsid w:val="001144F9"/>
    <w:rsid w:val="00114BFF"/>
    <w:rsid w:val="0011575C"/>
    <w:rsid w:val="00115E77"/>
    <w:rsid w:val="0011692E"/>
    <w:rsid w:val="00122C2A"/>
    <w:rsid w:val="001257D7"/>
    <w:rsid w:val="00126A9E"/>
    <w:rsid w:val="0013008A"/>
    <w:rsid w:val="00130DCC"/>
    <w:rsid w:val="001365EE"/>
    <w:rsid w:val="00136E86"/>
    <w:rsid w:val="001370CC"/>
    <w:rsid w:val="00137403"/>
    <w:rsid w:val="00137564"/>
    <w:rsid w:val="00137DC1"/>
    <w:rsid w:val="00141630"/>
    <w:rsid w:val="00142C28"/>
    <w:rsid w:val="001444DA"/>
    <w:rsid w:val="00152238"/>
    <w:rsid w:val="001546D6"/>
    <w:rsid w:val="0015612D"/>
    <w:rsid w:val="001562A2"/>
    <w:rsid w:val="00161CDE"/>
    <w:rsid w:val="00161E91"/>
    <w:rsid w:val="00163142"/>
    <w:rsid w:val="001648F5"/>
    <w:rsid w:val="00167E80"/>
    <w:rsid w:val="00176D15"/>
    <w:rsid w:val="0018296E"/>
    <w:rsid w:val="00183803"/>
    <w:rsid w:val="00184590"/>
    <w:rsid w:val="0018640B"/>
    <w:rsid w:val="001879C4"/>
    <w:rsid w:val="00187A37"/>
    <w:rsid w:val="00187BEF"/>
    <w:rsid w:val="0019151D"/>
    <w:rsid w:val="001920CD"/>
    <w:rsid w:val="00192C9D"/>
    <w:rsid w:val="00193208"/>
    <w:rsid w:val="001932B7"/>
    <w:rsid w:val="00194264"/>
    <w:rsid w:val="00197B15"/>
    <w:rsid w:val="001A0C56"/>
    <w:rsid w:val="001B025A"/>
    <w:rsid w:val="001B2C08"/>
    <w:rsid w:val="001B560A"/>
    <w:rsid w:val="001C04D2"/>
    <w:rsid w:val="001C21FB"/>
    <w:rsid w:val="001C271F"/>
    <w:rsid w:val="001C3281"/>
    <w:rsid w:val="001C5885"/>
    <w:rsid w:val="001C6C93"/>
    <w:rsid w:val="001D2817"/>
    <w:rsid w:val="001D4CF9"/>
    <w:rsid w:val="001D4E17"/>
    <w:rsid w:val="001D550B"/>
    <w:rsid w:val="001D5AB0"/>
    <w:rsid w:val="001D6AC9"/>
    <w:rsid w:val="001D757D"/>
    <w:rsid w:val="001E14A9"/>
    <w:rsid w:val="001E14BB"/>
    <w:rsid w:val="001E175B"/>
    <w:rsid w:val="001E3B29"/>
    <w:rsid w:val="001E4B57"/>
    <w:rsid w:val="001E5BD1"/>
    <w:rsid w:val="001E6C64"/>
    <w:rsid w:val="001E713B"/>
    <w:rsid w:val="001E79B4"/>
    <w:rsid w:val="001F030F"/>
    <w:rsid w:val="001F2861"/>
    <w:rsid w:val="001F2F34"/>
    <w:rsid w:val="001F3CD3"/>
    <w:rsid w:val="001F45E0"/>
    <w:rsid w:val="001F58BD"/>
    <w:rsid w:val="001F689A"/>
    <w:rsid w:val="00200A8C"/>
    <w:rsid w:val="002017D2"/>
    <w:rsid w:val="00204C97"/>
    <w:rsid w:val="00206810"/>
    <w:rsid w:val="00207149"/>
    <w:rsid w:val="00207D1D"/>
    <w:rsid w:val="00211D09"/>
    <w:rsid w:val="002156DC"/>
    <w:rsid w:val="002168DE"/>
    <w:rsid w:val="00220B10"/>
    <w:rsid w:val="00222CF6"/>
    <w:rsid w:val="00223F6E"/>
    <w:rsid w:val="00224AC2"/>
    <w:rsid w:val="002264FB"/>
    <w:rsid w:val="00227004"/>
    <w:rsid w:val="00230183"/>
    <w:rsid w:val="0023559D"/>
    <w:rsid w:val="00237380"/>
    <w:rsid w:val="002379E7"/>
    <w:rsid w:val="002402B0"/>
    <w:rsid w:val="00242069"/>
    <w:rsid w:val="002449F9"/>
    <w:rsid w:val="00255732"/>
    <w:rsid w:val="00257B4A"/>
    <w:rsid w:val="00260B37"/>
    <w:rsid w:val="002635ED"/>
    <w:rsid w:val="002662BA"/>
    <w:rsid w:val="00266A22"/>
    <w:rsid w:val="00266D49"/>
    <w:rsid w:val="00271C5C"/>
    <w:rsid w:val="00271E67"/>
    <w:rsid w:val="002730B5"/>
    <w:rsid w:val="00276468"/>
    <w:rsid w:val="0027659F"/>
    <w:rsid w:val="002766D5"/>
    <w:rsid w:val="0027684A"/>
    <w:rsid w:val="00276EA0"/>
    <w:rsid w:val="00280594"/>
    <w:rsid w:val="00282620"/>
    <w:rsid w:val="002834D2"/>
    <w:rsid w:val="00285064"/>
    <w:rsid w:val="00287917"/>
    <w:rsid w:val="00287D4A"/>
    <w:rsid w:val="002900D2"/>
    <w:rsid w:val="0029292D"/>
    <w:rsid w:val="002930E4"/>
    <w:rsid w:val="002959DE"/>
    <w:rsid w:val="002973E0"/>
    <w:rsid w:val="002A219D"/>
    <w:rsid w:val="002A22C6"/>
    <w:rsid w:val="002A521A"/>
    <w:rsid w:val="002A546D"/>
    <w:rsid w:val="002A5A74"/>
    <w:rsid w:val="002B0750"/>
    <w:rsid w:val="002B4738"/>
    <w:rsid w:val="002B518A"/>
    <w:rsid w:val="002B6377"/>
    <w:rsid w:val="002C2904"/>
    <w:rsid w:val="002C6261"/>
    <w:rsid w:val="002D0CF1"/>
    <w:rsid w:val="002D5A23"/>
    <w:rsid w:val="002E1277"/>
    <w:rsid w:val="002E34AB"/>
    <w:rsid w:val="002E3B9F"/>
    <w:rsid w:val="002E78CB"/>
    <w:rsid w:val="002F28E5"/>
    <w:rsid w:val="002F3931"/>
    <w:rsid w:val="002F71BF"/>
    <w:rsid w:val="003070C9"/>
    <w:rsid w:val="003074FC"/>
    <w:rsid w:val="0031207D"/>
    <w:rsid w:val="003137EF"/>
    <w:rsid w:val="003200A0"/>
    <w:rsid w:val="00322E7E"/>
    <w:rsid w:val="00322F7A"/>
    <w:rsid w:val="00324A61"/>
    <w:rsid w:val="0033397A"/>
    <w:rsid w:val="003339E9"/>
    <w:rsid w:val="00334958"/>
    <w:rsid w:val="00340253"/>
    <w:rsid w:val="00340D16"/>
    <w:rsid w:val="00340E8D"/>
    <w:rsid w:val="00342846"/>
    <w:rsid w:val="00350184"/>
    <w:rsid w:val="003503FC"/>
    <w:rsid w:val="00350ED0"/>
    <w:rsid w:val="00352B27"/>
    <w:rsid w:val="00353524"/>
    <w:rsid w:val="0035374D"/>
    <w:rsid w:val="00355A95"/>
    <w:rsid w:val="00361035"/>
    <w:rsid w:val="00363255"/>
    <w:rsid w:val="0036325E"/>
    <w:rsid w:val="003671FE"/>
    <w:rsid w:val="0037018B"/>
    <w:rsid w:val="003708FD"/>
    <w:rsid w:val="003726D1"/>
    <w:rsid w:val="003745DE"/>
    <w:rsid w:val="0037667D"/>
    <w:rsid w:val="00377D5F"/>
    <w:rsid w:val="00380212"/>
    <w:rsid w:val="00383A89"/>
    <w:rsid w:val="00384075"/>
    <w:rsid w:val="00384531"/>
    <w:rsid w:val="00387F20"/>
    <w:rsid w:val="003908C5"/>
    <w:rsid w:val="00391575"/>
    <w:rsid w:val="00393131"/>
    <w:rsid w:val="0039326C"/>
    <w:rsid w:val="00396053"/>
    <w:rsid w:val="003971B2"/>
    <w:rsid w:val="003A0E52"/>
    <w:rsid w:val="003A1335"/>
    <w:rsid w:val="003A1F0A"/>
    <w:rsid w:val="003A4086"/>
    <w:rsid w:val="003A5E5B"/>
    <w:rsid w:val="003B045C"/>
    <w:rsid w:val="003B0538"/>
    <w:rsid w:val="003B0A59"/>
    <w:rsid w:val="003B0E09"/>
    <w:rsid w:val="003B3EB5"/>
    <w:rsid w:val="003B4E23"/>
    <w:rsid w:val="003B6246"/>
    <w:rsid w:val="003B6B09"/>
    <w:rsid w:val="003B767E"/>
    <w:rsid w:val="003C01E8"/>
    <w:rsid w:val="003C0554"/>
    <w:rsid w:val="003C1AB7"/>
    <w:rsid w:val="003C1F9A"/>
    <w:rsid w:val="003C6FE7"/>
    <w:rsid w:val="003D032E"/>
    <w:rsid w:val="003D4205"/>
    <w:rsid w:val="003E1C53"/>
    <w:rsid w:val="003E3694"/>
    <w:rsid w:val="003E4833"/>
    <w:rsid w:val="003F2078"/>
    <w:rsid w:val="003F4B76"/>
    <w:rsid w:val="003F5EA7"/>
    <w:rsid w:val="004030E0"/>
    <w:rsid w:val="004034A8"/>
    <w:rsid w:val="00404D66"/>
    <w:rsid w:val="0040506F"/>
    <w:rsid w:val="0041011C"/>
    <w:rsid w:val="00411134"/>
    <w:rsid w:val="0041353C"/>
    <w:rsid w:val="00415E67"/>
    <w:rsid w:val="004163E7"/>
    <w:rsid w:val="004166C3"/>
    <w:rsid w:val="00416D9A"/>
    <w:rsid w:val="00420228"/>
    <w:rsid w:val="00423641"/>
    <w:rsid w:val="00425CBA"/>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58C9"/>
    <w:rsid w:val="00466DB9"/>
    <w:rsid w:val="004672FC"/>
    <w:rsid w:val="0047004F"/>
    <w:rsid w:val="0047098F"/>
    <w:rsid w:val="00470EF8"/>
    <w:rsid w:val="00472851"/>
    <w:rsid w:val="004731B7"/>
    <w:rsid w:val="0047749E"/>
    <w:rsid w:val="00486521"/>
    <w:rsid w:val="00486DFC"/>
    <w:rsid w:val="004904A6"/>
    <w:rsid w:val="00490CFC"/>
    <w:rsid w:val="004922D6"/>
    <w:rsid w:val="00494846"/>
    <w:rsid w:val="00494DD1"/>
    <w:rsid w:val="004A094C"/>
    <w:rsid w:val="004A1432"/>
    <w:rsid w:val="004A14FC"/>
    <w:rsid w:val="004A2500"/>
    <w:rsid w:val="004A5264"/>
    <w:rsid w:val="004A5908"/>
    <w:rsid w:val="004A7C59"/>
    <w:rsid w:val="004B21AD"/>
    <w:rsid w:val="004B3120"/>
    <w:rsid w:val="004B63FB"/>
    <w:rsid w:val="004B74D0"/>
    <w:rsid w:val="004C011C"/>
    <w:rsid w:val="004C14EA"/>
    <w:rsid w:val="004C2118"/>
    <w:rsid w:val="004C2612"/>
    <w:rsid w:val="004C749C"/>
    <w:rsid w:val="004C759F"/>
    <w:rsid w:val="004D6000"/>
    <w:rsid w:val="004D60CD"/>
    <w:rsid w:val="004D6415"/>
    <w:rsid w:val="004D697F"/>
    <w:rsid w:val="004D71E8"/>
    <w:rsid w:val="004E0EA6"/>
    <w:rsid w:val="004E1DD6"/>
    <w:rsid w:val="004E2E4B"/>
    <w:rsid w:val="004E393E"/>
    <w:rsid w:val="004E39DA"/>
    <w:rsid w:val="004E4507"/>
    <w:rsid w:val="004E4619"/>
    <w:rsid w:val="004E77AD"/>
    <w:rsid w:val="004F0A7D"/>
    <w:rsid w:val="004F5040"/>
    <w:rsid w:val="00501F3A"/>
    <w:rsid w:val="00503095"/>
    <w:rsid w:val="005059F5"/>
    <w:rsid w:val="00511462"/>
    <w:rsid w:val="00513789"/>
    <w:rsid w:val="0051538E"/>
    <w:rsid w:val="00516CA1"/>
    <w:rsid w:val="00517E01"/>
    <w:rsid w:val="005208C8"/>
    <w:rsid w:val="00521EEC"/>
    <w:rsid w:val="00530B90"/>
    <w:rsid w:val="00530FA0"/>
    <w:rsid w:val="00536EDA"/>
    <w:rsid w:val="005405E7"/>
    <w:rsid w:val="00541717"/>
    <w:rsid w:val="00543122"/>
    <w:rsid w:val="00543484"/>
    <w:rsid w:val="00543B94"/>
    <w:rsid w:val="005460BD"/>
    <w:rsid w:val="005521C8"/>
    <w:rsid w:val="00552D4A"/>
    <w:rsid w:val="00553197"/>
    <w:rsid w:val="0055409E"/>
    <w:rsid w:val="00554139"/>
    <w:rsid w:val="005543D8"/>
    <w:rsid w:val="00555612"/>
    <w:rsid w:val="00556367"/>
    <w:rsid w:val="00556B35"/>
    <w:rsid w:val="00561D76"/>
    <w:rsid w:val="005703D6"/>
    <w:rsid w:val="00572803"/>
    <w:rsid w:val="00573E13"/>
    <w:rsid w:val="005753DA"/>
    <w:rsid w:val="005767AA"/>
    <w:rsid w:val="005811A4"/>
    <w:rsid w:val="005833A4"/>
    <w:rsid w:val="00583DCD"/>
    <w:rsid w:val="00584496"/>
    <w:rsid w:val="005848D7"/>
    <w:rsid w:val="00584F82"/>
    <w:rsid w:val="00591DFA"/>
    <w:rsid w:val="005A30AA"/>
    <w:rsid w:val="005A4ED6"/>
    <w:rsid w:val="005A5695"/>
    <w:rsid w:val="005A7F18"/>
    <w:rsid w:val="005B031E"/>
    <w:rsid w:val="005B0A1C"/>
    <w:rsid w:val="005B22CE"/>
    <w:rsid w:val="005B2F00"/>
    <w:rsid w:val="005B3792"/>
    <w:rsid w:val="005B523B"/>
    <w:rsid w:val="005B57DE"/>
    <w:rsid w:val="005B6F6A"/>
    <w:rsid w:val="005C12EE"/>
    <w:rsid w:val="005C1886"/>
    <w:rsid w:val="005C48D4"/>
    <w:rsid w:val="005C761E"/>
    <w:rsid w:val="005D0E5F"/>
    <w:rsid w:val="005D1DE4"/>
    <w:rsid w:val="005E18BC"/>
    <w:rsid w:val="005E1BDB"/>
    <w:rsid w:val="005E2A3F"/>
    <w:rsid w:val="005E35BD"/>
    <w:rsid w:val="005E3D4D"/>
    <w:rsid w:val="005E3F64"/>
    <w:rsid w:val="005E60E9"/>
    <w:rsid w:val="005E7FD1"/>
    <w:rsid w:val="005F0522"/>
    <w:rsid w:val="005F0545"/>
    <w:rsid w:val="005F0B97"/>
    <w:rsid w:val="005F2858"/>
    <w:rsid w:val="005F52AB"/>
    <w:rsid w:val="005F7866"/>
    <w:rsid w:val="005F7EDF"/>
    <w:rsid w:val="006002E3"/>
    <w:rsid w:val="00601414"/>
    <w:rsid w:val="00602FF7"/>
    <w:rsid w:val="0060683F"/>
    <w:rsid w:val="006145AC"/>
    <w:rsid w:val="00615F98"/>
    <w:rsid w:val="00616503"/>
    <w:rsid w:val="006207F5"/>
    <w:rsid w:val="00621112"/>
    <w:rsid w:val="006218F2"/>
    <w:rsid w:val="00621CAC"/>
    <w:rsid w:val="00621F9C"/>
    <w:rsid w:val="00623D44"/>
    <w:rsid w:val="006261EC"/>
    <w:rsid w:val="00631166"/>
    <w:rsid w:val="00631F1C"/>
    <w:rsid w:val="00636289"/>
    <w:rsid w:val="006366A4"/>
    <w:rsid w:val="00640D6E"/>
    <w:rsid w:val="006425DD"/>
    <w:rsid w:val="00643B59"/>
    <w:rsid w:val="00643B60"/>
    <w:rsid w:val="006456B1"/>
    <w:rsid w:val="0065173E"/>
    <w:rsid w:val="00652D93"/>
    <w:rsid w:val="006542B6"/>
    <w:rsid w:val="00654B75"/>
    <w:rsid w:val="006564EC"/>
    <w:rsid w:val="0066084C"/>
    <w:rsid w:val="00661B23"/>
    <w:rsid w:val="006628FD"/>
    <w:rsid w:val="00665956"/>
    <w:rsid w:val="00665CCF"/>
    <w:rsid w:val="006717E0"/>
    <w:rsid w:val="006721F1"/>
    <w:rsid w:val="00672CF9"/>
    <w:rsid w:val="00672E11"/>
    <w:rsid w:val="00675619"/>
    <w:rsid w:val="0068273B"/>
    <w:rsid w:val="006847A0"/>
    <w:rsid w:val="006862F3"/>
    <w:rsid w:val="00691234"/>
    <w:rsid w:val="00692202"/>
    <w:rsid w:val="006931CC"/>
    <w:rsid w:val="006947F2"/>
    <w:rsid w:val="00696523"/>
    <w:rsid w:val="00697919"/>
    <w:rsid w:val="006B145C"/>
    <w:rsid w:val="006B3FCF"/>
    <w:rsid w:val="006B46CA"/>
    <w:rsid w:val="006B549E"/>
    <w:rsid w:val="006B54A7"/>
    <w:rsid w:val="006C0391"/>
    <w:rsid w:val="006C28B3"/>
    <w:rsid w:val="006D0B48"/>
    <w:rsid w:val="006D1BE6"/>
    <w:rsid w:val="006D1F66"/>
    <w:rsid w:val="006D2CEC"/>
    <w:rsid w:val="006D306E"/>
    <w:rsid w:val="006D41D7"/>
    <w:rsid w:val="006D4497"/>
    <w:rsid w:val="006D636B"/>
    <w:rsid w:val="006D7C49"/>
    <w:rsid w:val="006E1A9C"/>
    <w:rsid w:val="006E3B5C"/>
    <w:rsid w:val="006E5D21"/>
    <w:rsid w:val="006F1AAE"/>
    <w:rsid w:val="006F2D43"/>
    <w:rsid w:val="006F62EB"/>
    <w:rsid w:val="006F6C15"/>
    <w:rsid w:val="00700B1B"/>
    <w:rsid w:val="007023BC"/>
    <w:rsid w:val="007029CF"/>
    <w:rsid w:val="00707022"/>
    <w:rsid w:val="0070727E"/>
    <w:rsid w:val="007101D6"/>
    <w:rsid w:val="00710D3A"/>
    <w:rsid w:val="00711749"/>
    <w:rsid w:val="0071315F"/>
    <w:rsid w:val="007136F6"/>
    <w:rsid w:val="007159C7"/>
    <w:rsid w:val="00720057"/>
    <w:rsid w:val="00721942"/>
    <w:rsid w:val="00722A18"/>
    <w:rsid w:val="00722BE7"/>
    <w:rsid w:val="00723134"/>
    <w:rsid w:val="007254E8"/>
    <w:rsid w:val="00730CC7"/>
    <w:rsid w:val="00732DF2"/>
    <w:rsid w:val="0073442D"/>
    <w:rsid w:val="00735B8F"/>
    <w:rsid w:val="007403B3"/>
    <w:rsid w:val="007404B2"/>
    <w:rsid w:val="007446C7"/>
    <w:rsid w:val="00744F2E"/>
    <w:rsid w:val="00747941"/>
    <w:rsid w:val="00750B85"/>
    <w:rsid w:val="00752730"/>
    <w:rsid w:val="007568FD"/>
    <w:rsid w:val="007614F1"/>
    <w:rsid w:val="007618C5"/>
    <w:rsid w:val="00764066"/>
    <w:rsid w:val="0076427D"/>
    <w:rsid w:val="00764D55"/>
    <w:rsid w:val="00766B7B"/>
    <w:rsid w:val="00770DBC"/>
    <w:rsid w:val="0077600F"/>
    <w:rsid w:val="007760AE"/>
    <w:rsid w:val="00776118"/>
    <w:rsid w:val="00781C77"/>
    <w:rsid w:val="00787495"/>
    <w:rsid w:val="00790F13"/>
    <w:rsid w:val="00792BFD"/>
    <w:rsid w:val="00793A1C"/>
    <w:rsid w:val="00796745"/>
    <w:rsid w:val="007A28FF"/>
    <w:rsid w:val="007A4009"/>
    <w:rsid w:val="007A4F78"/>
    <w:rsid w:val="007A52F4"/>
    <w:rsid w:val="007A6AF4"/>
    <w:rsid w:val="007A7125"/>
    <w:rsid w:val="007B0DE0"/>
    <w:rsid w:val="007B0F83"/>
    <w:rsid w:val="007B5D65"/>
    <w:rsid w:val="007C0A4F"/>
    <w:rsid w:val="007C3805"/>
    <w:rsid w:val="007D0081"/>
    <w:rsid w:val="007D1983"/>
    <w:rsid w:val="007D19FC"/>
    <w:rsid w:val="007D29A1"/>
    <w:rsid w:val="007D2B4E"/>
    <w:rsid w:val="007D2DB0"/>
    <w:rsid w:val="007D2EE9"/>
    <w:rsid w:val="007D469A"/>
    <w:rsid w:val="007D4BC4"/>
    <w:rsid w:val="007D61D0"/>
    <w:rsid w:val="007D6D94"/>
    <w:rsid w:val="007D6F8C"/>
    <w:rsid w:val="007E069C"/>
    <w:rsid w:val="007E094E"/>
    <w:rsid w:val="007E0EA7"/>
    <w:rsid w:val="007E1C54"/>
    <w:rsid w:val="007E26A1"/>
    <w:rsid w:val="007E37B1"/>
    <w:rsid w:val="007E3F23"/>
    <w:rsid w:val="007E53A4"/>
    <w:rsid w:val="007F02D5"/>
    <w:rsid w:val="007F142E"/>
    <w:rsid w:val="007F289C"/>
    <w:rsid w:val="007F2BBE"/>
    <w:rsid w:val="007F33C8"/>
    <w:rsid w:val="007F3CEB"/>
    <w:rsid w:val="007F66BC"/>
    <w:rsid w:val="007F6A37"/>
    <w:rsid w:val="007F7AFC"/>
    <w:rsid w:val="007F7B5E"/>
    <w:rsid w:val="00800B97"/>
    <w:rsid w:val="00801246"/>
    <w:rsid w:val="00801F11"/>
    <w:rsid w:val="00802B1A"/>
    <w:rsid w:val="00805CD2"/>
    <w:rsid w:val="0080615C"/>
    <w:rsid w:val="0081027F"/>
    <w:rsid w:val="0081352D"/>
    <w:rsid w:val="00815622"/>
    <w:rsid w:val="0081742D"/>
    <w:rsid w:val="00817AB1"/>
    <w:rsid w:val="00820419"/>
    <w:rsid w:val="00820817"/>
    <w:rsid w:val="00821F4D"/>
    <w:rsid w:val="00823906"/>
    <w:rsid w:val="00823E24"/>
    <w:rsid w:val="00824068"/>
    <w:rsid w:val="00836AC2"/>
    <w:rsid w:val="008409D3"/>
    <w:rsid w:val="008420B2"/>
    <w:rsid w:val="0084319F"/>
    <w:rsid w:val="00843F5F"/>
    <w:rsid w:val="00844374"/>
    <w:rsid w:val="00844FEB"/>
    <w:rsid w:val="00845559"/>
    <w:rsid w:val="00846104"/>
    <w:rsid w:val="0084797B"/>
    <w:rsid w:val="00852ABC"/>
    <w:rsid w:val="008532E4"/>
    <w:rsid w:val="00854DB8"/>
    <w:rsid w:val="00854EF2"/>
    <w:rsid w:val="00855623"/>
    <w:rsid w:val="00855D99"/>
    <w:rsid w:val="008601A7"/>
    <w:rsid w:val="0086211B"/>
    <w:rsid w:val="008622CF"/>
    <w:rsid w:val="008627C6"/>
    <w:rsid w:val="00863B86"/>
    <w:rsid w:val="00864932"/>
    <w:rsid w:val="008652A2"/>
    <w:rsid w:val="008706CD"/>
    <w:rsid w:val="0087169D"/>
    <w:rsid w:val="00871F69"/>
    <w:rsid w:val="00872052"/>
    <w:rsid w:val="008722F9"/>
    <w:rsid w:val="0087302E"/>
    <w:rsid w:val="00875A47"/>
    <w:rsid w:val="00876ACE"/>
    <w:rsid w:val="008813FA"/>
    <w:rsid w:val="00883391"/>
    <w:rsid w:val="008842D0"/>
    <w:rsid w:val="00884AC4"/>
    <w:rsid w:val="0088579D"/>
    <w:rsid w:val="00892883"/>
    <w:rsid w:val="008942D5"/>
    <w:rsid w:val="0089707B"/>
    <w:rsid w:val="008A1A58"/>
    <w:rsid w:val="008A28B9"/>
    <w:rsid w:val="008A4233"/>
    <w:rsid w:val="008A49DF"/>
    <w:rsid w:val="008A4AFF"/>
    <w:rsid w:val="008A5FA7"/>
    <w:rsid w:val="008A68E7"/>
    <w:rsid w:val="008A7953"/>
    <w:rsid w:val="008B1828"/>
    <w:rsid w:val="008B3081"/>
    <w:rsid w:val="008B328F"/>
    <w:rsid w:val="008B32D4"/>
    <w:rsid w:val="008C259C"/>
    <w:rsid w:val="008C7AD0"/>
    <w:rsid w:val="008D0020"/>
    <w:rsid w:val="008D3C38"/>
    <w:rsid w:val="008D3C4B"/>
    <w:rsid w:val="008D5CA9"/>
    <w:rsid w:val="008D6A05"/>
    <w:rsid w:val="008E1174"/>
    <w:rsid w:val="008E12B6"/>
    <w:rsid w:val="008E2184"/>
    <w:rsid w:val="008E2AE5"/>
    <w:rsid w:val="008E2BCA"/>
    <w:rsid w:val="008E3CCE"/>
    <w:rsid w:val="008E3F89"/>
    <w:rsid w:val="008E5117"/>
    <w:rsid w:val="008E7C43"/>
    <w:rsid w:val="008E7D58"/>
    <w:rsid w:val="008F26CB"/>
    <w:rsid w:val="008F36EC"/>
    <w:rsid w:val="008F3D95"/>
    <w:rsid w:val="008F6509"/>
    <w:rsid w:val="008F65B6"/>
    <w:rsid w:val="008F79D9"/>
    <w:rsid w:val="009027C8"/>
    <w:rsid w:val="00910EEF"/>
    <w:rsid w:val="00914612"/>
    <w:rsid w:val="00917A23"/>
    <w:rsid w:val="00920B0C"/>
    <w:rsid w:val="00922AF4"/>
    <w:rsid w:val="00922D1B"/>
    <w:rsid w:val="00930461"/>
    <w:rsid w:val="00930710"/>
    <w:rsid w:val="0093467A"/>
    <w:rsid w:val="009353F1"/>
    <w:rsid w:val="009376D6"/>
    <w:rsid w:val="0094155C"/>
    <w:rsid w:val="00946444"/>
    <w:rsid w:val="00951531"/>
    <w:rsid w:val="00953B29"/>
    <w:rsid w:val="0095741E"/>
    <w:rsid w:val="009609CB"/>
    <w:rsid w:val="00960A3B"/>
    <w:rsid w:val="0096375C"/>
    <w:rsid w:val="00963D6F"/>
    <w:rsid w:val="00967DE0"/>
    <w:rsid w:val="00971E07"/>
    <w:rsid w:val="00971E5F"/>
    <w:rsid w:val="00971F6D"/>
    <w:rsid w:val="009802D2"/>
    <w:rsid w:val="0098060A"/>
    <w:rsid w:val="00980944"/>
    <w:rsid w:val="009815A9"/>
    <w:rsid w:val="00981FE8"/>
    <w:rsid w:val="00986D77"/>
    <w:rsid w:val="009914D7"/>
    <w:rsid w:val="00993A6E"/>
    <w:rsid w:val="009943EC"/>
    <w:rsid w:val="009A0896"/>
    <w:rsid w:val="009A16E8"/>
    <w:rsid w:val="009A1BAD"/>
    <w:rsid w:val="009A32D5"/>
    <w:rsid w:val="009A541D"/>
    <w:rsid w:val="009A5D37"/>
    <w:rsid w:val="009A610E"/>
    <w:rsid w:val="009A6BD9"/>
    <w:rsid w:val="009A76A2"/>
    <w:rsid w:val="009B289E"/>
    <w:rsid w:val="009B320F"/>
    <w:rsid w:val="009B3472"/>
    <w:rsid w:val="009B38A1"/>
    <w:rsid w:val="009B41F7"/>
    <w:rsid w:val="009B479C"/>
    <w:rsid w:val="009B6012"/>
    <w:rsid w:val="009B6455"/>
    <w:rsid w:val="009C0EBA"/>
    <w:rsid w:val="009C102D"/>
    <w:rsid w:val="009C2A4F"/>
    <w:rsid w:val="009C4834"/>
    <w:rsid w:val="009C56F2"/>
    <w:rsid w:val="009D10FB"/>
    <w:rsid w:val="009D1BDE"/>
    <w:rsid w:val="009D232F"/>
    <w:rsid w:val="009D2FB1"/>
    <w:rsid w:val="009D312C"/>
    <w:rsid w:val="009D32AE"/>
    <w:rsid w:val="009D4C59"/>
    <w:rsid w:val="009D56D7"/>
    <w:rsid w:val="009D7F91"/>
    <w:rsid w:val="009E20EF"/>
    <w:rsid w:val="009E2478"/>
    <w:rsid w:val="009E26EE"/>
    <w:rsid w:val="009E534D"/>
    <w:rsid w:val="009E631E"/>
    <w:rsid w:val="009E6646"/>
    <w:rsid w:val="009F1C7B"/>
    <w:rsid w:val="009F21A2"/>
    <w:rsid w:val="00A00D70"/>
    <w:rsid w:val="00A00DEE"/>
    <w:rsid w:val="00A01E4F"/>
    <w:rsid w:val="00A02580"/>
    <w:rsid w:val="00A0468E"/>
    <w:rsid w:val="00A04C95"/>
    <w:rsid w:val="00A10D04"/>
    <w:rsid w:val="00A134B1"/>
    <w:rsid w:val="00A201D9"/>
    <w:rsid w:val="00A21529"/>
    <w:rsid w:val="00A27889"/>
    <w:rsid w:val="00A32D95"/>
    <w:rsid w:val="00A32FBF"/>
    <w:rsid w:val="00A3307E"/>
    <w:rsid w:val="00A407EA"/>
    <w:rsid w:val="00A40D9C"/>
    <w:rsid w:val="00A4138D"/>
    <w:rsid w:val="00A46D46"/>
    <w:rsid w:val="00A51749"/>
    <w:rsid w:val="00A521B6"/>
    <w:rsid w:val="00A56962"/>
    <w:rsid w:val="00A62DD3"/>
    <w:rsid w:val="00A6382F"/>
    <w:rsid w:val="00A63855"/>
    <w:rsid w:val="00A6412C"/>
    <w:rsid w:val="00A72F01"/>
    <w:rsid w:val="00A72FAF"/>
    <w:rsid w:val="00A75419"/>
    <w:rsid w:val="00A76661"/>
    <w:rsid w:val="00A76D2A"/>
    <w:rsid w:val="00A81F5B"/>
    <w:rsid w:val="00A82081"/>
    <w:rsid w:val="00A83B97"/>
    <w:rsid w:val="00A8557E"/>
    <w:rsid w:val="00A8660B"/>
    <w:rsid w:val="00A87756"/>
    <w:rsid w:val="00A903E4"/>
    <w:rsid w:val="00A91181"/>
    <w:rsid w:val="00A925D6"/>
    <w:rsid w:val="00A93194"/>
    <w:rsid w:val="00A935AC"/>
    <w:rsid w:val="00A96424"/>
    <w:rsid w:val="00AA06DA"/>
    <w:rsid w:val="00AA3D5D"/>
    <w:rsid w:val="00AA3DE0"/>
    <w:rsid w:val="00AB04BD"/>
    <w:rsid w:val="00AB299E"/>
    <w:rsid w:val="00AB3847"/>
    <w:rsid w:val="00AB395A"/>
    <w:rsid w:val="00AB507C"/>
    <w:rsid w:val="00AB606E"/>
    <w:rsid w:val="00AB7B50"/>
    <w:rsid w:val="00AC096E"/>
    <w:rsid w:val="00AC306F"/>
    <w:rsid w:val="00AC4F6C"/>
    <w:rsid w:val="00AD0ED3"/>
    <w:rsid w:val="00AD1400"/>
    <w:rsid w:val="00AD2BB0"/>
    <w:rsid w:val="00AD6E76"/>
    <w:rsid w:val="00AE3EAA"/>
    <w:rsid w:val="00AE5EDF"/>
    <w:rsid w:val="00AE758A"/>
    <w:rsid w:val="00AF007B"/>
    <w:rsid w:val="00AF45B3"/>
    <w:rsid w:val="00AF77DF"/>
    <w:rsid w:val="00B0219E"/>
    <w:rsid w:val="00B03BC8"/>
    <w:rsid w:val="00B06261"/>
    <w:rsid w:val="00B06914"/>
    <w:rsid w:val="00B0754F"/>
    <w:rsid w:val="00B108BA"/>
    <w:rsid w:val="00B108E6"/>
    <w:rsid w:val="00B12273"/>
    <w:rsid w:val="00B13F59"/>
    <w:rsid w:val="00B14F7F"/>
    <w:rsid w:val="00B15004"/>
    <w:rsid w:val="00B16EB9"/>
    <w:rsid w:val="00B22F24"/>
    <w:rsid w:val="00B22F53"/>
    <w:rsid w:val="00B23538"/>
    <w:rsid w:val="00B247B8"/>
    <w:rsid w:val="00B24DBE"/>
    <w:rsid w:val="00B335D5"/>
    <w:rsid w:val="00B34EB2"/>
    <w:rsid w:val="00B377BE"/>
    <w:rsid w:val="00B408DE"/>
    <w:rsid w:val="00B41C8C"/>
    <w:rsid w:val="00B4728A"/>
    <w:rsid w:val="00B5110B"/>
    <w:rsid w:val="00B517C3"/>
    <w:rsid w:val="00B518B2"/>
    <w:rsid w:val="00B526EA"/>
    <w:rsid w:val="00B5311A"/>
    <w:rsid w:val="00B536FE"/>
    <w:rsid w:val="00B53C1D"/>
    <w:rsid w:val="00B55AB4"/>
    <w:rsid w:val="00B60670"/>
    <w:rsid w:val="00B63508"/>
    <w:rsid w:val="00B645E4"/>
    <w:rsid w:val="00B73FFA"/>
    <w:rsid w:val="00B74A6E"/>
    <w:rsid w:val="00B77162"/>
    <w:rsid w:val="00B82CC4"/>
    <w:rsid w:val="00B836D2"/>
    <w:rsid w:val="00B838C3"/>
    <w:rsid w:val="00B85AF5"/>
    <w:rsid w:val="00B86218"/>
    <w:rsid w:val="00B874F1"/>
    <w:rsid w:val="00B877E0"/>
    <w:rsid w:val="00B91001"/>
    <w:rsid w:val="00B95963"/>
    <w:rsid w:val="00B96783"/>
    <w:rsid w:val="00B974FB"/>
    <w:rsid w:val="00BA4636"/>
    <w:rsid w:val="00BA5D61"/>
    <w:rsid w:val="00BB3D37"/>
    <w:rsid w:val="00BC1DE7"/>
    <w:rsid w:val="00BC1FE2"/>
    <w:rsid w:val="00BC209E"/>
    <w:rsid w:val="00BC292A"/>
    <w:rsid w:val="00BC2C67"/>
    <w:rsid w:val="00BC54BC"/>
    <w:rsid w:val="00BC5AEE"/>
    <w:rsid w:val="00BD2A95"/>
    <w:rsid w:val="00BD2CA9"/>
    <w:rsid w:val="00BD6029"/>
    <w:rsid w:val="00BD75B0"/>
    <w:rsid w:val="00BE0541"/>
    <w:rsid w:val="00BE1ADB"/>
    <w:rsid w:val="00BE3110"/>
    <w:rsid w:val="00BE3152"/>
    <w:rsid w:val="00BE555C"/>
    <w:rsid w:val="00BF0693"/>
    <w:rsid w:val="00BF1286"/>
    <w:rsid w:val="00BF6308"/>
    <w:rsid w:val="00C028BC"/>
    <w:rsid w:val="00C070DE"/>
    <w:rsid w:val="00C071F9"/>
    <w:rsid w:val="00C07598"/>
    <w:rsid w:val="00C1383D"/>
    <w:rsid w:val="00C14420"/>
    <w:rsid w:val="00C15175"/>
    <w:rsid w:val="00C15EC0"/>
    <w:rsid w:val="00C1742B"/>
    <w:rsid w:val="00C216BD"/>
    <w:rsid w:val="00C21CDE"/>
    <w:rsid w:val="00C230F3"/>
    <w:rsid w:val="00C232C2"/>
    <w:rsid w:val="00C239E0"/>
    <w:rsid w:val="00C24A8C"/>
    <w:rsid w:val="00C2671D"/>
    <w:rsid w:val="00C26DFB"/>
    <w:rsid w:val="00C273FA"/>
    <w:rsid w:val="00C30CEF"/>
    <w:rsid w:val="00C30D06"/>
    <w:rsid w:val="00C32191"/>
    <w:rsid w:val="00C361FD"/>
    <w:rsid w:val="00C36CDA"/>
    <w:rsid w:val="00C37916"/>
    <w:rsid w:val="00C41058"/>
    <w:rsid w:val="00C42067"/>
    <w:rsid w:val="00C432D0"/>
    <w:rsid w:val="00C4398E"/>
    <w:rsid w:val="00C44218"/>
    <w:rsid w:val="00C4666E"/>
    <w:rsid w:val="00C51600"/>
    <w:rsid w:val="00C524B7"/>
    <w:rsid w:val="00C54185"/>
    <w:rsid w:val="00C57073"/>
    <w:rsid w:val="00C5761D"/>
    <w:rsid w:val="00C57E92"/>
    <w:rsid w:val="00C60B4A"/>
    <w:rsid w:val="00C61DAD"/>
    <w:rsid w:val="00C64A29"/>
    <w:rsid w:val="00C65BDB"/>
    <w:rsid w:val="00C66C95"/>
    <w:rsid w:val="00C6738C"/>
    <w:rsid w:val="00C70F39"/>
    <w:rsid w:val="00C71A3B"/>
    <w:rsid w:val="00C757CC"/>
    <w:rsid w:val="00C75ED0"/>
    <w:rsid w:val="00C76CFA"/>
    <w:rsid w:val="00C819C8"/>
    <w:rsid w:val="00C84A53"/>
    <w:rsid w:val="00C850F8"/>
    <w:rsid w:val="00C8747B"/>
    <w:rsid w:val="00C87D5B"/>
    <w:rsid w:val="00C92A5A"/>
    <w:rsid w:val="00C94FF6"/>
    <w:rsid w:val="00C963F8"/>
    <w:rsid w:val="00C96BB1"/>
    <w:rsid w:val="00C970C8"/>
    <w:rsid w:val="00CA2F80"/>
    <w:rsid w:val="00CA3ECF"/>
    <w:rsid w:val="00CA4AE6"/>
    <w:rsid w:val="00CB029A"/>
    <w:rsid w:val="00CB0C2A"/>
    <w:rsid w:val="00CB3B98"/>
    <w:rsid w:val="00CB7D7E"/>
    <w:rsid w:val="00CC22E1"/>
    <w:rsid w:val="00CC4B2B"/>
    <w:rsid w:val="00CC51C4"/>
    <w:rsid w:val="00CC579C"/>
    <w:rsid w:val="00CC5F5F"/>
    <w:rsid w:val="00CC6BEC"/>
    <w:rsid w:val="00CC743B"/>
    <w:rsid w:val="00CD3460"/>
    <w:rsid w:val="00CD44C9"/>
    <w:rsid w:val="00CD47A7"/>
    <w:rsid w:val="00CD4B61"/>
    <w:rsid w:val="00CD5043"/>
    <w:rsid w:val="00CD59E7"/>
    <w:rsid w:val="00CE066A"/>
    <w:rsid w:val="00CE124A"/>
    <w:rsid w:val="00CE233C"/>
    <w:rsid w:val="00CE2928"/>
    <w:rsid w:val="00CE314A"/>
    <w:rsid w:val="00CE5865"/>
    <w:rsid w:val="00CE6ED8"/>
    <w:rsid w:val="00CE737B"/>
    <w:rsid w:val="00CE7555"/>
    <w:rsid w:val="00CF3622"/>
    <w:rsid w:val="00CF3D9D"/>
    <w:rsid w:val="00CF6B77"/>
    <w:rsid w:val="00D00018"/>
    <w:rsid w:val="00D01C50"/>
    <w:rsid w:val="00D03659"/>
    <w:rsid w:val="00D06058"/>
    <w:rsid w:val="00D11B24"/>
    <w:rsid w:val="00D11C18"/>
    <w:rsid w:val="00D12FFF"/>
    <w:rsid w:val="00D133C8"/>
    <w:rsid w:val="00D14DB8"/>
    <w:rsid w:val="00D17339"/>
    <w:rsid w:val="00D244D5"/>
    <w:rsid w:val="00D2639E"/>
    <w:rsid w:val="00D2776A"/>
    <w:rsid w:val="00D27C9E"/>
    <w:rsid w:val="00D31480"/>
    <w:rsid w:val="00D31541"/>
    <w:rsid w:val="00D4021B"/>
    <w:rsid w:val="00D4059E"/>
    <w:rsid w:val="00D413DB"/>
    <w:rsid w:val="00D41890"/>
    <w:rsid w:val="00D41D4E"/>
    <w:rsid w:val="00D420E2"/>
    <w:rsid w:val="00D42248"/>
    <w:rsid w:val="00D4459D"/>
    <w:rsid w:val="00D44B24"/>
    <w:rsid w:val="00D50FBE"/>
    <w:rsid w:val="00D52863"/>
    <w:rsid w:val="00D530B9"/>
    <w:rsid w:val="00D56BB6"/>
    <w:rsid w:val="00D570E4"/>
    <w:rsid w:val="00D573F9"/>
    <w:rsid w:val="00D57533"/>
    <w:rsid w:val="00D60532"/>
    <w:rsid w:val="00D6058B"/>
    <w:rsid w:val="00D60814"/>
    <w:rsid w:val="00D608E5"/>
    <w:rsid w:val="00D60A95"/>
    <w:rsid w:val="00D61A05"/>
    <w:rsid w:val="00D62D9E"/>
    <w:rsid w:val="00D63EC5"/>
    <w:rsid w:val="00D6459D"/>
    <w:rsid w:val="00D64BC3"/>
    <w:rsid w:val="00D66C46"/>
    <w:rsid w:val="00D708CB"/>
    <w:rsid w:val="00D7126F"/>
    <w:rsid w:val="00D72C05"/>
    <w:rsid w:val="00D73575"/>
    <w:rsid w:val="00D735BF"/>
    <w:rsid w:val="00D737B6"/>
    <w:rsid w:val="00D77672"/>
    <w:rsid w:val="00D779F0"/>
    <w:rsid w:val="00D80222"/>
    <w:rsid w:val="00D847CF"/>
    <w:rsid w:val="00D86B86"/>
    <w:rsid w:val="00D87328"/>
    <w:rsid w:val="00D87489"/>
    <w:rsid w:val="00D93BE8"/>
    <w:rsid w:val="00D93E97"/>
    <w:rsid w:val="00D9627B"/>
    <w:rsid w:val="00DA015E"/>
    <w:rsid w:val="00DA0A99"/>
    <w:rsid w:val="00DA0A9D"/>
    <w:rsid w:val="00DA2B28"/>
    <w:rsid w:val="00DA54D4"/>
    <w:rsid w:val="00DA6086"/>
    <w:rsid w:val="00DA7603"/>
    <w:rsid w:val="00DA7E39"/>
    <w:rsid w:val="00DA7EDE"/>
    <w:rsid w:val="00DB0223"/>
    <w:rsid w:val="00DB047C"/>
    <w:rsid w:val="00DB1D79"/>
    <w:rsid w:val="00DB5028"/>
    <w:rsid w:val="00DC0AB5"/>
    <w:rsid w:val="00DC30DD"/>
    <w:rsid w:val="00DC3451"/>
    <w:rsid w:val="00DC50EB"/>
    <w:rsid w:val="00DC67B2"/>
    <w:rsid w:val="00DC7F71"/>
    <w:rsid w:val="00DD19F4"/>
    <w:rsid w:val="00DD3DAA"/>
    <w:rsid w:val="00DD3FA0"/>
    <w:rsid w:val="00DE24D5"/>
    <w:rsid w:val="00DE2CC9"/>
    <w:rsid w:val="00DE411D"/>
    <w:rsid w:val="00DE5B2D"/>
    <w:rsid w:val="00DE5C3E"/>
    <w:rsid w:val="00DE5CE9"/>
    <w:rsid w:val="00DF3036"/>
    <w:rsid w:val="00DF45BB"/>
    <w:rsid w:val="00DF71EE"/>
    <w:rsid w:val="00DF729A"/>
    <w:rsid w:val="00E006DC"/>
    <w:rsid w:val="00E03064"/>
    <w:rsid w:val="00E0372D"/>
    <w:rsid w:val="00E03F9C"/>
    <w:rsid w:val="00E04BD5"/>
    <w:rsid w:val="00E070D2"/>
    <w:rsid w:val="00E100F5"/>
    <w:rsid w:val="00E1139A"/>
    <w:rsid w:val="00E126EB"/>
    <w:rsid w:val="00E14692"/>
    <w:rsid w:val="00E1539C"/>
    <w:rsid w:val="00E162B6"/>
    <w:rsid w:val="00E16E01"/>
    <w:rsid w:val="00E20FC8"/>
    <w:rsid w:val="00E21DD2"/>
    <w:rsid w:val="00E220DD"/>
    <w:rsid w:val="00E24A50"/>
    <w:rsid w:val="00E25A69"/>
    <w:rsid w:val="00E26DC5"/>
    <w:rsid w:val="00E31469"/>
    <w:rsid w:val="00E327C6"/>
    <w:rsid w:val="00E3296A"/>
    <w:rsid w:val="00E35639"/>
    <w:rsid w:val="00E361AB"/>
    <w:rsid w:val="00E3622E"/>
    <w:rsid w:val="00E402E1"/>
    <w:rsid w:val="00E4188A"/>
    <w:rsid w:val="00E41E54"/>
    <w:rsid w:val="00E420AA"/>
    <w:rsid w:val="00E428CA"/>
    <w:rsid w:val="00E42D22"/>
    <w:rsid w:val="00E432CC"/>
    <w:rsid w:val="00E47FF2"/>
    <w:rsid w:val="00E50711"/>
    <w:rsid w:val="00E52522"/>
    <w:rsid w:val="00E531C9"/>
    <w:rsid w:val="00E561E1"/>
    <w:rsid w:val="00E572EA"/>
    <w:rsid w:val="00E60AD3"/>
    <w:rsid w:val="00E60EDA"/>
    <w:rsid w:val="00E62495"/>
    <w:rsid w:val="00E62BBC"/>
    <w:rsid w:val="00E653CF"/>
    <w:rsid w:val="00E67BAE"/>
    <w:rsid w:val="00E711AE"/>
    <w:rsid w:val="00E716F3"/>
    <w:rsid w:val="00E737AD"/>
    <w:rsid w:val="00E76789"/>
    <w:rsid w:val="00E774F6"/>
    <w:rsid w:val="00E8106F"/>
    <w:rsid w:val="00E811B6"/>
    <w:rsid w:val="00E91A0E"/>
    <w:rsid w:val="00E931FF"/>
    <w:rsid w:val="00E9405F"/>
    <w:rsid w:val="00E9503C"/>
    <w:rsid w:val="00E956D9"/>
    <w:rsid w:val="00EA02E9"/>
    <w:rsid w:val="00EA10DA"/>
    <w:rsid w:val="00EA1958"/>
    <w:rsid w:val="00EA29F5"/>
    <w:rsid w:val="00EA482D"/>
    <w:rsid w:val="00EA4C55"/>
    <w:rsid w:val="00EA52B3"/>
    <w:rsid w:val="00EA6938"/>
    <w:rsid w:val="00EB47AC"/>
    <w:rsid w:val="00EB5FE6"/>
    <w:rsid w:val="00EB61A5"/>
    <w:rsid w:val="00EB6C1B"/>
    <w:rsid w:val="00EB7A09"/>
    <w:rsid w:val="00EC04A5"/>
    <w:rsid w:val="00EC0C9C"/>
    <w:rsid w:val="00EC0EDC"/>
    <w:rsid w:val="00EC5AF4"/>
    <w:rsid w:val="00EC6FA8"/>
    <w:rsid w:val="00EC7E0B"/>
    <w:rsid w:val="00ED0A00"/>
    <w:rsid w:val="00ED2A67"/>
    <w:rsid w:val="00ED4508"/>
    <w:rsid w:val="00ED661C"/>
    <w:rsid w:val="00ED7FB5"/>
    <w:rsid w:val="00EE1D6C"/>
    <w:rsid w:val="00EE41B5"/>
    <w:rsid w:val="00EE66C9"/>
    <w:rsid w:val="00EF10DB"/>
    <w:rsid w:val="00EF11A9"/>
    <w:rsid w:val="00EF38E1"/>
    <w:rsid w:val="00EF4108"/>
    <w:rsid w:val="00EF749A"/>
    <w:rsid w:val="00EF771E"/>
    <w:rsid w:val="00F012E0"/>
    <w:rsid w:val="00F02565"/>
    <w:rsid w:val="00F026EC"/>
    <w:rsid w:val="00F0501A"/>
    <w:rsid w:val="00F05542"/>
    <w:rsid w:val="00F060BB"/>
    <w:rsid w:val="00F06855"/>
    <w:rsid w:val="00F123AF"/>
    <w:rsid w:val="00F13A96"/>
    <w:rsid w:val="00F16D0F"/>
    <w:rsid w:val="00F17A2C"/>
    <w:rsid w:val="00F17E86"/>
    <w:rsid w:val="00F21A70"/>
    <w:rsid w:val="00F2234D"/>
    <w:rsid w:val="00F23254"/>
    <w:rsid w:val="00F26708"/>
    <w:rsid w:val="00F30FF2"/>
    <w:rsid w:val="00F32CEC"/>
    <w:rsid w:val="00F3463D"/>
    <w:rsid w:val="00F34857"/>
    <w:rsid w:val="00F37F29"/>
    <w:rsid w:val="00F42243"/>
    <w:rsid w:val="00F42659"/>
    <w:rsid w:val="00F43793"/>
    <w:rsid w:val="00F45608"/>
    <w:rsid w:val="00F47E3B"/>
    <w:rsid w:val="00F511EE"/>
    <w:rsid w:val="00F52475"/>
    <w:rsid w:val="00F53215"/>
    <w:rsid w:val="00F54576"/>
    <w:rsid w:val="00F55574"/>
    <w:rsid w:val="00F558E7"/>
    <w:rsid w:val="00F60363"/>
    <w:rsid w:val="00F62016"/>
    <w:rsid w:val="00F63F44"/>
    <w:rsid w:val="00F6401B"/>
    <w:rsid w:val="00F64C6A"/>
    <w:rsid w:val="00F65243"/>
    <w:rsid w:val="00F6746D"/>
    <w:rsid w:val="00F675D5"/>
    <w:rsid w:val="00F74361"/>
    <w:rsid w:val="00F753D1"/>
    <w:rsid w:val="00F7766D"/>
    <w:rsid w:val="00F777B1"/>
    <w:rsid w:val="00F80B38"/>
    <w:rsid w:val="00F811CD"/>
    <w:rsid w:val="00F82D8F"/>
    <w:rsid w:val="00F83AC5"/>
    <w:rsid w:val="00F83F62"/>
    <w:rsid w:val="00F907EB"/>
    <w:rsid w:val="00F949B8"/>
    <w:rsid w:val="00F96061"/>
    <w:rsid w:val="00F96CA7"/>
    <w:rsid w:val="00F9711D"/>
    <w:rsid w:val="00FA011F"/>
    <w:rsid w:val="00FA1DCF"/>
    <w:rsid w:val="00FA3E3A"/>
    <w:rsid w:val="00FA70AD"/>
    <w:rsid w:val="00FA7544"/>
    <w:rsid w:val="00FA75E0"/>
    <w:rsid w:val="00FA7771"/>
    <w:rsid w:val="00FB0AFB"/>
    <w:rsid w:val="00FB0C06"/>
    <w:rsid w:val="00FB0DC9"/>
    <w:rsid w:val="00FB20B1"/>
    <w:rsid w:val="00FB27AA"/>
    <w:rsid w:val="00FB3AB4"/>
    <w:rsid w:val="00FB6188"/>
    <w:rsid w:val="00FB78D2"/>
    <w:rsid w:val="00FC1D88"/>
    <w:rsid w:val="00FC35EC"/>
    <w:rsid w:val="00FC4A8B"/>
    <w:rsid w:val="00FC56A4"/>
    <w:rsid w:val="00FC6872"/>
    <w:rsid w:val="00FD029A"/>
    <w:rsid w:val="00FD049C"/>
    <w:rsid w:val="00FD3D06"/>
    <w:rsid w:val="00FD5662"/>
    <w:rsid w:val="00FD642E"/>
    <w:rsid w:val="00FD72B6"/>
    <w:rsid w:val="00FE00AD"/>
    <w:rsid w:val="00FE206E"/>
    <w:rsid w:val="00FE421F"/>
    <w:rsid w:val="00FE499F"/>
    <w:rsid w:val="00FE4BA5"/>
    <w:rsid w:val="00FF03DC"/>
    <w:rsid w:val="00FF6DEE"/>
    <w:rsid w:val="00FF7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2F73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01"/>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 w:type="character" w:customStyle="1" w:styleId="fontepargpadro0">
    <w:name w:val="fontepargpadro"/>
    <w:basedOn w:val="Fontepargpadro"/>
    <w:rsid w:val="00E91A0E"/>
  </w:style>
  <w:style w:type="character" w:customStyle="1" w:styleId="UnresolvedMention">
    <w:name w:val="Unresolved Mention"/>
    <w:basedOn w:val="Fontepargpadro"/>
    <w:uiPriority w:val="99"/>
    <w:semiHidden/>
    <w:unhideWhenUsed/>
    <w:rsid w:val="009B34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01"/>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 w:type="character" w:customStyle="1" w:styleId="fontepargpadro0">
    <w:name w:val="fontepargpadro"/>
    <w:basedOn w:val="Fontepargpadro"/>
    <w:rsid w:val="00E91A0E"/>
  </w:style>
  <w:style w:type="character" w:customStyle="1" w:styleId="UnresolvedMention">
    <w:name w:val="Unresolved Mention"/>
    <w:basedOn w:val="Fontepargpadro"/>
    <w:uiPriority w:val="99"/>
    <w:semiHidden/>
    <w:unhideWhenUsed/>
    <w:rsid w:val="009B3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56825242">
      <w:bodyDiv w:val="1"/>
      <w:marLeft w:val="0"/>
      <w:marRight w:val="0"/>
      <w:marTop w:val="0"/>
      <w:marBottom w:val="0"/>
      <w:divBdr>
        <w:top w:val="none" w:sz="0" w:space="0" w:color="auto"/>
        <w:left w:val="none" w:sz="0" w:space="0" w:color="auto"/>
        <w:bottom w:val="none" w:sz="0" w:space="0" w:color="auto"/>
        <w:right w:val="none" w:sz="0" w:space="0" w:color="auto"/>
      </w:divBdr>
    </w:div>
    <w:div w:id="58720479">
      <w:bodyDiv w:val="1"/>
      <w:marLeft w:val="0"/>
      <w:marRight w:val="0"/>
      <w:marTop w:val="0"/>
      <w:marBottom w:val="0"/>
      <w:divBdr>
        <w:top w:val="none" w:sz="0" w:space="0" w:color="auto"/>
        <w:left w:val="none" w:sz="0" w:space="0" w:color="auto"/>
        <w:bottom w:val="none" w:sz="0" w:space="0" w:color="auto"/>
        <w:right w:val="none" w:sz="0" w:space="0" w:color="auto"/>
      </w:divBdr>
    </w:div>
    <w:div w:id="71777616">
      <w:bodyDiv w:val="1"/>
      <w:marLeft w:val="0"/>
      <w:marRight w:val="0"/>
      <w:marTop w:val="0"/>
      <w:marBottom w:val="0"/>
      <w:divBdr>
        <w:top w:val="none" w:sz="0" w:space="0" w:color="auto"/>
        <w:left w:val="none" w:sz="0" w:space="0" w:color="auto"/>
        <w:bottom w:val="none" w:sz="0" w:space="0" w:color="auto"/>
        <w:right w:val="none" w:sz="0" w:space="0" w:color="auto"/>
      </w:divBdr>
    </w:div>
    <w:div w:id="94636870">
      <w:bodyDiv w:val="1"/>
      <w:marLeft w:val="0"/>
      <w:marRight w:val="0"/>
      <w:marTop w:val="0"/>
      <w:marBottom w:val="0"/>
      <w:divBdr>
        <w:top w:val="none" w:sz="0" w:space="0" w:color="auto"/>
        <w:left w:val="none" w:sz="0" w:space="0" w:color="auto"/>
        <w:bottom w:val="none" w:sz="0" w:space="0" w:color="auto"/>
        <w:right w:val="none" w:sz="0" w:space="0" w:color="auto"/>
      </w:divBdr>
    </w:div>
    <w:div w:id="110829565">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183713792">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06708612">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40610443">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837768374">
      <w:bodyDiv w:val="1"/>
      <w:marLeft w:val="0"/>
      <w:marRight w:val="0"/>
      <w:marTop w:val="0"/>
      <w:marBottom w:val="0"/>
      <w:divBdr>
        <w:top w:val="none" w:sz="0" w:space="0" w:color="auto"/>
        <w:left w:val="none" w:sz="0" w:space="0" w:color="auto"/>
        <w:bottom w:val="none" w:sz="0" w:space="0" w:color="auto"/>
        <w:right w:val="none" w:sz="0" w:space="0" w:color="auto"/>
      </w:divBdr>
    </w:div>
    <w:div w:id="945189398">
      <w:bodyDiv w:val="1"/>
      <w:marLeft w:val="0"/>
      <w:marRight w:val="0"/>
      <w:marTop w:val="0"/>
      <w:marBottom w:val="0"/>
      <w:divBdr>
        <w:top w:val="none" w:sz="0" w:space="0" w:color="auto"/>
        <w:left w:val="none" w:sz="0" w:space="0" w:color="auto"/>
        <w:bottom w:val="none" w:sz="0" w:space="0" w:color="auto"/>
        <w:right w:val="none" w:sz="0" w:space="0" w:color="auto"/>
      </w:divBdr>
    </w:div>
    <w:div w:id="1031953862">
      <w:bodyDiv w:val="1"/>
      <w:marLeft w:val="0"/>
      <w:marRight w:val="0"/>
      <w:marTop w:val="0"/>
      <w:marBottom w:val="0"/>
      <w:divBdr>
        <w:top w:val="none" w:sz="0" w:space="0" w:color="auto"/>
        <w:left w:val="none" w:sz="0" w:space="0" w:color="auto"/>
        <w:bottom w:val="none" w:sz="0" w:space="0" w:color="auto"/>
        <w:right w:val="none" w:sz="0" w:space="0" w:color="auto"/>
      </w:divBdr>
    </w:div>
    <w:div w:id="1091513588">
      <w:bodyDiv w:val="1"/>
      <w:marLeft w:val="0"/>
      <w:marRight w:val="0"/>
      <w:marTop w:val="0"/>
      <w:marBottom w:val="0"/>
      <w:divBdr>
        <w:top w:val="none" w:sz="0" w:space="0" w:color="auto"/>
        <w:left w:val="none" w:sz="0" w:space="0" w:color="auto"/>
        <w:bottom w:val="none" w:sz="0" w:space="0" w:color="auto"/>
        <w:right w:val="none" w:sz="0" w:space="0" w:color="auto"/>
      </w:divBdr>
    </w:div>
    <w:div w:id="1206989215">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358892431">
      <w:bodyDiv w:val="1"/>
      <w:marLeft w:val="0"/>
      <w:marRight w:val="0"/>
      <w:marTop w:val="0"/>
      <w:marBottom w:val="0"/>
      <w:divBdr>
        <w:top w:val="none" w:sz="0" w:space="0" w:color="auto"/>
        <w:left w:val="none" w:sz="0" w:space="0" w:color="auto"/>
        <w:bottom w:val="none" w:sz="0" w:space="0" w:color="auto"/>
        <w:right w:val="none" w:sz="0" w:space="0" w:color="auto"/>
      </w:divBdr>
    </w:div>
    <w:div w:id="1367564408">
      <w:bodyDiv w:val="1"/>
      <w:marLeft w:val="0"/>
      <w:marRight w:val="0"/>
      <w:marTop w:val="0"/>
      <w:marBottom w:val="0"/>
      <w:divBdr>
        <w:top w:val="none" w:sz="0" w:space="0" w:color="auto"/>
        <w:left w:val="none" w:sz="0" w:space="0" w:color="auto"/>
        <w:bottom w:val="none" w:sz="0" w:space="0" w:color="auto"/>
        <w:right w:val="none" w:sz="0" w:space="0" w:color="auto"/>
      </w:divBdr>
    </w:div>
    <w:div w:id="1368262234">
      <w:bodyDiv w:val="1"/>
      <w:marLeft w:val="0"/>
      <w:marRight w:val="0"/>
      <w:marTop w:val="0"/>
      <w:marBottom w:val="0"/>
      <w:divBdr>
        <w:top w:val="none" w:sz="0" w:space="0" w:color="auto"/>
        <w:left w:val="none" w:sz="0" w:space="0" w:color="auto"/>
        <w:bottom w:val="none" w:sz="0" w:space="0" w:color="auto"/>
        <w:right w:val="none" w:sz="0" w:space="0" w:color="auto"/>
      </w:divBdr>
    </w:div>
    <w:div w:id="1417170352">
      <w:bodyDiv w:val="1"/>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710454681">
      <w:bodyDiv w:val="1"/>
      <w:marLeft w:val="0"/>
      <w:marRight w:val="0"/>
      <w:marTop w:val="0"/>
      <w:marBottom w:val="0"/>
      <w:divBdr>
        <w:top w:val="none" w:sz="0" w:space="0" w:color="auto"/>
        <w:left w:val="none" w:sz="0" w:space="0" w:color="auto"/>
        <w:bottom w:val="none" w:sz="0" w:space="0" w:color="auto"/>
        <w:right w:val="none" w:sz="0" w:space="0" w:color="auto"/>
      </w:divBdr>
    </w:div>
    <w:div w:id="1857307909">
      <w:bodyDiv w:val="1"/>
      <w:marLeft w:val="0"/>
      <w:marRight w:val="0"/>
      <w:marTop w:val="0"/>
      <w:marBottom w:val="0"/>
      <w:divBdr>
        <w:top w:val="none" w:sz="0" w:space="0" w:color="auto"/>
        <w:left w:val="none" w:sz="0" w:space="0" w:color="auto"/>
        <w:bottom w:val="none" w:sz="0" w:space="0" w:color="auto"/>
        <w:right w:val="none" w:sz="0" w:space="0" w:color="auto"/>
      </w:divBdr>
    </w:div>
    <w:div w:id="1893346766">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1942714517">
      <w:bodyDiv w:val="1"/>
      <w:marLeft w:val="0"/>
      <w:marRight w:val="0"/>
      <w:marTop w:val="0"/>
      <w:marBottom w:val="0"/>
      <w:divBdr>
        <w:top w:val="none" w:sz="0" w:space="0" w:color="auto"/>
        <w:left w:val="none" w:sz="0" w:space="0" w:color="auto"/>
        <w:bottom w:val="none" w:sz="0" w:space="0" w:color="auto"/>
        <w:right w:val="none" w:sz="0" w:space="0" w:color="auto"/>
      </w:divBdr>
    </w:div>
    <w:div w:id="1996297681">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csjt=&amp;numeroTst=200&amp;digitoTst=94&amp;anoTst=2020&amp;orgaoTst=5&amp;tribunalTst=14&amp;varaTst=0000&amp;consulta=Consultar" TargetMode="External"/><Relationship Id="rId18" Type="http://schemas.openxmlformats.org/officeDocument/2006/relationships/hyperlink" Target="http://aplicacao4.tst.jus.br/consultaProcessual/consultaTstNumUnica.do?consulta=Consultar&amp;conscsjt=&amp;numeroTst=578&amp;digitoTst=19&amp;anoTst=2020&amp;orgaoTst=5&amp;tribunalTst=06&amp;varaTst=0341&amp;submit=Consulta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cjur@tst.jus.br" TargetMode="Externa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100051&amp;digitoTst=06&amp;anoTst=2019&amp;orgaoTst=5&amp;tribunalTst=01&amp;varaTst=0000&amp;submit=Consultar" TargetMode="External"/><Relationship Id="rId17" Type="http://schemas.openxmlformats.org/officeDocument/2006/relationships/hyperlink" Target="http://aplicacao5.tst.jus.br/consultaProcessual/resumoForm.do?consulta=1&amp;numeroInt=98905&amp;anoInt=20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plicacao5.tst.jus.br/consultaProcessual/resumoForm.do?consulta=1&amp;numeroInt=60018&amp;anoInt=2021" TargetMode="External"/><Relationship Id="rId20" Type="http://schemas.openxmlformats.org/officeDocument/2006/relationships/hyperlink" Target="http://aplicacao5.tst.jus.br/consultaProcessual/resumoForm.do?consulta=1&amp;numeroInt=130064&amp;anoInt=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5.tst.jus.br/consultaProcessual/resumoForm.do?consulta=1&amp;numeroInt=484399&amp;anoInt=200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aplicacao5.tst.jus.br/consultaProcessual/resumoForm.do?consulta=1&amp;numeroInt=170052&amp;anoInt=2020" TargetMode="External"/><Relationship Id="rId23" Type="http://schemas.openxmlformats.org/officeDocument/2006/relationships/hyperlink" Target="http://www.tst.jus.br/push" TargetMode="External"/><Relationship Id="rId28" Type="http://schemas.openxmlformats.org/officeDocument/2006/relationships/fontTable" Target="fontTable.xml"/><Relationship Id="rId10" Type="http://schemas.openxmlformats.org/officeDocument/2006/relationships/hyperlink" Target="http://aplicacao4.tst.jus.br/consultaProcessual/consultaTstNumUnica.do?consulta=Consultar&amp;conscsjt=&amp;numeroTst=543&amp;digitoTst=07&amp;anoTst=2015&amp;orgaoTst=5&amp;tribunalTst=08&amp;varaTst=0009&amp;submit=Consultar" TargetMode="External"/><Relationship Id="rId19" Type="http://schemas.openxmlformats.org/officeDocument/2006/relationships/hyperlink" Target="http://aplicacao4.tst.jus.br/consultaProcessual/consultaTstNumUnica.do?consulta=Consultar&amp;conscsjt=&amp;numeroTst=2009&amp;digitoTst=73&amp;anoTst=2013&amp;orgaoTst=5&amp;tribunalTst=12&amp;varaTst=0048&amp;submit=Consultar" TargetMode="External"/><Relationship Id="rId4" Type="http://schemas.microsoft.com/office/2007/relationships/stylesWithEffects" Target="stylesWithEffects.xml"/><Relationship Id="rId9" Type="http://schemas.openxmlformats.org/officeDocument/2006/relationships/hyperlink" Target="http://aplicacao5.tst.jus.br/consultaProcessual/resumoForm.do?consulta=1&amp;numeroInt=76454&amp;anoInt=2014" TargetMode="External"/><Relationship Id="rId14" Type="http://schemas.openxmlformats.org/officeDocument/2006/relationships/hyperlink" Target="http://aplicacao5.tst.jus.br/consultaProcessual/resumoForm.do?consulta=1&amp;numeroInt=248796&amp;anoInt=2013" TargetMode="External"/><Relationship Id="rId22" Type="http://schemas.openxmlformats.org/officeDocument/2006/relationships/hyperlink" Target="http://www.tst.jus.br/web/guest/informativo-tst"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8B36-7F8B-4FA1-B8FE-052F20A0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4954</Words>
  <Characters>29517</Characters>
  <Application>Microsoft Office Word</Application>
  <DocSecurity>0</DocSecurity>
  <Lines>245</Lines>
  <Paragraphs>68</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34403</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Aline Tacira De Araujo Cherulli Edreira</cp:lastModifiedBy>
  <cp:revision>119</cp:revision>
  <cp:lastPrinted>2019-10-29T20:50:00Z</cp:lastPrinted>
  <dcterms:created xsi:type="dcterms:W3CDTF">2021-07-22T20:32:00Z</dcterms:created>
  <dcterms:modified xsi:type="dcterms:W3CDTF">2021-11-26T21:48:00Z</dcterms:modified>
</cp:coreProperties>
</file>