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4B3120" w14:paraId="79AF0065" w14:textId="77777777" w:rsidTr="00E3622E">
        <w:trPr>
          <w:trHeight w:val="537"/>
        </w:trPr>
        <w:tc>
          <w:tcPr>
            <w:tcW w:w="9538" w:type="dxa"/>
            <w:tcBorders>
              <w:top w:val="single" w:sz="4" w:space="0" w:color="auto"/>
            </w:tcBorders>
          </w:tcPr>
          <w:p w14:paraId="10F819B3" w14:textId="77777777" w:rsidR="00E3622E" w:rsidRPr="004B3120" w:rsidRDefault="00C26DFB" w:rsidP="00DC50EB">
            <w:pPr>
              <w:pStyle w:val="Cabealho"/>
              <w:tabs>
                <w:tab w:val="clear" w:pos="4419"/>
                <w:tab w:val="clear" w:pos="8838"/>
              </w:tabs>
              <w:jc w:val="both"/>
            </w:pPr>
            <w:r w:rsidRPr="004B3120">
              <w:t>Este Informativo, elaborado a partir de notas tomadas nas sessões de julgamento, contém resumos não</w:t>
            </w:r>
            <w:r w:rsidR="00DC50EB" w:rsidRPr="004B3120">
              <w:t xml:space="preserve"> </w:t>
            </w:r>
            <w:r w:rsidRPr="004B3120">
              <w:t>oficiais de decisões proferidas pelo Tribunal. A fidelidade dos resumos ao conteúdo efetivo das decisões, embora seja uma das metas perseguidas neste trabalho, somente poderá ser aferida após a sua publicação no Diário</w:t>
            </w:r>
            <w:r w:rsidR="00980944" w:rsidRPr="004B3120">
              <w:t xml:space="preserve"> Eletrônico </w:t>
            </w:r>
            <w:r w:rsidRPr="004B3120">
              <w:t>da Justiça</w:t>
            </w:r>
            <w:r w:rsidR="00980944" w:rsidRPr="004B3120">
              <w:t xml:space="preserve"> do Trabalho</w:t>
            </w:r>
            <w:r w:rsidRPr="004B3120">
              <w:t>.</w:t>
            </w:r>
            <w:bookmarkStart w:id="0" w:name="_GoBack"/>
            <w:bookmarkEnd w:id="0"/>
          </w:p>
          <w:p w14:paraId="18FE9536" w14:textId="77777777" w:rsidR="00730CC7" w:rsidRPr="00276468" w:rsidRDefault="00730CC7" w:rsidP="00DC50EB">
            <w:pPr>
              <w:pStyle w:val="Cabealho"/>
              <w:tabs>
                <w:tab w:val="clear" w:pos="4419"/>
                <w:tab w:val="clear" w:pos="8838"/>
              </w:tabs>
              <w:jc w:val="both"/>
            </w:pPr>
          </w:p>
        </w:tc>
      </w:tr>
    </w:tbl>
    <w:p w14:paraId="49AF2358" w14:textId="77777777" w:rsidR="00654B75" w:rsidRPr="006717E0" w:rsidRDefault="00654B75" w:rsidP="00654B75">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SUBSEÇÃO I ESPECIALIZADA EM DISSÍDIOS INDIVIDUAIS</w:t>
      </w:r>
    </w:p>
    <w:p w14:paraId="5EEBBC29" w14:textId="77777777" w:rsidR="00654B75" w:rsidRPr="00654B75" w:rsidRDefault="00654B75" w:rsidP="00654B75">
      <w:pPr>
        <w:pStyle w:val="Identificao"/>
        <w:rPr>
          <w:rFonts w:ascii="Times New Roman" w:eastAsiaTheme="minorHAnsi" w:hAnsi="Times New Roman" w:cs="Times New Roman"/>
          <w:b/>
          <w:i/>
          <w:color w:val="auto"/>
          <w:sz w:val="20"/>
          <w:szCs w:val="20"/>
          <w:lang w:val="pt-BR" w:eastAsia="en-US"/>
        </w:rPr>
      </w:pPr>
    </w:p>
    <w:p w14:paraId="149E5EE4" w14:textId="77777777" w:rsidR="00BA53ED" w:rsidRPr="00423EA2" w:rsidRDefault="00BA53ED" w:rsidP="00BA53ED">
      <w:pPr>
        <w:ind w:right="-71"/>
        <w:jc w:val="both"/>
        <w:rPr>
          <w:b/>
          <w:i/>
          <w:sz w:val="24"/>
          <w:szCs w:val="24"/>
        </w:rPr>
      </w:pPr>
      <w:r w:rsidRPr="00423EA2">
        <w:rPr>
          <w:b/>
          <w:i/>
          <w:sz w:val="24"/>
          <w:szCs w:val="24"/>
        </w:rPr>
        <w:t>Ente público. Terceirização. Responsabilidade subsidiária. Ônus da prova. Matéria infraconstitucional. Dever ordinário de fiscalização imposto à Administração Pública. Ratificação de entendimento da SDI-1 Plena.</w:t>
      </w:r>
    </w:p>
    <w:p w14:paraId="1AAB1D2F" w14:textId="4767260F" w:rsidR="00BA53ED" w:rsidRDefault="00BA53ED" w:rsidP="00BA53ED">
      <w:pPr>
        <w:ind w:right="-71"/>
        <w:jc w:val="both"/>
        <w:rPr>
          <w:sz w:val="24"/>
          <w:szCs w:val="24"/>
        </w:rPr>
      </w:pPr>
      <w:r w:rsidRPr="00423EA2">
        <w:rPr>
          <w:sz w:val="24"/>
          <w:szCs w:val="24"/>
        </w:rPr>
        <w:t>No julgamento do RE nº 760.931/DF, com repercussão geral reconhecida (Tema 246), o STF firmou a tese de que</w:t>
      </w:r>
      <w:r w:rsidRPr="00423EA2">
        <w:rPr>
          <w:i/>
          <w:sz w:val="24"/>
          <w:szCs w:val="24"/>
        </w:rPr>
        <w:t xml:space="preserve"> “o inadimplemento dos encargos trabalhistas dos empregados do contratado não transfere automaticamente ao Poder Público contratante a responsabilidade pelo seu pagamento, seja em caráter solidário ou subsidiário, nos termos do art. 71, § 1º, da Lei nº 8.666/93”. </w:t>
      </w:r>
      <w:r w:rsidRPr="00423EA2">
        <w:rPr>
          <w:sz w:val="24"/>
          <w:szCs w:val="24"/>
        </w:rPr>
        <w:t xml:space="preserve">A </w:t>
      </w:r>
      <w:proofErr w:type="spellStart"/>
      <w:r w:rsidRPr="00423EA2">
        <w:rPr>
          <w:i/>
          <w:sz w:val="24"/>
          <w:szCs w:val="24"/>
        </w:rPr>
        <w:t>ratio</w:t>
      </w:r>
      <w:proofErr w:type="spellEnd"/>
      <w:r w:rsidRPr="00423EA2">
        <w:rPr>
          <w:i/>
          <w:sz w:val="24"/>
          <w:szCs w:val="24"/>
        </w:rPr>
        <w:t xml:space="preserve"> </w:t>
      </w:r>
      <w:proofErr w:type="spellStart"/>
      <w:r w:rsidRPr="00423EA2">
        <w:rPr>
          <w:i/>
          <w:sz w:val="24"/>
          <w:szCs w:val="24"/>
        </w:rPr>
        <w:t>decidendi</w:t>
      </w:r>
      <w:proofErr w:type="spellEnd"/>
      <w:r w:rsidRPr="00423EA2">
        <w:rPr>
          <w:sz w:val="24"/>
          <w:szCs w:val="24"/>
        </w:rPr>
        <w:t xml:space="preserve"> da referida decisão permite concluir que a responsabilização do ente público apenas está autorizada quando comprovada a ausência sistemática de fiscalização quanto ao cumprimento das obrigações trabalhistas pela prestadora. Em duas sessões, a Subseção de Dissídios Individuais I do TST, em sua composição plena, firmou entendimento de que o Supremo Tribunal Federal não emitiu tese vinculante quanto à distribuição do ônus da prova relativa à fiscalização e, nessa esteira, concluiu que incumbe à Administração Pública o ônus da prova da fiscalização dos contratos de prestação de serviços, por se tratar de fato impeditivo da responsabilização subsidiária. Sob esses fundamentos, a SBDI-I, por unanimidade, conheceu dos embargos, por divergência jurisprudencial, e, no mérito, por maioria, deu-lhes provimento para restabelecer o acórdão do Tribunal Regional que, reputando não ter sido demonstrada a adoção de medidas capazes de impedir o inadimplemento das obrigações laborais pela empresa contratada, entendeu que o ente público reclamado não se desincumbiu do ônus que lhe cabia, devendo, portanto, ser responsabilizado subsidiariamente pelos débitos trabalhistas inadimplidos pela prestadora de serviços por ele contratada. Vencidos os</w:t>
      </w:r>
      <w:r w:rsidRPr="00423EA2">
        <w:rPr>
          <w:color w:val="C00000"/>
          <w:sz w:val="24"/>
          <w:szCs w:val="24"/>
        </w:rPr>
        <w:t xml:space="preserve"> </w:t>
      </w:r>
      <w:r w:rsidRPr="00423EA2">
        <w:rPr>
          <w:sz w:val="24"/>
          <w:szCs w:val="24"/>
        </w:rPr>
        <w:t xml:space="preserve">Ministros Aloysio Corrêa da Veiga, Alexandre Luiz Ramos, Breno Medeiros e Maria Cristina </w:t>
      </w:r>
      <w:proofErr w:type="spellStart"/>
      <w:r w:rsidRPr="00423EA2">
        <w:rPr>
          <w:sz w:val="24"/>
          <w:szCs w:val="24"/>
        </w:rPr>
        <w:t>Irigoyen</w:t>
      </w:r>
      <w:proofErr w:type="spellEnd"/>
      <w:r w:rsidRPr="00423EA2">
        <w:rPr>
          <w:sz w:val="24"/>
          <w:szCs w:val="24"/>
        </w:rPr>
        <w:t xml:space="preserve"> </w:t>
      </w:r>
      <w:proofErr w:type="spellStart"/>
      <w:r w:rsidRPr="00423EA2">
        <w:rPr>
          <w:sz w:val="24"/>
          <w:szCs w:val="24"/>
        </w:rPr>
        <w:t>Peduzzi</w:t>
      </w:r>
      <w:proofErr w:type="spellEnd"/>
      <w:r w:rsidRPr="00423EA2">
        <w:rPr>
          <w:sz w:val="24"/>
          <w:szCs w:val="24"/>
        </w:rPr>
        <w:t xml:space="preserve">. </w:t>
      </w:r>
      <w:hyperlink r:id="rId9" w:history="1">
        <w:r w:rsidRPr="00423EA2">
          <w:rPr>
            <w:rStyle w:val="Hyperlink"/>
            <w:sz w:val="24"/>
            <w:szCs w:val="24"/>
          </w:rPr>
          <w:t>TST-E-ED-RR-62-40.2017.5.20.0009</w:t>
        </w:r>
      </w:hyperlink>
      <w:r w:rsidRPr="00423EA2">
        <w:rPr>
          <w:sz w:val="24"/>
          <w:szCs w:val="24"/>
          <w:u w:val="single"/>
        </w:rPr>
        <w:t>,</w:t>
      </w:r>
      <w:r w:rsidRPr="00423EA2">
        <w:rPr>
          <w:b/>
          <w:sz w:val="24"/>
          <w:szCs w:val="24"/>
          <w:u w:val="single"/>
        </w:rPr>
        <w:t xml:space="preserve"> </w:t>
      </w:r>
      <w:r w:rsidRPr="00423EA2">
        <w:rPr>
          <w:sz w:val="24"/>
          <w:szCs w:val="24"/>
          <w:u w:val="single"/>
        </w:rPr>
        <w:t>SBDI-I, rel. M</w:t>
      </w:r>
      <w:r w:rsidR="008F7FD6">
        <w:rPr>
          <w:sz w:val="24"/>
          <w:szCs w:val="24"/>
          <w:u w:val="single"/>
        </w:rPr>
        <w:t>á</w:t>
      </w:r>
      <w:r w:rsidRPr="00423EA2">
        <w:rPr>
          <w:sz w:val="24"/>
          <w:szCs w:val="24"/>
          <w:u w:val="single"/>
        </w:rPr>
        <w:t>rcio Eurico Vitral Amaro, 10/9/2020.</w:t>
      </w:r>
    </w:p>
    <w:p w14:paraId="318B4B13" w14:textId="77777777" w:rsidR="00654B75" w:rsidRPr="00AF7202" w:rsidRDefault="00654B75" w:rsidP="00242069">
      <w:pPr>
        <w:adjustRightInd w:val="0"/>
        <w:spacing w:line="360" w:lineRule="auto"/>
        <w:jc w:val="both"/>
        <w:rPr>
          <w:u w:val="single"/>
          <w:lang w:eastAsia="zh-CN"/>
        </w:rPr>
      </w:pPr>
    </w:p>
    <w:p w14:paraId="47CBD7D1" w14:textId="77777777" w:rsidR="00654B75" w:rsidRPr="006717E0" w:rsidRDefault="00654B75" w:rsidP="00654B75">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SUBSEÇÃO I</w:t>
      </w:r>
      <w:r>
        <w:rPr>
          <w:rFonts w:ascii="Times New Roman" w:hAnsi="Times New Roman" w:cs="Times New Roman"/>
          <w:b/>
          <w:bCs/>
          <w:iCs/>
          <w:sz w:val="28"/>
          <w:lang w:val="pt-BR"/>
        </w:rPr>
        <w:t>I</w:t>
      </w:r>
      <w:r w:rsidRPr="006717E0">
        <w:rPr>
          <w:rFonts w:ascii="Times New Roman" w:hAnsi="Times New Roman" w:cs="Times New Roman"/>
          <w:b/>
          <w:bCs/>
          <w:iCs/>
          <w:sz w:val="28"/>
          <w:lang w:val="pt-BR"/>
        </w:rPr>
        <w:t xml:space="preserve"> ESPECIALIZADA EM DISSÍDIOS INDIVIDUAIS</w:t>
      </w:r>
    </w:p>
    <w:p w14:paraId="72234470" w14:textId="77777777" w:rsidR="00654B75" w:rsidRPr="00AF7202" w:rsidRDefault="00654B75" w:rsidP="00237380">
      <w:pPr>
        <w:adjustRightInd w:val="0"/>
        <w:jc w:val="both"/>
        <w:rPr>
          <w:u w:val="single"/>
          <w:lang w:eastAsia="zh-CN"/>
        </w:rPr>
      </w:pPr>
    </w:p>
    <w:p w14:paraId="4E0582E2" w14:textId="77777777" w:rsidR="00BA53ED" w:rsidRPr="00581623" w:rsidRDefault="00BA53ED" w:rsidP="00BA53ED">
      <w:pPr>
        <w:jc w:val="both"/>
        <w:rPr>
          <w:rFonts w:eastAsia="Calibri"/>
          <w:b/>
          <w:i/>
          <w:sz w:val="24"/>
          <w:szCs w:val="24"/>
        </w:rPr>
      </w:pPr>
      <w:r w:rsidRPr="00581623">
        <w:rPr>
          <w:rFonts w:eastAsia="Calibri"/>
          <w:b/>
          <w:i/>
          <w:sz w:val="24"/>
          <w:szCs w:val="24"/>
        </w:rPr>
        <w:t>Ação rescisória. Art. 485, V, do CPC de 1973. Honorários sucumbenciais. Advogado empregado de sociedade de economia mista. Indevidos.</w:t>
      </w:r>
    </w:p>
    <w:p w14:paraId="447AFE3B" w14:textId="2EA057AC" w:rsidR="00BA53ED" w:rsidRPr="00581623" w:rsidRDefault="00BA53ED" w:rsidP="00BA53ED">
      <w:pPr>
        <w:jc w:val="both"/>
        <w:rPr>
          <w:rFonts w:eastAsia="Calibri"/>
          <w:sz w:val="24"/>
          <w:szCs w:val="24"/>
        </w:rPr>
      </w:pPr>
      <w:r w:rsidRPr="00581623">
        <w:rPr>
          <w:rFonts w:eastAsia="Calibri"/>
          <w:sz w:val="24"/>
          <w:szCs w:val="24"/>
        </w:rPr>
        <w:t>A hipótese de ação rescisória com fundamento</w:t>
      </w:r>
      <w:r>
        <w:rPr>
          <w:rFonts w:eastAsia="Calibri"/>
          <w:sz w:val="24"/>
          <w:szCs w:val="24"/>
        </w:rPr>
        <w:t xml:space="preserve"> no art. 485, V, do CPC de 1973</w:t>
      </w:r>
      <w:r w:rsidRPr="00581623">
        <w:rPr>
          <w:rFonts w:eastAsia="Calibri"/>
          <w:sz w:val="24"/>
          <w:szCs w:val="24"/>
        </w:rPr>
        <w:t xml:space="preserve"> pressupõe a manifesta violação à literalidade dos dispositivos legais apontados como ofendidos. No caso, o autor pretende a desconstituição do acórdão na parte em que indeferiu o recebimento de honorários de sucumbência decorrentes das ações judiciais em que a empregadora, sociedade de economia mista, teve êxito. </w:t>
      </w:r>
      <w:r w:rsidRPr="00DF03B6">
        <w:rPr>
          <w:rFonts w:eastAsia="Calibri"/>
          <w:sz w:val="24"/>
          <w:szCs w:val="24"/>
        </w:rPr>
        <w:t xml:space="preserve">A regra geral, prevista no artigo 21 da Lei nº 8.906/94, de que os honorários de sucumbência, nas causas em que for parte o empregador, são devidos aos empregados, foi expressamente relativizada pelo artigo 4º da Lei nº 9.527/97, o qual afastou a aplicação aos </w:t>
      </w:r>
      <w:r w:rsidRPr="00DF03B6">
        <w:rPr>
          <w:rFonts w:eastAsia="Calibri"/>
          <w:sz w:val="24"/>
          <w:szCs w:val="24"/>
        </w:rPr>
        <w:lastRenderedPageBreak/>
        <w:t>advogados da Administração Pública Direta e Indireta da União, dos Estados, do Distrito Federal e dos Municípios. Portanto, não há desrespeito aos artigos 23 e 24 d</w:t>
      </w:r>
      <w:r w:rsidRPr="00581623">
        <w:rPr>
          <w:rFonts w:eastAsia="Calibri"/>
          <w:sz w:val="24"/>
          <w:szCs w:val="24"/>
        </w:rPr>
        <w:t>a Lei nº 8.906/94</w:t>
      </w:r>
      <w:r w:rsidR="00C728A7">
        <w:rPr>
          <w:rFonts w:eastAsia="Calibri"/>
          <w:sz w:val="24"/>
          <w:szCs w:val="24"/>
        </w:rPr>
        <w:t>, pois</w:t>
      </w:r>
      <w:r w:rsidR="00A90010">
        <w:rPr>
          <w:rFonts w:eastAsia="Calibri"/>
          <w:sz w:val="24"/>
          <w:szCs w:val="24"/>
        </w:rPr>
        <w:t xml:space="preserve"> </w:t>
      </w:r>
      <w:r w:rsidRPr="00581623">
        <w:rPr>
          <w:rFonts w:eastAsia="Calibri"/>
          <w:sz w:val="24"/>
          <w:szCs w:val="24"/>
        </w:rPr>
        <w:t>não possuem aplicação irrestrit</w:t>
      </w:r>
      <w:r>
        <w:rPr>
          <w:rFonts w:eastAsia="Calibri"/>
          <w:sz w:val="24"/>
          <w:szCs w:val="24"/>
        </w:rPr>
        <w:t>a, visto que excetuados</w:t>
      </w:r>
      <w:r w:rsidRPr="00581623">
        <w:rPr>
          <w:rFonts w:eastAsia="Calibri"/>
          <w:sz w:val="24"/>
          <w:szCs w:val="24"/>
        </w:rPr>
        <w:t xml:space="preserve"> os advogados empregados integrantes do quadro de pessoal da Administração Pública dos entes da Federação. </w:t>
      </w:r>
      <w:r>
        <w:rPr>
          <w:rFonts w:eastAsia="Calibri"/>
          <w:sz w:val="24"/>
          <w:szCs w:val="24"/>
        </w:rPr>
        <w:t>Com esse entendimento,</w:t>
      </w:r>
      <w:r w:rsidRPr="00581623">
        <w:rPr>
          <w:rFonts w:eastAsia="Calibri"/>
          <w:sz w:val="24"/>
          <w:szCs w:val="24"/>
        </w:rPr>
        <w:t xml:space="preserve"> a SBDI-I</w:t>
      </w:r>
      <w:r>
        <w:rPr>
          <w:rFonts w:eastAsia="Calibri"/>
          <w:sz w:val="24"/>
          <w:szCs w:val="24"/>
        </w:rPr>
        <w:t xml:space="preserve">I, </w:t>
      </w:r>
      <w:r w:rsidRPr="00581623">
        <w:rPr>
          <w:rFonts w:eastAsia="Calibri"/>
          <w:sz w:val="24"/>
          <w:szCs w:val="24"/>
        </w:rPr>
        <w:t xml:space="preserve">por unanimidade, </w:t>
      </w:r>
      <w:r>
        <w:rPr>
          <w:rFonts w:eastAsia="Calibri"/>
          <w:sz w:val="24"/>
          <w:szCs w:val="24"/>
        </w:rPr>
        <w:t>conheceu</w:t>
      </w:r>
      <w:r w:rsidRPr="00581623">
        <w:rPr>
          <w:rFonts w:eastAsia="Calibri"/>
          <w:sz w:val="24"/>
          <w:szCs w:val="24"/>
        </w:rPr>
        <w:t xml:space="preserve"> do recur</w:t>
      </w:r>
      <w:r>
        <w:rPr>
          <w:rFonts w:eastAsia="Calibri"/>
          <w:sz w:val="24"/>
          <w:szCs w:val="24"/>
        </w:rPr>
        <w:t>so ordinário e, no mérito, negou</w:t>
      </w:r>
      <w:r w:rsidRPr="00581623">
        <w:rPr>
          <w:rFonts w:eastAsia="Calibri"/>
          <w:sz w:val="24"/>
          <w:szCs w:val="24"/>
        </w:rPr>
        <w:t xml:space="preserve">-lhe provimento. </w:t>
      </w:r>
      <w:hyperlink r:id="rId10" w:history="1">
        <w:r w:rsidRPr="0061527D">
          <w:rPr>
            <w:rStyle w:val="Hyperlink"/>
            <w:rFonts w:eastAsia="Calibri"/>
            <w:sz w:val="24"/>
            <w:szCs w:val="24"/>
          </w:rPr>
          <w:t>TST-RO-2570-72.2011.5.10.0000</w:t>
        </w:r>
      </w:hyperlink>
      <w:r w:rsidRPr="00581623">
        <w:rPr>
          <w:rFonts w:eastAsia="Calibri"/>
          <w:sz w:val="24"/>
          <w:szCs w:val="24"/>
          <w:u w:val="single"/>
        </w:rPr>
        <w:t>, SBDI-I</w:t>
      </w:r>
      <w:r>
        <w:rPr>
          <w:rFonts w:eastAsia="Calibri"/>
          <w:sz w:val="24"/>
          <w:szCs w:val="24"/>
          <w:u w:val="single"/>
        </w:rPr>
        <w:t>I</w:t>
      </w:r>
      <w:r w:rsidRPr="00581623">
        <w:rPr>
          <w:rFonts w:eastAsia="Calibri"/>
          <w:sz w:val="24"/>
          <w:szCs w:val="24"/>
          <w:u w:val="single"/>
        </w:rPr>
        <w:t xml:space="preserve">, rel. Min. </w:t>
      </w:r>
      <w:proofErr w:type="spellStart"/>
      <w:r>
        <w:rPr>
          <w:rFonts w:eastAsia="Calibri"/>
          <w:sz w:val="24"/>
          <w:szCs w:val="24"/>
          <w:u w:val="single"/>
        </w:rPr>
        <w:t>Delaíde</w:t>
      </w:r>
      <w:proofErr w:type="spellEnd"/>
      <w:r>
        <w:rPr>
          <w:rFonts w:eastAsia="Calibri"/>
          <w:sz w:val="24"/>
          <w:szCs w:val="24"/>
          <w:u w:val="single"/>
        </w:rPr>
        <w:t xml:space="preserve"> Miranda Arantes</w:t>
      </w:r>
      <w:r w:rsidRPr="00581623">
        <w:rPr>
          <w:rFonts w:eastAsia="Calibri"/>
          <w:sz w:val="24"/>
          <w:szCs w:val="24"/>
          <w:u w:val="single"/>
        </w:rPr>
        <w:t xml:space="preserve">, </w:t>
      </w:r>
      <w:r>
        <w:rPr>
          <w:rFonts w:eastAsia="Calibri"/>
          <w:sz w:val="24"/>
          <w:szCs w:val="24"/>
          <w:u w:val="single"/>
        </w:rPr>
        <w:t>1</w:t>
      </w:r>
      <w:r w:rsidR="00954442">
        <w:rPr>
          <w:rFonts w:eastAsia="Calibri"/>
          <w:sz w:val="24"/>
          <w:szCs w:val="24"/>
          <w:u w:val="single"/>
        </w:rPr>
        <w:t>º</w:t>
      </w:r>
      <w:r>
        <w:rPr>
          <w:rFonts w:eastAsia="Calibri"/>
          <w:sz w:val="24"/>
          <w:szCs w:val="24"/>
          <w:u w:val="single"/>
        </w:rPr>
        <w:t>/9/2020.</w:t>
      </w:r>
    </w:p>
    <w:p w14:paraId="3D77E703" w14:textId="77777777" w:rsidR="00BA53ED" w:rsidRDefault="00BA53ED" w:rsidP="00BA53ED">
      <w:pPr>
        <w:ind w:right="-71"/>
        <w:jc w:val="both"/>
        <w:rPr>
          <w:b/>
          <w:color w:val="FF0000"/>
          <w:u w:val="single"/>
        </w:rPr>
      </w:pPr>
    </w:p>
    <w:p w14:paraId="3BE6462A" w14:textId="77777777" w:rsidR="00BA53ED" w:rsidRPr="00410629" w:rsidRDefault="00BA53ED" w:rsidP="00BA53ED">
      <w:pPr>
        <w:jc w:val="both"/>
        <w:rPr>
          <w:b/>
          <w:i/>
          <w:sz w:val="24"/>
          <w:szCs w:val="24"/>
        </w:rPr>
      </w:pPr>
      <w:r w:rsidRPr="00410629">
        <w:rPr>
          <w:b/>
          <w:i/>
          <w:sz w:val="24"/>
          <w:szCs w:val="24"/>
        </w:rPr>
        <w:t xml:space="preserve">Ação </w:t>
      </w:r>
      <w:r>
        <w:rPr>
          <w:b/>
          <w:i/>
          <w:sz w:val="24"/>
          <w:szCs w:val="24"/>
        </w:rPr>
        <w:t>r</w:t>
      </w:r>
      <w:r w:rsidRPr="00410629">
        <w:rPr>
          <w:b/>
          <w:i/>
          <w:sz w:val="24"/>
          <w:szCs w:val="24"/>
        </w:rPr>
        <w:t xml:space="preserve">escisória. </w:t>
      </w:r>
      <w:r>
        <w:rPr>
          <w:b/>
          <w:i/>
          <w:sz w:val="24"/>
          <w:szCs w:val="24"/>
        </w:rPr>
        <w:t>P</w:t>
      </w:r>
      <w:r w:rsidRPr="00410629">
        <w:rPr>
          <w:b/>
          <w:i/>
          <w:sz w:val="24"/>
          <w:szCs w:val="24"/>
        </w:rPr>
        <w:t xml:space="preserve">edido de desconstituição de acórdão prolatado em </w:t>
      </w:r>
      <w:r>
        <w:rPr>
          <w:b/>
          <w:i/>
          <w:sz w:val="24"/>
          <w:szCs w:val="24"/>
        </w:rPr>
        <w:t>A</w:t>
      </w:r>
      <w:r w:rsidRPr="00410629">
        <w:rPr>
          <w:b/>
          <w:i/>
          <w:sz w:val="24"/>
          <w:szCs w:val="24"/>
        </w:rPr>
        <w:t xml:space="preserve">gravo de </w:t>
      </w:r>
      <w:r>
        <w:rPr>
          <w:b/>
          <w:i/>
          <w:sz w:val="24"/>
          <w:szCs w:val="24"/>
        </w:rPr>
        <w:t>I</w:t>
      </w:r>
      <w:r w:rsidRPr="00410629">
        <w:rPr>
          <w:b/>
          <w:i/>
          <w:sz w:val="24"/>
          <w:szCs w:val="24"/>
        </w:rPr>
        <w:t xml:space="preserve">nstrumento conhecido e não provido. </w:t>
      </w:r>
      <w:r>
        <w:rPr>
          <w:b/>
          <w:i/>
          <w:sz w:val="24"/>
          <w:szCs w:val="24"/>
        </w:rPr>
        <w:t>D</w:t>
      </w:r>
      <w:r w:rsidRPr="00410629">
        <w:rPr>
          <w:b/>
          <w:i/>
          <w:sz w:val="24"/>
          <w:szCs w:val="24"/>
        </w:rPr>
        <w:t xml:space="preserve">ecisão que não é de mérito. </w:t>
      </w:r>
      <w:r>
        <w:rPr>
          <w:b/>
          <w:i/>
          <w:sz w:val="24"/>
          <w:szCs w:val="24"/>
        </w:rPr>
        <w:t>H</w:t>
      </w:r>
      <w:r w:rsidRPr="00410629">
        <w:rPr>
          <w:b/>
          <w:i/>
          <w:sz w:val="24"/>
          <w:szCs w:val="24"/>
        </w:rPr>
        <w:t xml:space="preserve">ipótese não contemplada no art. 966, § 2º, do </w:t>
      </w:r>
      <w:r>
        <w:rPr>
          <w:b/>
          <w:i/>
          <w:sz w:val="24"/>
          <w:szCs w:val="24"/>
        </w:rPr>
        <w:t>CPC/2015</w:t>
      </w:r>
      <w:r w:rsidRPr="00410629">
        <w:rPr>
          <w:b/>
          <w:i/>
          <w:sz w:val="24"/>
          <w:szCs w:val="24"/>
        </w:rPr>
        <w:t>.</w:t>
      </w:r>
    </w:p>
    <w:p w14:paraId="0C1E9E90" w14:textId="77777777" w:rsidR="00BA53ED" w:rsidRDefault="00BA53ED" w:rsidP="00BA53ED">
      <w:pPr>
        <w:jc w:val="both"/>
        <w:rPr>
          <w:sz w:val="24"/>
          <w:szCs w:val="24"/>
        </w:rPr>
      </w:pPr>
      <w:r w:rsidRPr="00410629">
        <w:rPr>
          <w:sz w:val="24"/>
          <w:szCs w:val="24"/>
        </w:rPr>
        <w:t xml:space="preserve">Nos termos do </w:t>
      </w:r>
      <w:r w:rsidRPr="00B71F39">
        <w:rPr>
          <w:i/>
          <w:sz w:val="24"/>
          <w:szCs w:val="24"/>
        </w:rPr>
        <w:t>caput</w:t>
      </w:r>
      <w:r w:rsidRPr="00410629">
        <w:rPr>
          <w:sz w:val="24"/>
          <w:szCs w:val="24"/>
        </w:rPr>
        <w:t xml:space="preserve"> do art. 966 do CPC, a</w:t>
      </w:r>
      <w:r>
        <w:rPr>
          <w:sz w:val="24"/>
          <w:szCs w:val="24"/>
        </w:rPr>
        <w:t xml:space="preserve"> ação</w:t>
      </w:r>
      <w:r w:rsidRPr="00410629">
        <w:rPr>
          <w:sz w:val="24"/>
          <w:szCs w:val="24"/>
        </w:rPr>
        <w:t xml:space="preserve"> rescisória é cabível contra decisão de mérito transitada em julgado. O CPC de 2015, contudo, inovou ao admitir a rescisão da decisão que, embora não seja de mérito, impeça nova propositura da demanda ou admissibilidade do recurso correspondente, nos termos do § 2º do art. 966. Na espé</w:t>
      </w:r>
      <w:r>
        <w:rPr>
          <w:sz w:val="24"/>
          <w:szCs w:val="24"/>
        </w:rPr>
        <w:t>cie, a Turma do TST</w:t>
      </w:r>
      <w:r w:rsidRPr="00410629">
        <w:rPr>
          <w:sz w:val="24"/>
          <w:szCs w:val="24"/>
        </w:rPr>
        <w:t xml:space="preserve"> conheceu do Agravo de Instrumento e, no mérito, reafirmou a correção da decisão denegatória de seguimento do Recurso de Revista</w:t>
      </w:r>
      <w:r>
        <w:rPr>
          <w:sz w:val="24"/>
          <w:szCs w:val="24"/>
        </w:rPr>
        <w:t xml:space="preserve">, </w:t>
      </w:r>
      <w:r w:rsidRPr="00B71F39">
        <w:rPr>
          <w:sz w:val="24"/>
          <w:szCs w:val="24"/>
        </w:rPr>
        <w:t>cujo acórdão não tem efeito substitutivo da decisão proferida pela Corte de origem, esta sim voltada à solução da causa.</w:t>
      </w:r>
      <w:r>
        <w:rPr>
          <w:sz w:val="24"/>
          <w:szCs w:val="24"/>
        </w:rPr>
        <w:t xml:space="preserve"> </w:t>
      </w:r>
      <w:r w:rsidRPr="00410629">
        <w:rPr>
          <w:sz w:val="24"/>
          <w:szCs w:val="24"/>
        </w:rPr>
        <w:t>Revela-se</w:t>
      </w:r>
      <w:r>
        <w:rPr>
          <w:sz w:val="24"/>
          <w:szCs w:val="24"/>
        </w:rPr>
        <w:t xml:space="preserve"> </w:t>
      </w:r>
      <w:r w:rsidRPr="00410629">
        <w:rPr>
          <w:sz w:val="24"/>
          <w:szCs w:val="24"/>
        </w:rPr>
        <w:t>equivocada a compreensão de que o não provimento do Agravo de Instrumento impediu o exame do Recurso de Revista</w:t>
      </w:r>
      <w:r>
        <w:rPr>
          <w:sz w:val="24"/>
          <w:szCs w:val="24"/>
        </w:rPr>
        <w:t>, porquanto, na verdade, atingiu</w:t>
      </w:r>
      <w:r w:rsidRPr="00ED3CB0">
        <w:rPr>
          <w:sz w:val="24"/>
          <w:szCs w:val="24"/>
        </w:rPr>
        <w:t xml:space="preserve"> a finalidade para a qual foi disciplinado, ou seja, decidiu sobre o acerto da decisão que trancou o Recurso de Revista.</w:t>
      </w:r>
      <w:r>
        <w:rPr>
          <w:sz w:val="24"/>
          <w:szCs w:val="24"/>
        </w:rPr>
        <w:t xml:space="preserve"> </w:t>
      </w:r>
      <w:r w:rsidRPr="00410629">
        <w:rPr>
          <w:sz w:val="24"/>
          <w:szCs w:val="24"/>
        </w:rPr>
        <w:t>Não é o caso de configuração da hipótese prevista</w:t>
      </w:r>
      <w:r>
        <w:rPr>
          <w:sz w:val="24"/>
          <w:szCs w:val="24"/>
        </w:rPr>
        <w:t xml:space="preserve"> no art. 966, § 2.º, II, do CPC, </w:t>
      </w:r>
      <w:r w:rsidRPr="002E53C0">
        <w:rPr>
          <w:sz w:val="24"/>
          <w:szCs w:val="24"/>
        </w:rPr>
        <w:t xml:space="preserve">uma vez que não houve decisão que impedisse a admissibilidade do recurso correspondente. </w:t>
      </w:r>
      <w:r w:rsidRPr="00410629">
        <w:rPr>
          <w:sz w:val="24"/>
          <w:szCs w:val="24"/>
        </w:rPr>
        <w:t>Sob esse fundamento, a SBDI-I</w:t>
      </w:r>
      <w:r>
        <w:rPr>
          <w:sz w:val="24"/>
          <w:szCs w:val="24"/>
        </w:rPr>
        <w:t>I</w:t>
      </w:r>
      <w:r w:rsidRPr="00410629">
        <w:rPr>
          <w:sz w:val="24"/>
          <w:szCs w:val="24"/>
        </w:rPr>
        <w:t xml:space="preserve">, por unanimidade, </w:t>
      </w:r>
      <w:r>
        <w:rPr>
          <w:sz w:val="24"/>
          <w:szCs w:val="24"/>
        </w:rPr>
        <w:t>julgou</w:t>
      </w:r>
      <w:r w:rsidRPr="00B71F39">
        <w:rPr>
          <w:sz w:val="24"/>
          <w:szCs w:val="24"/>
        </w:rPr>
        <w:t xml:space="preserve"> extinto o processo, sem resolução de mérito, nos termos do art. 485, VI, do CPC.</w:t>
      </w:r>
      <w:r>
        <w:rPr>
          <w:sz w:val="24"/>
          <w:szCs w:val="24"/>
        </w:rPr>
        <w:t xml:space="preserve"> </w:t>
      </w:r>
      <w:hyperlink r:id="rId11" w:history="1">
        <w:r w:rsidRPr="00B71F39">
          <w:rPr>
            <w:rStyle w:val="Hyperlink"/>
            <w:sz w:val="24"/>
            <w:szCs w:val="24"/>
          </w:rPr>
          <w:t>AR-1000914-95.2018.5.00.0000</w:t>
        </w:r>
      </w:hyperlink>
      <w:r w:rsidRPr="00B71F39">
        <w:rPr>
          <w:sz w:val="24"/>
          <w:szCs w:val="24"/>
          <w:u w:val="single"/>
        </w:rPr>
        <w:t>, SBDI-II, rel. Min. Luiz José Dezena da Silva</w:t>
      </w:r>
      <w:r>
        <w:rPr>
          <w:sz w:val="24"/>
          <w:szCs w:val="24"/>
          <w:u w:val="single"/>
        </w:rPr>
        <w:t>, 2/9/</w:t>
      </w:r>
      <w:r w:rsidRPr="00B71F39">
        <w:rPr>
          <w:sz w:val="24"/>
          <w:szCs w:val="24"/>
          <w:u w:val="single"/>
        </w:rPr>
        <w:t>2020</w:t>
      </w:r>
      <w:r w:rsidRPr="00034E0C">
        <w:rPr>
          <w:sz w:val="24"/>
          <w:szCs w:val="24"/>
        </w:rPr>
        <w:t>.</w:t>
      </w:r>
    </w:p>
    <w:p w14:paraId="0DB5C3F8" w14:textId="77777777" w:rsidR="005848D7" w:rsidRPr="00AF7202" w:rsidRDefault="005848D7" w:rsidP="001144F9">
      <w:pPr>
        <w:spacing w:line="360" w:lineRule="auto"/>
        <w:jc w:val="both"/>
        <w:rPr>
          <w:u w:val="single"/>
        </w:rPr>
      </w:pPr>
    </w:p>
    <w:p w14:paraId="112BC9C7" w14:textId="77777777" w:rsidR="009A76A2" w:rsidRPr="006717E0"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TURMAS</w:t>
      </w:r>
    </w:p>
    <w:p w14:paraId="57E8921C" w14:textId="77777777" w:rsidR="009A76A2" w:rsidRPr="004B3120" w:rsidRDefault="009A76A2" w:rsidP="009A76A2">
      <w:pPr>
        <w:pStyle w:val="Cabealho"/>
        <w:tabs>
          <w:tab w:val="clear" w:pos="4419"/>
          <w:tab w:val="clear" w:pos="8838"/>
        </w:tabs>
        <w:jc w:val="center"/>
        <w:rPr>
          <w:i/>
        </w:rPr>
      </w:pPr>
      <w:r w:rsidRPr="004B3120">
        <w:rPr>
          <w:i/>
        </w:rPr>
        <w:t xml:space="preserve">Transcrição de ementas selecionadas </w:t>
      </w:r>
      <w:r w:rsidR="009D2FB1" w:rsidRPr="004B3120">
        <w:rPr>
          <w:i/>
        </w:rPr>
        <w:t>n</w:t>
      </w:r>
      <w:r w:rsidRPr="004B3120">
        <w:rPr>
          <w:i/>
        </w:rPr>
        <w:t>as sessões de julgamento das Turmas do TST.</w:t>
      </w:r>
    </w:p>
    <w:p w14:paraId="103A2C91" w14:textId="77777777" w:rsidR="00597FF5" w:rsidRPr="00597FF5" w:rsidRDefault="00597FF5" w:rsidP="00AF7202">
      <w:pPr>
        <w:jc w:val="both"/>
        <w:outlineLvl w:val="0"/>
      </w:pPr>
      <w:bookmarkStart w:id="1" w:name="Ementa"/>
      <w:bookmarkStart w:id="2" w:name="tempEmenta"/>
    </w:p>
    <w:p w14:paraId="22CC7BD6" w14:textId="77777777" w:rsidR="00BA53ED" w:rsidRPr="00F62BA9" w:rsidRDefault="00BA53ED" w:rsidP="00BA53ED">
      <w:pPr>
        <w:jc w:val="both"/>
        <w:outlineLvl w:val="0"/>
      </w:pPr>
    </w:p>
    <w:p w14:paraId="19B78D52" w14:textId="77777777" w:rsidR="00BA53ED" w:rsidRDefault="00BA53ED" w:rsidP="00BA53ED">
      <w:pPr>
        <w:jc w:val="both"/>
        <w:outlineLvl w:val="0"/>
        <w:rPr>
          <w:sz w:val="24"/>
          <w:szCs w:val="24"/>
        </w:rPr>
      </w:pPr>
      <w:r>
        <w:rPr>
          <w:sz w:val="24"/>
          <w:szCs w:val="24"/>
        </w:rPr>
        <w:t>“[</w:t>
      </w:r>
      <w:r w:rsidRPr="00FA187B">
        <w:rPr>
          <w:sz w:val="24"/>
          <w:szCs w:val="24"/>
        </w:rPr>
        <w:t>...</w:t>
      </w:r>
      <w:r>
        <w:rPr>
          <w:sz w:val="24"/>
          <w:szCs w:val="24"/>
        </w:rPr>
        <w:t xml:space="preserve">] </w:t>
      </w:r>
      <w:r w:rsidRPr="00FA187B">
        <w:rPr>
          <w:sz w:val="24"/>
          <w:szCs w:val="24"/>
        </w:rPr>
        <w:t>II -</w:t>
      </w:r>
      <w:r w:rsidRPr="00FA187B">
        <w:t xml:space="preserve"> </w:t>
      </w:r>
      <w:r w:rsidRPr="00FA187B">
        <w:rPr>
          <w:sz w:val="24"/>
          <w:szCs w:val="24"/>
        </w:rPr>
        <w:t>RECURSO DE REVISTA DO RECLAMANTE.</w:t>
      </w:r>
      <w:r>
        <w:rPr>
          <w:sz w:val="24"/>
          <w:szCs w:val="24"/>
        </w:rPr>
        <w:t xml:space="preserve"> [...]</w:t>
      </w:r>
      <w:r w:rsidRPr="00FA187B">
        <w:rPr>
          <w:sz w:val="24"/>
          <w:szCs w:val="24"/>
        </w:rPr>
        <w:t xml:space="preserve"> EFEITOS DA DECISÃO CRIMINAL NA JUSTIÇA DO TRABALHO. </w:t>
      </w:r>
      <w:proofErr w:type="gramStart"/>
      <w:r w:rsidRPr="00FA187B">
        <w:rPr>
          <w:sz w:val="24"/>
          <w:szCs w:val="24"/>
        </w:rPr>
        <w:t>O reclamante junta</w:t>
      </w:r>
      <w:proofErr w:type="gramEnd"/>
      <w:r w:rsidRPr="00FA187B">
        <w:rPr>
          <w:sz w:val="24"/>
          <w:szCs w:val="24"/>
        </w:rPr>
        <w:t xml:space="preserve"> aos autos decisão do juízo criminal que concluiu pelo arquivamento do inquérito policial que apurava o delito de falsidade ideológica pelo reclamante. O Tribunal Regional não emitiu tese a respeito dos efeitos da decisão criminal na Justiça do Trabalho, haja vista que a petição que informa o arquivamento do inquérito policial foi protocolada após o julgamento do acórdão de embargos de declaração. Trata-se de documento novo, cuja juntada é possível nos termos da Súmula nº 8 desta Corte. A análise da citada decisão também se alinha ao disposto no art. 493 do CPC/2015. No mais, destaque-se que o exame de tal ato decisório não configura a hipótese de decisão surpresa, na forma do art. 10 do CPC/2015, tendo em vista que a reclamada se manifestou nas contrarrazões ao recurso de revista acerca do arquivamento do inquérito policial. Quanto aos alegados efeitos vinculantes da citada decisão, necessário ressaltar que vigora em nosso ordenamento, em regra, o princípio da incomunicabilidade das instâncias. A jurisprudência consolidada do Superior Tribunal de Justiça, no entanto, admite que a decisão do juízo criminal repercuta sobre outras esferas, mas apenas em caso de reconhecimento da inexistência material do fato ou da negativa de autoria em sentença de mérito no processo penal. Na hipótese, o juízo criminal acolheu integralmente o parecer do Ministério Público, cuja conclusão é pela </w:t>
      </w:r>
      <w:r w:rsidRPr="00A74FCA">
        <w:rPr>
          <w:i/>
          <w:sz w:val="24"/>
          <w:szCs w:val="24"/>
        </w:rPr>
        <w:t>“ausência de prova suficiente da prática do crime”</w:t>
      </w:r>
      <w:r w:rsidRPr="00A74FCA">
        <w:rPr>
          <w:sz w:val="24"/>
          <w:szCs w:val="24"/>
        </w:rPr>
        <w:t xml:space="preserve">. </w:t>
      </w:r>
      <w:r w:rsidRPr="00FA187B">
        <w:rPr>
          <w:sz w:val="24"/>
          <w:szCs w:val="24"/>
        </w:rPr>
        <w:t xml:space="preserve">Não se trata, portanto, de decisão de absolvição do reclamante no juízo criminal, por estar provada a inexistência do fato ou da autoria. Trata-se, </w:t>
      </w:r>
      <w:r w:rsidRPr="00A74FCA">
        <w:rPr>
          <w:i/>
          <w:sz w:val="24"/>
          <w:szCs w:val="24"/>
        </w:rPr>
        <w:t xml:space="preserve">in </w:t>
      </w:r>
      <w:proofErr w:type="spellStart"/>
      <w:r w:rsidRPr="00A74FCA">
        <w:rPr>
          <w:i/>
          <w:sz w:val="24"/>
          <w:szCs w:val="24"/>
        </w:rPr>
        <w:t>casu</w:t>
      </w:r>
      <w:proofErr w:type="spellEnd"/>
      <w:r w:rsidRPr="00FA187B">
        <w:rPr>
          <w:sz w:val="24"/>
          <w:szCs w:val="24"/>
        </w:rPr>
        <w:t xml:space="preserve">, do arquivamento do inquérito policial por ausência de provas suficientes da prática do crime de falsidade ideológica. Nessa linha, ao contrário do que pretende o reclamante, a decisão do juízo criminal não é suficiente para afastar a penalidade da dispensa por justa causa, especialmente diante do quadro fático delineado no acórdão recorrido acerca das faltas cometidas </w:t>
      </w:r>
      <w:r w:rsidRPr="00FA187B">
        <w:rPr>
          <w:sz w:val="24"/>
          <w:szCs w:val="24"/>
        </w:rPr>
        <w:lastRenderedPageBreak/>
        <w:t xml:space="preserve">pelo reclamante. Pelo exposto, não se constata violação literal dos </w:t>
      </w:r>
      <w:proofErr w:type="spellStart"/>
      <w:r w:rsidRPr="00FA187B">
        <w:rPr>
          <w:sz w:val="24"/>
          <w:szCs w:val="24"/>
        </w:rPr>
        <w:t>arts</w:t>
      </w:r>
      <w:proofErr w:type="spellEnd"/>
      <w:r w:rsidRPr="00FA187B">
        <w:rPr>
          <w:sz w:val="24"/>
          <w:szCs w:val="24"/>
        </w:rPr>
        <w:t>. 8º, parágrafo único, da CLT, 935 do Código Civil, 65 e 66 do CPP. Recurso de revista de que não se conhece.</w:t>
      </w:r>
      <w:r>
        <w:rPr>
          <w:sz w:val="24"/>
          <w:szCs w:val="24"/>
        </w:rPr>
        <w:t xml:space="preserve"> [...]</w:t>
      </w:r>
      <w:r w:rsidRPr="00FA187B">
        <w:rPr>
          <w:sz w:val="24"/>
          <w:szCs w:val="24"/>
        </w:rPr>
        <w:t>”</w:t>
      </w:r>
      <w:r w:rsidRPr="001A52B8">
        <w:rPr>
          <w:sz w:val="24"/>
          <w:szCs w:val="24"/>
        </w:rPr>
        <w:t xml:space="preserve"> (</w:t>
      </w:r>
      <w:hyperlink r:id="rId12" w:history="1">
        <w:r w:rsidRPr="00880059">
          <w:rPr>
            <w:rStyle w:val="Hyperlink"/>
            <w:sz w:val="24"/>
            <w:szCs w:val="24"/>
          </w:rPr>
          <w:t>TST-RR-215500-31.2008.5.02.0465</w:t>
        </w:r>
      </w:hyperlink>
      <w:r>
        <w:rPr>
          <w:sz w:val="24"/>
          <w:szCs w:val="24"/>
        </w:rPr>
        <w:t>, 2</w:t>
      </w:r>
      <w:r w:rsidRPr="001A52B8">
        <w:rPr>
          <w:sz w:val="24"/>
          <w:szCs w:val="24"/>
        </w:rPr>
        <w:t xml:space="preserve">ª Turma, rel. Min. </w:t>
      </w:r>
      <w:r>
        <w:rPr>
          <w:sz w:val="24"/>
          <w:szCs w:val="24"/>
        </w:rPr>
        <w:t xml:space="preserve">Maria Helena </w:t>
      </w:r>
      <w:proofErr w:type="spellStart"/>
      <w:r>
        <w:rPr>
          <w:sz w:val="24"/>
          <w:szCs w:val="24"/>
        </w:rPr>
        <w:t>Mallmann</w:t>
      </w:r>
      <w:proofErr w:type="spellEnd"/>
      <w:r>
        <w:rPr>
          <w:sz w:val="24"/>
          <w:szCs w:val="24"/>
        </w:rPr>
        <w:t>, julgado em 2/9/2020.</w:t>
      </w:r>
      <w:r w:rsidRPr="001A52B8">
        <w:rPr>
          <w:sz w:val="24"/>
          <w:szCs w:val="24"/>
        </w:rPr>
        <w:t>)</w:t>
      </w:r>
    </w:p>
    <w:p w14:paraId="31B54EB1" w14:textId="77777777" w:rsidR="00BA53ED" w:rsidRPr="00423EA2" w:rsidRDefault="00BA53ED" w:rsidP="00BA53ED">
      <w:pPr>
        <w:jc w:val="both"/>
        <w:outlineLvl w:val="0"/>
      </w:pPr>
    </w:p>
    <w:p w14:paraId="1398B638" w14:textId="325EEDBE" w:rsidR="00BA53ED" w:rsidRDefault="00BA53ED" w:rsidP="00BA53ED">
      <w:pPr>
        <w:jc w:val="both"/>
        <w:outlineLvl w:val="0"/>
        <w:rPr>
          <w:sz w:val="24"/>
          <w:szCs w:val="24"/>
        </w:rPr>
      </w:pPr>
      <w:r>
        <w:rPr>
          <w:sz w:val="24"/>
          <w:szCs w:val="24"/>
        </w:rPr>
        <w:t xml:space="preserve">“I – </w:t>
      </w:r>
      <w:r w:rsidRPr="004E3695">
        <w:rPr>
          <w:sz w:val="24"/>
          <w:szCs w:val="24"/>
        </w:rPr>
        <w:t>RECURSO DE REVISTA. ACÓRDÃO REGIONAL PUBLICADO NA VIGÊNCIA DAS LEIS 13.015/14 E 13.467/17. AÇÃO REVISIONAL. REDUÇÃO DEFINITIVA DA CAPACIDADE LABORAL DA RECLAMANTE. REVISÃO DE PENSIONAMENTO EM PARCELA ÚNICA. COISA JULGADA. Cinge-se a controvérsia em determinar se, no caso em concreto, houve mudança no estado de direito da ora recorrida (reclamante no processo principal: RT-8300-90.2009.5.02.0086 e ré na presente ação revisional) apta a autorizar a revisão da coisa julgada, para adequá-la à nova situação, nos moldes do artigo 505, I, do NCPC. No caso, a Corte Regional, a par da premissa constante da sentença de que houve redução definitiva da capacidade laboral da trabalhadora (co</w:t>
      </w:r>
      <w:r>
        <w:rPr>
          <w:sz w:val="24"/>
          <w:szCs w:val="24"/>
        </w:rPr>
        <w:t xml:space="preserve">stureira), decorrente de hérnia discal cervical, </w:t>
      </w:r>
      <w:r w:rsidRPr="004E3695">
        <w:rPr>
          <w:sz w:val="24"/>
          <w:szCs w:val="24"/>
        </w:rPr>
        <w:t xml:space="preserve">nega provimento ao recurso ordinário da empresa, mantendo a sentença que julgara extinta, sem resolução de mérito, a ação revisional aforada, ressaltando que </w:t>
      </w:r>
      <w:r w:rsidRPr="00D75114">
        <w:rPr>
          <w:i/>
          <w:sz w:val="24"/>
          <w:szCs w:val="24"/>
        </w:rPr>
        <w:t>“o título judicial transitado em julgado, que determinou o pagamento de valor correspondente à pensão mensal vitalícia à laborista, de uma só vez, não trata de relação jurídica de trato continuativo, submetida à cláusula rebus sic stantibus. Nada há no título judicial que autorize rever a coisa julgada, não socorrendo a recorrente a argumentação contida no laudo do perito judicial, de sorte que a coisa julgada constitui óbice intransponível à pretensão em pauta, conforme acertadamente decidido na origem”</w:t>
      </w:r>
      <w:r w:rsidRPr="004E3695">
        <w:rPr>
          <w:sz w:val="24"/>
          <w:szCs w:val="24"/>
        </w:rPr>
        <w:t xml:space="preserve"> (pág. 696, grifamos). Realmente, uma vez considerada a redução definitiva (e não transitória) da capacidade laboral da trabalhadora (costureira), em decorrência de hérnia discal cervical, e, tendo a Corte Regional deferido, no processo principal, pagamento de indenização em parcela única da pensão mensal (artigo 950, parágrafo único, do CCB),  não há nada no título judicial que autorize rever a coisa julgada. Veja-se que que a coisa julgada material formou-se nos seguintes termos: </w:t>
      </w:r>
      <w:r w:rsidRPr="00D75114">
        <w:rPr>
          <w:i/>
          <w:sz w:val="24"/>
          <w:szCs w:val="24"/>
        </w:rPr>
        <w:t>“indenização, paga de uma só vez, equivalente à pensão mensal, além de uma prestação adicional no mês de dezembro (referente à gratificação natalina), relativa ao período de 10/07/2000 até que ela complete oitenta anos, equivalente a 2/3 do salário da categoria da autora vigente a cada época própria, observados os reajustes concedidos à categoria”</w:t>
      </w:r>
      <w:r w:rsidRPr="004E3695">
        <w:rPr>
          <w:sz w:val="24"/>
          <w:szCs w:val="24"/>
        </w:rPr>
        <w:t xml:space="preserve"> (pág. 696, grifamos). Não se trata daquele</w:t>
      </w:r>
      <w:r>
        <w:rPr>
          <w:sz w:val="24"/>
          <w:szCs w:val="24"/>
        </w:rPr>
        <w:t xml:space="preserve">s casos em que está contido no </w:t>
      </w:r>
      <w:r w:rsidRPr="004E3695">
        <w:rPr>
          <w:sz w:val="24"/>
          <w:szCs w:val="24"/>
        </w:rPr>
        <w:t>comando judicial a cláusula “</w:t>
      </w:r>
      <w:r w:rsidRPr="00D75114">
        <w:rPr>
          <w:i/>
          <w:sz w:val="24"/>
          <w:szCs w:val="24"/>
        </w:rPr>
        <w:t>rebus sic stantibus</w:t>
      </w:r>
      <w:r w:rsidRPr="004E3695">
        <w:rPr>
          <w:sz w:val="24"/>
          <w:szCs w:val="24"/>
        </w:rPr>
        <w:t xml:space="preserve">”, a exemplo do que, muitas vezes, ocorre em condenações envolvendo adicionais de insalubridade e periculosidade, ou mesmo de relação jurídica continuativa, decorrente de título executivo em que se mostra eficaz enquanto perdurar a situação de fato ou de direito. É bem verdade que a empresa, autora da </w:t>
      </w:r>
      <w:r>
        <w:rPr>
          <w:sz w:val="24"/>
          <w:szCs w:val="24"/>
        </w:rPr>
        <w:t xml:space="preserve">ação revisional, sustenta que </w:t>
      </w:r>
      <w:r w:rsidRPr="00D75114">
        <w:rPr>
          <w:i/>
          <w:sz w:val="24"/>
          <w:szCs w:val="24"/>
        </w:rPr>
        <w:t>“a redução de capacidade da ré não pode ser considerada definitiva, pois o laudo médico do processo revisando, expressamente dispôs que havia a possibilidade de melhora da ré com cirurgia”</w:t>
      </w:r>
      <w:r w:rsidRPr="004E3695">
        <w:rPr>
          <w:sz w:val="24"/>
          <w:szCs w:val="24"/>
        </w:rPr>
        <w:t xml:space="preserve"> (pág. 716), no entanto, compulsando os presentes autos eletrônicos (sentença e acórdão regional), inclusive os referentes ao processo principal (8300-90.2009.5.02.0086 - sentença e acórdão regional, também), constato que a condenação se deu em decorrência da comprovada redução definitiva da capacidade laboral da trabalhadora (costureira), não se identificando, em nenhuma das fases do processo (conhecimento e execução), tese disponibilizada pela Corte Regional  a respeito de suposto laudo médico no sentido de que havia a possibilidade de melhora da trabalhadora com cirurgia. A pretensão recursal, na verdade, não passa de uma tentativa de se rediscutir nesta fase executória, matéria acobertada pelo trânsito em julgado na fase de conhecimento. C</w:t>
      </w:r>
      <w:r>
        <w:rPr>
          <w:sz w:val="24"/>
          <w:szCs w:val="24"/>
        </w:rPr>
        <w:t xml:space="preserve">abe, no particular, a doutrina </w:t>
      </w:r>
      <w:r w:rsidRPr="004E3695">
        <w:rPr>
          <w:sz w:val="24"/>
          <w:szCs w:val="24"/>
        </w:rPr>
        <w:t xml:space="preserve">de Nelson Nery Junior/Rosa Maria Andrade Nery, “Código de Processo Civil Comentado e Legislação Extravagante”, p. 739, item n. 1, 11ª ed., 2010, RT), no sentido de que: </w:t>
      </w:r>
      <w:r w:rsidRPr="00D75114">
        <w:rPr>
          <w:i/>
          <w:sz w:val="24"/>
          <w:szCs w:val="24"/>
        </w:rPr>
        <w:t xml:space="preserve">“Transitada em julgado a sentença de mérito, as partes ficam impossibilitadas de alegar qualquer outra questão relacionada com a lide sobre a qual pesa a autoridade da coisa julgada. A norma reputa repelidas todas as alegações que as partes poderiam ter feito na petição inicial e contestação a respeito da lide e não o fizeram (alegações deduzidas e dedutíveis (…)). Isto quer significar que não se admite a propositura de nova demanda para rediscutir a lide, com base em novas alegações. A este fenômeno dá-se o nome de eficácia </w:t>
      </w:r>
      <w:r w:rsidRPr="00D75114">
        <w:rPr>
          <w:i/>
          <w:sz w:val="24"/>
          <w:szCs w:val="24"/>
        </w:rPr>
        <w:lastRenderedPageBreak/>
        <w:t>preclusiva da coisa julgada.”.</w:t>
      </w:r>
      <w:r w:rsidRPr="004E3695">
        <w:rPr>
          <w:sz w:val="24"/>
          <w:szCs w:val="24"/>
        </w:rPr>
        <w:t xml:space="preserve"> Ademais, não se olvida que ninguém pode garantir 100% de certeza no sucesso de uma cirurgia, notadamente, em se tratando de coluna cervical, razão pela qual, diante da ausência de elementos que conduzam à viabilidade jurídica da pretensão da autora na ação revisional, não vejo como impor à revelia da trabalhadora-ré tal infortúnio. Também não prospera a alegação de que </w:t>
      </w:r>
      <w:r w:rsidRPr="00D75114">
        <w:rPr>
          <w:i/>
          <w:sz w:val="24"/>
          <w:szCs w:val="24"/>
        </w:rPr>
        <w:t>“a reclamante juntou cópia da sua CTPS, que comprova que a mesma está trabalhando desde 02.02.2015, ID 91cf577 - Pág. 3, o que corrobora o disposto na inicial, de que a ré está apta ao trabalho”</w:t>
      </w:r>
      <w:r w:rsidRPr="004E3695">
        <w:rPr>
          <w:sz w:val="24"/>
          <w:szCs w:val="24"/>
        </w:rPr>
        <w:t xml:space="preserve"> (pág. 716), porquanto, além de inexistir tese no acórdão recorrido a tal respeito (Súmula 297/TST), o fato de a ré (trabalhadora), depois de quase oito anos, retornar ao mercado de trabalho como “demonstradora” numa microempresa de cosméticos (vide CTPS, pág. 616), não tem o condão de lhe tornar apta para o exercício da atividade para a qual fora incapacitada totalmente (costureira). Assim, tratando-se, no caso, de relação jurídica tradicional, não continuativa, não vislumbro violação do artigo 505, I, do NCPC. O único aresto colacionado (págs. 717-720) é formalmente inválido, porquanto não traz a fonte de publicação (incidência da Súmula 337, I, “a”, do TST). Recurso de revista não conhecido.</w:t>
      </w:r>
      <w:r>
        <w:rPr>
          <w:sz w:val="24"/>
          <w:szCs w:val="24"/>
        </w:rPr>
        <w:t xml:space="preserve"> [...]” (</w:t>
      </w:r>
      <w:hyperlink r:id="rId13" w:history="1">
        <w:r w:rsidRPr="00950842">
          <w:rPr>
            <w:rStyle w:val="Hyperlink"/>
            <w:sz w:val="24"/>
            <w:szCs w:val="24"/>
          </w:rPr>
          <w:t>TST-RR-1001013-24.2017.5.02.0007</w:t>
        </w:r>
      </w:hyperlink>
      <w:r>
        <w:rPr>
          <w:sz w:val="24"/>
          <w:szCs w:val="24"/>
        </w:rPr>
        <w:t>, 3ª Turma, rel. Min. Alexandre de Souza Agra Belmonte, julgado em 2/9/2020</w:t>
      </w:r>
      <w:r w:rsidR="004C62C6">
        <w:rPr>
          <w:sz w:val="24"/>
          <w:szCs w:val="24"/>
        </w:rPr>
        <w:t>.</w:t>
      </w:r>
      <w:r>
        <w:rPr>
          <w:sz w:val="24"/>
          <w:szCs w:val="24"/>
        </w:rPr>
        <w:t>)</w:t>
      </w:r>
      <w:r w:rsidRPr="004E3695">
        <w:rPr>
          <w:sz w:val="24"/>
          <w:szCs w:val="24"/>
        </w:rPr>
        <w:t xml:space="preserve"> </w:t>
      </w:r>
    </w:p>
    <w:p w14:paraId="6493349E" w14:textId="77777777" w:rsidR="00BA53ED" w:rsidRPr="00423EA2" w:rsidRDefault="00BA53ED" w:rsidP="00BA53ED">
      <w:pPr>
        <w:jc w:val="both"/>
        <w:outlineLvl w:val="0"/>
      </w:pPr>
    </w:p>
    <w:p w14:paraId="7E568D07" w14:textId="77777777" w:rsidR="00BA53ED" w:rsidRPr="001A52B8" w:rsidRDefault="00BA53ED" w:rsidP="00BA53ED">
      <w:pPr>
        <w:jc w:val="both"/>
        <w:outlineLvl w:val="0"/>
        <w:rPr>
          <w:rFonts w:eastAsiaTheme="minorEastAsia"/>
          <w:b/>
          <w:i/>
          <w:color w:val="000000"/>
          <w:sz w:val="24"/>
          <w:szCs w:val="24"/>
        </w:rPr>
      </w:pPr>
      <w:r>
        <w:rPr>
          <w:sz w:val="24"/>
          <w:szCs w:val="24"/>
        </w:rPr>
        <w:t>“</w:t>
      </w:r>
      <w:r w:rsidRPr="00EB17C2">
        <w:rPr>
          <w:sz w:val="24"/>
          <w:szCs w:val="24"/>
        </w:rPr>
        <w:t xml:space="preserve">AGRAVO. RECURSO DE REVISTA. PROCESSO SOB A ÉGIDE DA LEI 13.015/2014 E ANTERIOR À LEI 13.467/2017. ADICIONAL DE PERICULOSIDADE. USO DE MOTOCICLETA. LEI Nº 12.997/2014, REGULAMENTADA PELA PORTARIA 1.565/2014 DO MT. ANEXO 5 DA NR 16. O art. 193, caput e § 4º, da CLT, dispõe que o trabalho em motocicleta dá ensejo ao pagamento de adicional de periculosidade. O dispositivo foi regulamentado pela Portaria nº 1.565/2014, que inseriu tal atividade no Anexo 5 da NR16. Na hipótese, o Tribunal Regional, mantendo a sentença, indeferiu o pedido do adicional de periculosidade, mesmo consignando que o Autor utilizava a motocicleta para o desenvolvimento do seu trabalho. Desse modo, proferiu decisão em dissonância com o art. 193, caput e § 4º, da CLT. É preciso ressaltar que o preceito normativo da Lei nº 12.997/2014, publicada em 20.06.14, é autoaplicável, produzindo efeitos desde 20.06.2014, data da sua publicação, uma vez que todos os elementos para a sua tipicidade e validade são </w:t>
      </w:r>
      <w:proofErr w:type="spellStart"/>
      <w:r w:rsidRPr="00EB17C2">
        <w:rPr>
          <w:sz w:val="24"/>
          <w:szCs w:val="24"/>
        </w:rPr>
        <w:t>autoevidentes</w:t>
      </w:r>
      <w:proofErr w:type="spellEnd"/>
      <w:r w:rsidRPr="00EB17C2">
        <w:rPr>
          <w:sz w:val="24"/>
          <w:szCs w:val="24"/>
        </w:rPr>
        <w:t>. A regulação pelo Ministério do Trabalho, inserindo a atividade na NR-16, ostenta efeitos meramente administrativos, não prejudicando o direito trabalhista (adicional de periculosidade) criado pela lei especificada. Assim sendo, a decisão agravada foi proferida em estrita observância às normas processuais (</w:t>
      </w:r>
      <w:proofErr w:type="spellStart"/>
      <w:r w:rsidRPr="00EB17C2">
        <w:rPr>
          <w:sz w:val="24"/>
          <w:szCs w:val="24"/>
        </w:rPr>
        <w:t>arts</w:t>
      </w:r>
      <w:proofErr w:type="spellEnd"/>
      <w:r w:rsidRPr="00EB17C2">
        <w:rPr>
          <w:sz w:val="24"/>
          <w:szCs w:val="24"/>
        </w:rPr>
        <w:t>. 557, § 1º-A, do CPC/1973 e 932, V, “a”, do CPC/2015), razão pela qual é insuscetível de reforma ou reconsideração. Agravo desprovido.</w:t>
      </w:r>
      <w:r>
        <w:rPr>
          <w:sz w:val="24"/>
          <w:szCs w:val="24"/>
        </w:rPr>
        <w:t xml:space="preserve">” </w:t>
      </w:r>
      <w:r w:rsidRPr="001A52B8">
        <w:rPr>
          <w:sz w:val="24"/>
          <w:szCs w:val="24"/>
        </w:rPr>
        <w:t>(</w:t>
      </w:r>
      <w:hyperlink r:id="rId14" w:history="1">
        <w:r>
          <w:rPr>
            <w:rStyle w:val="Hyperlink"/>
            <w:sz w:val="24"/>
            <w:szCs w:val="24"/>
          </w:rPr>
          <w:t>TST-RR-</w:t>
        </w:r>
        <w:r w:rsidRPr="00EB17C2">
          <w:rPr>
            <w:rStyle w:val="Hyperlink"/>
            <w:sz w:val="24"/>
            <w:szCs w:val="24"/>
          </w:rPr>
          <w:t xml:space="preserve"> 24195-53.2017.5.24.0004</w:t>
        </w:r>
      </w:hyperlink>
      <w:r>
        <w:rPr>
          <w:sz w:val="24"/>
          <w:szCs w:val="24"/>
        </w:rPr>
        <w:t xml:space="preserve">, </w:t>
      </w:r>
      <w:r w:rsidRPr="001A52B8">
        <w:rPr>
          <w:sz w:val="24"/>
          <w:szCs w:val="24"/>
        </w:rPr>
        <w:t xml:space="preserve">3ª Turma, rel. Min. </w:t>
      </w:r>
      <w:r>
        <w:rPr>
          <w:sz w:val="24"/>
          <w:szCs w:val="24"/>
        </w:rPr>
        <w:t>Mauricio Godinho Delgado, julgado em 2/9/2020.</w:t>
      </w:r>
      <w:r w:rsidRPr="001A52B8">
        <w:rPr>
          <w:sz w:val="24"/>
          <w:szCs w:val="24"/>
        </w:rPr>
        <w:t>)</w:t>
      </w:r>
    </w:p>
    <w:p w14:paraId="596D3A81" w14:textId="77777777" w:rsidR="00BA53ED" w:rsidRPr="001A1760" w:rsidRDefault="00BA53ED" w:rsidP="00BA53ED"/>
    <w:p w14:paraId="4E6A5588" w14:textId="77777777" w:rsidR="00BA53ED" w:rsidRPr="003D7D8B" w:rsidRDefault="00BA53ED" w:rsidP="00BA53ED">
      <w:pPr>
        <w:jc w:val="both"/>
        <w:outlineLvl w:val="0"/>
        <w:rPr>
          <w:sz w:val="24"/>
          <w:szCs w:val="24"/>
        </w:rPr>
      </w:pPr>
      <w:r w:rsidRPr="001A1760">
        <w:rPr>
          <w:sz w:val="24"/>
          <w:szCs w:val="24"/>
        </w:rPr>
        <w:t>“EMBARGOS DE DECLARAÇÃO. PARTIDAS OFICIAIS DE FUTEBOL. LIMITAÇÃO DE HORÁRIO. ESTRESSE TÉRMICO. PRINCÍPIOS DA LEGALIDADE, DA LIVRE INICIATIVA PRIVADA, DA AUTONOMIA DA VONTADE, DA RAZOABILIDADE, DA PROPORCIONALIDADE E DA ISONOMIA. CONTRADIÇÃO. EXISTÊNCIA. EFEITO MODIFICATIVO</w:t>
      </w:r>
      <w:r w:rsidRPr="003D7D8B">
        <w:rPr>
          <w:sz w:val="24"/>
          <w:szCs w:val="24"/>
        </w:rPr>
        <w:t>. Constatada a ocorrência de contradição e, considerando o cabimento dos embargos de declaração na hipótese desse vício (art. 897-A da CLT), bem como que a contradição a que alude o artigo 1022 do NCPC (535 do CPC/73) diz respeito à ausência de lógica ou coerência entre as proposições contidas na decisão, não permitindo ao intérprete deduzir, com exatidão, qual dos dois ou mais sentidos que se ext</w:t>
      </w:r>
      <w:r>
        <w:rPr>
          <w:sz w:val="24"/>
          <w:szCs w:val="24"/>
        </w:rPr>
        <w:t xml:space="preserve">raem do texto deve prevalecer, </w:t>
      </w:r>
      <w:r w:rsidRPr="003D7D8B">
        <w:rPr>
          <w:sz w:val="24"/>
          <w:szCs w:val="24"/>
        </w:rPr>
        <w:t xml:space="preserve">decerto que merece reparo o acórdão embargado. Assim, deve ser dado provimento aos embargos de declaração para, sanando contradição e imprimindo-lhes efeito modificativo, alterar o dispositivo da decisão embargada a fim de que passe a constar da seguinte forma: </w:t>
      </w:r>
      <w:r w:rsidRPr="003D7D8B">
        <w:rPr>
          <w:i/>
          <w:iCs/>
          <w:sz w:val="24"/>
          <w:szCs w:val="24"/>
        </w:rPr>
        <w:t>"(...). 2 – Conhecer do recurso de revista apenas quanto ao tema ‘partidas oficiais de futebol - limitação de horário - estresse térmico - princípios da legalidade, da livre iniciativa privada, da autonomia da vontade, da razoabilidade, da proporcionalidade e da isonomia’, por violação dos artigos 5º, II, e 7º, XXIII, da CF, e, no mé</w:t>
      </w:r>
      <w:r>
        <w:rPr>
          <w:i/>
          <w:iCs/>
          <w:sz w:val="24"/>
          <w:szCs w:val="24"/>
        </w:rPr>
        <w:t xml:space="preserve">rito, dar-lhe provimento para, </w:t>
      </w:r>
      <w:r w:rsidRPr="003D7D8B">
        <w:rPr>
          <w:i/>
          <w:iCs/>
          <w:sz w:val="24"/>
          <w:szCs w:val="24"/>
        </w:rPr>
        <w:t>r</w:t>
      </w:r>
      <w:r>
        <w:rPr>
          <w:i/>
          <w:iCs/>
          <w:sz w:val="24"/>
          <w:szCs w:val="24"/>
        </w:rPr>
        <w:t xml:space="preserve">eformando a decisão recorrida, </w:t>
      </w:r>
      <w:r w:rsidRPr="003D7D8B">
        <w:rPr>
          <w:i/>
          <w:iCs/>
          <w:sz w:val="24"/>
          <w:szCs w:val="24"/>
        </w:rPr>
        <w:t xml:space="preserve">permitir que sejam realizados jogos </w:t>
      </w:r>
      <w:r w:rsidRPr="003D7D8B">
        <w:rPr>
          <w:i/>
          <w:iCs/>
          <w:sz w:val="24"/>
          <w:szCs w:val="24"/>
        </w:rPr>
        <w:lastRenderedPageBreak/>
        <w:t>oficiais de futebol de todas as séries organizados pela Confederação Brasileira de Futebol – CBF em todo o território nacional também no  período compreendido entre 11h e 14h, assegurado aos atletas, no entanto, o direito aos intervalos para recuperação térmica e ao adicional respectivo porventura comprovado em decorrência da insalubridade pela exposição ao calor acima dos limites de tolerância (OJ-173-SBDI-1/TST</w:t>
      </w:r>
      <w:r w:rsidRPr="001A1760">
        <w:rPr>
          <w:i/>
          <w:iCs/>
          <w:sz w:val="24"/>
          <w:szCs w:val="24"/>
        </w:rPr>
        <w:t xml:space="preserve">)”. </w:t>
      </w:r>
      <w:r w:rsidRPr="001A1760">
        <w:rPr>
          <w:sz w:val="24"/>
          <w:szCs w:val="24"/>
        </w:rPr>
        <w:t>Embargos de declaração conhecidos e providos, com efeito modificativo.”</w:t>
      </w:r>
      <w:r w:rsidRPr="001A52B8">
        <w:rPr>
          <w:sz w:val="24"/>
          <w:szCs w:val="24"/>
        </w:rPr>
        <w:t xml:space="preserve"> (</w:t>
      </w:r>
      <w:hyperlink r:id="rId15" w:history="1">
        <w:r w:rsidRPr="00B67041">
          <w:rPr>
            <w:rStyle w:val="Hyperlink"/>
            <w:sz w:val="24"/>
            <w:szCs w:val="24"/>
          </w:rPr>
          <w:t>TST-ED-ARR-707-96.2016.5.21.0001</w:t>
        </w:r>
      </w:hyperlink>
      <w:r w:rsidRPr="001A52B8">
        <w:rPr>
          <w:sz w:val="24"/>
          <w:szCs w:val="24"/>
        </w:rPr>
        <w:t xml:space="preserve">, 3ª Turma, rel. Min. </w:t>
      </w:r>
      <w:r>
        <w:rPr>
          <w:sz w:val="24"/>
          <w:szCs w:val="24"/>
        </w:rPr>
        <w:t>Alexandre de Souza Agra Belmonte</w:t>
      </w:r>
      <w:r w:rsidRPr="001A52B8">
        <w:rPr>
          <w:sz w:val="24"/>
          <w:szCs w:val="24"/>
        </w:rPr>
        <w:t xml:space="preserve">, julgado em </w:t>
      </w:r>
      <w:r>
        <w:rPr>
          <w:sz w:val="24"/>
          <w:szCs w:val="24"/>
        </w:rPr>
        <w:t>9/9/2020.</w:t>
      </w:r>
      <w:r w:rsidRPr="001A52B8">
        <w:rPr>
          <w:sz w:val="24"/>
          <w:szCs w:val="24"/>
        </w:rPr>
        <w:t>)</w:t>
      </w:r>
    </w:p>
    <w:p w14:paraId="6060271C" w14:textId="77777777" w:rsidR="00BA53ED" w:rsidRPr="00B67041" w:rsidRDefault="00BA53ED" w:rsidP="00BA53ED">
      <w:pPr>
        <w:ind w:left="567"/>
        <w:jc w:val="both"/>
        <w:rPr>
          <w:b/>
        </w:rPr>
      </w:pPr>
    </w:p>
    <w:p w14:paraId="63C93BCE" w14:textId="77777777" w:rsidR="00BA53ED" w:rsidRDefault="00BA53ED" w:rsidP="00BA53ED">
      <w:pPr>
        <w:jc w:val="both"/>
        <w:outlineLvl w:val="0"/>
        <w:rPr>
          <w:rFonts w:eastAsia="Calibri"/>
          <w:sz w:val="24"/>
          <w:szCs w:val="24"/>
        </w:rPr>
      </w:pPr>
      <w:r w:rsidRPr="00423EA2">
        <w:rPr>
          <w:rFonts w:eastAsia="Calibri"/>
          <w:sz w:val="24"/>
          <w:szCs w:val="24"/>
        </w:rPr>
        <w:t>“[...] PRESCRIÇÃO. COMPENSAÇÃO POR DANO MORAL. EXPOSIÇÃO AO AMIANTO. DOENÇA OCUPACIONAL NÃO CARACTERIZADA. NÃO CONHECIMENTO. Discute-se a incidência da prescrição prevista no artigo 7º, XXIX, da Constituição Federal sobre a pretensão de reparação por dano moral, fundada na exposição do reclamante ao amianto, no curso do contrato de trabalho, que, na espécie, vigorou de 06.12.1976 a 01.11.1984. Nota-se, contudo, que o caso vertente não se coaduna com a situação de efetivo desenvolvimento de doença ocupacional, já que, conforme se extrai do acórdão recorrido, é incontroverso que o autor não foi acometido por qualquer doença relacionada à exposição ao amianto. A Corte de origem, ao ressaltar que a causa de pedir restou amparada apenas no risco de o reclamante desenvolver doenças decorrentes da exposição ao mencionado agente lesivo, ocorrida durante o vínculo contratual, considerou prescrita a pretensão relativa à reparação por dano moral. Isso porque a reclamação trabalhista foi ajuizada em 08.12.2016 e a divulgação do Decreto nº 6.042/2007, que conferiu publicidade oficial aos riscos oriundos do amianto, ocorreu em 23.02.2007. Nesse contexto, não há falar em ofensa aos artigos 11 da CLT e 7º, XXIX, da Constituição Federal, já que a eventual afronta ao direito ocorreu mais de cinco anos antes do ajuizamento da presente reclamação trabalhista. Ademais, cumpre esclarecer que a presente pretensão obreira também encontra óbice na incidência da prescrição bienal. Isso porque o pedido ora formulado, de reparação por dano moral, não vem fundamentado em doença profissional que tenha sido adquirida pelo empregado em decorrência da sua exposição ao amianto ao longo do contrato de trabalho, hipótese em que a contagem do prazo de 2 (dois) anos teria início a partir da efetiva ciência pelo trabalhador da lesão sofrida. No caso, a reparação ora postulada tem, como causa de pedir, o temor do qual é acometido o reclamante de, futuramente, vir a desenvolver doença profissional em função da sua exposição ao amianto durante o contrato de trabalho, temor esse que, frise-se, já existia desde a ruptura do vínculo, em 01.11.1984. Em sendo assim, por certo que a presente reclamação trabalhista deveria ter sido ajuizada dentro do prazo de 2 (dois) anos seguinte à extinção do contrato de trabalho. Na hipótese, contudo, o ajuizamento deu-se apenas em 08.12.2016 e, portanto, mais de 30 (trinta) anos após a extinção do vínculo empregatício, encontrando-se, portanto, irremediavelmente prescrita a pretensão obreira. Nesse sentido, precedente deste Tribunal. Recurso de revista de que não se conhece.”  (</w:t>
      </w:r>
      <w:hyperlink r:id="rId16" w:history="1">
        <w:r w:rsidRPr="00423EA2">
          <w:rPr>
            <w:rStyle w:val="Hyperlink"/>
            <w:sz w:val="24"/>
            <w:szCs w:val="24"/>
          </w:rPr>
          <w:t>TST-RR-12879-21.2016.5.15.0039</w:t>
        </w:r>
      </w:hyperlink>
      <w:r w:rsidRPr="00423EA2">
        <w:rPr>
          <w:rFonts w:eastAsia="Calibri"/>
          <w:sz w:val="24"/>
          <w:szCs w:val="24"/>
        </w:rPr>
        <w:t>, 4ª Turma, rel. Min. Guilherme Augusto Caputo Bastos, julgado em 1º/9/2020.)</w:t>
      </w:r>
    </w:p>
    <w:p w14:paraId="3A08377C" w14:textId="77777777" w:rsidR="00BA53ED" w:rsidRPr="00B67041" w:rsidRDefault="00BA53ED" w:rsidP="00BA53ED">
      <w:pPr>
        <w:jc w:val="both"/>
        <w:outlineLvl w:val="0"/>
        <w:rPr>
          <w:rFonts w:eastAsia="Calibri"/>
        </w:rPr>
      </w:pPr>
    </w:p>
    <w:p w14:paraId="68456E3B" w14:textId="77777777" w:rsidR="00BA53ED" w:rsidRDefault="00BA53ED" w:rsidP="00BA53ED">
      <w:pPr>
        <w:jc w:val="both"/>
        <w:outlineLvl w:val="0"/>
        <w:rPr>
          <w:i/>
          <w:sz w:val="24"/>
          <w:szCs w:val="24"/>
        </w:rPr>
      </w:pPr>
      <w:r>
        <w:rPr>
          <w:i/>
          <w:sz w:val="24"/>
          <w:szCs w:val="24"/>
        </w:rPr>
        <w:t>“</w:t>
      </w:r>
      <w:r>
        <w:rPr>
          <w:sz w:val="24"/>
          <w:szCs w:val="24"/>
        </w:rPr>
        <w:t xml:space="preserve">[...] </w:t>
      </w:r>
      <w:r w:rsidRPr="009A2D05">
        <w:rPr>
          <w:sz w:val="24"/>
          <w:szCs w:val="24"/>
        </w:rPr>
        <w:t xml:space="preserve">RECURSO DE REVISTA. ACÓRDÃO PUBLICADO ACÓRDÃO PUBLICADO ANTES DA VIGÊNCIA DA LEI Nº 13.015/2014. TRCT. HOMOLOGAÇÃO COM ASSISTÊNCIA SINDICAL. EXPRESSO PEDIDO DE DEMISSÃO, SEM RESSALVA NO REFERIDO TERMO. AÇÃO TRABALHISTA PROPONDO A CONVERSÃO EM RESCISÃO INDIRETA, EM FACE DE VÍCIO DE CONSENTIMENTO ORIUNDO DE ABALO PSICOLÓGICO POR ASSÉDIO MORAL, QUANDO DO PEDIDO DE DEMISSÃO. A presente discussão diz respeito à homologação do TRCT com assistência sindical e seus efeitos quanto ao pedido de demissão e posterior ajuizamento de reclamação trabalhista pleiteado a rescisão indireta do contrato de trabalho, em face de vício de consentimento (abalo psicológico em face de assédio moral). Para melhor compreensão da controvérsia, convém que se proceda um breve relato da presente lide. A sentença, a despeito da homologação do TRCT no respectivo sindicato dos bancários com expresso registro de que a rescisão contratual ocorreu por pedido de demissão, sem qualquer ressalva nesse sentido, reconheceu a rescisão indireta do reclamante sob os seguintes fundamentos: </w:t>
      </w:r>
      <w:r w:rsidRPr="009A2D05">
        <w:rPr>
          <w:i/>
          <w:sz w:val="24"/>
          <w:szCs w:val="24"/>
        </w:rPr>
        <w:t xml:space="preserve">“Diante do </w:t>
      </w:r>
      <w:r w:rsidRPr="009A2D05">
        <w:rPr>
          <w:i/>
          <w:sz w:val="24"/>
          <w:szCs w:val="24"/>
        </w:rPr>
        <w:lastRenderedPageBreak/>
        <w:t xml:space="preserve">que foi levantado nos autos, a reclamante pediu demissão em decorrência do assédio moral que vindo sendo submetida. Ressalto que consta no laudo pericial e nos documentos juntados que: “no último atendimento, realizado pela CASSI, em 13.03.2009. a Dra. Solange Viegas </w:t>
      </w:r>
      <w:proofErr w:type="spellStart"/>
      <w:r w:rsidRPr="009A2D05">
        <w:rPr>
          <w:i/>
          <w:sz w:val="24"/>
          <w:szCs w:val="24"/>
        </w:rPr>
        <w:t>Fuscaidi</w:t>
      </w:r>
      <w:proofErr w:type="spellEnd"/>
      <w:r w:rsidRPr="009A2D05">
        <w:rPr>
          <w:i/>
          <w:sz w:val="24"/>
          <w:szCs w:val="24"/>
        </w:rPr>
        <w:t xml:space="preserve"> – Psicóloga – registrou que ‘a paciente refere melhora em estado emocional. Ainda teme retomar ao trabalho</w:t>
      </w:r>
      <w:r>
        <w:rPr>
          <w:i/>
          <w:sz w:val="24"/>
          <w:szCs w:val="24"/>
        </w:rPr>
        <w:t>’</w:t>
      </w:r>
      <w:r w:rsidRPr="009A2D05">
        <w:rPr>
          <w:i/>
          <w:sz w:val="24"/>
          <w:szCs w:val="24"/>
        </w:rPr>
        <w:t>, portanto, não estava apta para retornar ao trabalho. O que a levou a solicitar licença por interesse e em seguida demissão”.</w:t>
      </w:r>
      <w:r w:rsidRPr="009A2D05">
        <w:rPr>
          <w:sz w:val="24"/>
          <w:szCs w:val="24"/>
        </w:rPr>
        <w:t xml:space="preserve"> </w:t>
      </w:r>
      <w:r w:rsidRPr="009A2D05">
        <w:rPr>
          <w:i/>
          <w:sz w:val="24"/>
          <w:szCs w:val="24"/>
        </w:rPr>
        <w:t>O cenário dos autos noticia, portanto, o cometimento de falta grave por parte da reclamada. Dessa forma, reverto o “pedido de demissão” em despedida sem justa causa, com a condenação da reclamada ao pagamento de: (...)”</w:t>
      </w:r>
      <w:r w:rsidRPr="009A2D05">
        <w:rPr>
          <w:sz w:val="24"/>
          <w:szCs w:val="24"/>
        </w:rPr>
        <w:t xml:space="preserve"> (destacamos). O e. TRT deu provimento ao recurso ordinário da reclamada para, reformando a r. sentença, decidir que a extinção do contrato de emprego deu-se por iniciativa da reclamante, com o pedido de demissão, devendo serem excluídas da condenação todas as parcelas cujo pedido foi acolhido em função da denominada “rescisão indireta”, ao fundamento de que não houve ressalva no TRCT do reclamante no tocante ao pedido de demissão. Não examinado, portanto, diante dos efeitos da quitação da TRCT com assistência sindical, a ocorrência ou não de vício de consentimento quando do pedido de demissão e sua respectiva conversão em rescisão indireta do contrato de trabalho. Dito isso, nos termos da Súmula n.º 330 do TST, a quitação passada pelo empregado, com assistência de entidade sindical de sua categoria, com observância dos requisitos exigidos nos parágrafos do art. 477 da CLT, tem eficácia liberatória apenas em relação às parcelas expressamente consignadas no recibo, dentro do limite dos valores efetivamente pagos, salvo se oposta ressalva expressa e especificada ao valor dado às parcelas impugnadas. O artigo 477, § 2.º da CLT é assim dispõe: </w:t>
      </w:r>
      <w:r w:rsidRPr="009A2D05">
        <w:rPr>
          <w:i/>
          <w:sz w:val="24"/>
          <w:szCs w:val="24"/>
        </w:rPr>
        <w:t xml:space="preserve">“§ 2º - O instrumento de rescisão ou recibo de quitação, qualquer que seja a causa ou forma de dissolução do contrato, deve ter especificada a natureza de cada parcela paga ao empregado e discriminado o seu valor, sendo válida a quitação, apenas, relativamente às mesmas parcelas”. </w:t>
      </w:r>
      <w:r w:rsidRPr="009A2D05">
        <w:rPr>
          <w:sz w:val="24"/>
          <w:szCs w:val="24"/>
        </w:rPr>
        <w:t>(grifo nosso). Significa dizer que eventual eficácia liberatória do termo de quitação assinado pelo empregado, a teor da Súmula nº 330 do TST e do art. 447, § 2.º, da CLT, não impede eventual pleito de conversão do pedido de demissão em rescisão indireta do contrato de trabalho com apoio em vício de consentimento decorrente de assédio moral (abalo psicológico). Isso porque o artigo 477 da CLT e a Súmula n.º 330 do TST explicitam que eventual quitação é relativa a uma dada parcela paga ao empregado e não quitação acerca da discussão de eventual modalidade de rescisão do contrato de trabalho, não havendo, portanto, sequer a necessidade de opor ressalva nesse sentido no TRCT quanto essa discussão de conversão da modalidade de rescisão do contrato de trabalho. Recurso de revista conhecido e provido.”</w:t>
      </w:r>
      <w:r>
        <w:rPr>
          <w:i/>
          <w:sz w:val="24"/>
          <w:szCs w:val="24"/>
        </w:rPr>
        <w:t xml:space="preserve"> </w:t>
      </w:r>
      <w:r w:rsidRPr="00FD7D91">
        <w:rPr>
          <w:sz w:val="24"/>
          <w:szCs w:val="24"/>
        </w:rPr>
        <w:t>(</w:t>
      </w:r>
      <w:hyperlink r:id="rId17" w:history="1">
        <w:r w:rsidRPr="00FD7D91">
          <w:rPr>
            <w:rStyle w:val="Hyperlink"/>
            <w:sz w:val="24"/>
            <w:szCs w:val="24"/>
          </w:rPr>
          <w:t>TST-RR-1846-64.2012.5.08.0008</w:t>
        </w:r>
      </w:hyperlink>
      <w:r>
        <w:rPr>
          <w:sz w:val="24"/>
          <w:szCs w:val="24"/>
        </w:rPr>
        <w:t>,</w:t>
      </w:r>
      <w:r w:rsidRPr="00FD7D91">
        <w:rPr>
          <w:sz w:val="24"/>
          <w:szCs w:val="24"/>
        </w:rPr>
        <w:t xml:space="preserve"> </w:t>
      </w:r>
      <w:r>
        <w:rPr>
          <w:sz w:val="24"/>
          <w:szCs w:val="24"/>
        </w:rPr>
        <w:t>5</w:t>
      </w:r>
      <w:r w:rsidRPr="001A52B8">
        <w:rPr>
          <w:sz w:val="24"/>
          <w:szCs w:val="24"/>
        </w:rPr>
        <w:t xml:space="preserve">ª Turma, rel. Min. </w:t>
      </w:r>
      <w:r>
        <w:rPr>
          <w:sz w:val="24"/>
          <w:szCs w:val="24"/>
        </w:rPr>
        <w:t>Breno Medeiros</w:t>
      </w:r>
      <w:r w:rsidRPr="001A52B8">
        <w:rPr>
          <w:sz w:val="24"/>
          <w:szCs w:val="24"/>
        </w:rPr>
        <w:t xml:space="preserve">, julgado em </w:t>
      </w:r>
      <w:r>
        <w:rPr>
          <w:sz w:val="24"/>
          <w:szCs w:val="24"/>
        </w:rPr>
        <w:t>9/9/2020.</w:t>
      </w:r>
      <w:r w:rsidRPr="00FD7D91">
        <w:rPr>
          <w:sz w:val="24"/>
          <w:szCs w:val="24"/>
        </w:rPr>
        <w:t>)</w:t>
      </w:r>
    </w:p>
    <w:p w14:paraId="4AA2B3A3" w14:textId="77777777" w:rsidR="00654B75" w:rsidRDefault="00654B75" w:rsidP="00237380">
      <w:pPr>
        <w:jc w:val="both"/>
        <w:rPr>
          <w:i/>
          <w:sz w:val="24"/>
          <w:szCs w:val="24"/>
        </w:rPr>
      </w:pPr>
    </w:p>
    <w:p w14:paraId="5ED244C3" w14:textId="77777777" w:rsidR="00BA53ED" w:rsidRDefault="00BA53ED" w:rsidP="00237380">
      <w:pPr>
        <w:jc w:val="both"/>
        <w:rPr>
          <w:i/>
          <w:sz w:val="24"/>
          <w:szCs w:val="24"/>
        </w:rPr>
      </w:pPr>
    </w:p>
    <w:bookmarkEnd w:id="1"/>
    <w:bookmarkEnd w:id="2"/>
    <w:p w14:paraId="43A4D0CB" w14:textId="77777777" w:rsidR="00CA4AE6" w:rsidRPr="004B3120" w:rsidRDefault="00CA4AE6" w:rsidP="00C6738C">
      <w:pPr>
        <w:rPr>
          <w:sz w:val="10"/>
          <w:szCs w:val="10"/>
        </w:rPr>
      </w:pPr>
    </w:p>
    <w:p w14:paraId="24EAE16D" w14:textId="77777777" w:rsidR="00CA4AE6" w:rsidRPr="004B3120" w:rsidRDefault="00CA4AE6" w:rsidP="00C6738C">
      <w:pPr>
        <w:rPr>
          <w:sz w:val="10"/>
          <w:szCs w:val="10"/>
        </w:rPr>
      </w:pPr>
    </w:p>
    <w:p w14:paraId="61D6D8BB" w14:textId="77777777" w:rsidR="00CA4AE6" w:rsidRPr="004B3120" w:rsidRDefault="00CA4AE6" w:rsidP="00C6738C">
      <w:pPr>
        <w:rPr>
          <w:sz w:val="10"/>
          <w:szCs w:val="10"/>
        </w:rPr>
      </w:pPr>
    </w:p>
    <w:p w14:paraId="0A455860" w14:textId="77777777" w:rsidR="00E3622E" w:rsidRPr="004B3120" w:rsidRDefault="00E3622E" w:rsidP="00C6738C">
      <w:pPr>
        <w:rPr>
          <w:sz w:val="10"/>
          <w:szCs w:val="10"/>
        </w:rPr>
      </w:pPr>
    </w:p>
    <w:p w14:paraId="215C1792" w14:textId="77777777" w:rsidR="00184590" w:rsidRPr="004B3120" w:rsidRDefault="00503095"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Pr>
          <w:b w:val="0"/>
          <w:bCs w:val="0"/>
          <w:snapToGrid w:val="0"/>
          <w:sz w:val="25"/>
          <w:szCs w:val="25"/>
        </w:rPr>
        <w:t xml:space="preserve">O </w:t>
      </w:r>
      <w:r w:rsidR="00184590" w:rsidRPr="004B3120">
        <w:rPr>
          <w:b w:val="0"/>
          <w:bCs w:val="0"/>
          <w:snapToGrid w:val="0"/>
          <w:sz w:val="25"/>
          <w:szCs w:val="25"/>
        </w:rPr>
        <w:t xml:space="preserve">Informativo TST é mantido pela </w:t>
      </w:r>
    </w:p>
    <w:p w14:paraId="6500F475" w14:textId="77777777"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4B3120">
        <w:rPr>
          <w:b w:val="0"/>
          <w:bCs w:val="0"/>
          <w:snapToGrid w:val="0"/>
          <w:sz w:val="25"/>
          <w:szCs w:val="25"/>
        </w:rPr>
        <w:t>Coordenadoria de Jurisprudência – CJUR</w:t>
      </w:r>
      <w:r w:rsidR="00F83AC5">
        <w:rPr>
          <w:b w:val="0"/>
          <w:bCs w:val="0"/>
          <w:snapToGrid w:val="0"/>
          <w:sz w:val="25"/>
          <w:szCs w:val="25"/>
        </w:rPr>
        <w:t>.</w:t>
      </w:r>
    </w:p>
    <w:p w14:paraId="70AF2416" w14:textId="77777777"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0A085C4D" w14:textId="77777777" w:rsidR="007614F1" w:rsidRPr="004B312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Informações/Sugestões/Críticas: (61)3043</w:t>
      </w:r>
      <w:r w:rsidR="00352B27" w:rsidRPr="004B3120">
        <w:rPr>
          <w:snapToGrid w:val="0"/>
          <w:sz w:val="25"/>
          <w:szCs w:val="25"/>
        </w:rPr>
        <w:t>-</w:t>
      </w:r>
      <w:r w:rsidRPr="004B3120">
        <w:rPr>
          <w:snapToGrid w:val="0"/>
          <w:sz w:val="25"/>
          <w:szCs w:val="25"/>
        </w:rPr>
        <w:t>4</w:t>
      </w:r>
      <w:r w:rsidR="000303C3" w:rsidRPr="004B3120">
        <w:rPr>
          <w:snapToGrid w:val="0"/>
          <w:sz w:val="25"/>
          <w:szCs w:val="25"/>
        </w:rPr>
        <w:t>612</w:t>
      </w:r>
      <w:r w:rsidR="007F02D5" w:rsidRPr="004B3120">
        <w:rPr>
          <w:snapToGrid w:val="0"/>
          <w:sz w:val="25"/>
          <w:szCs w:val="25"/>
        </w:rPr>
        <w:t xml:space="preserve"> ou </w:t>
      </w:r>
      <w:hyperlink r:id="rId18" w:history="1">
        <w:r w:rsidR="005F0522" w:rsidRPr="004B3120">
          <w:rPr>
            <w:rStyle w:val="Hyperlink"/>
            <w:snapToGrid w:val="0"/>
            <w:sz w:val="25"/>
            <w:szCs w:val="25"/>
          </w:rPr>
          <w:t>cjur@tst.jus.br</w:t>
        </w:r>
      </w:hyperlink>
    </w:p>
    <w:p w14:paraId="7DC9B6A2" w14:textId="77777777"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3E705BB0" w14:textId="77777777" w:rsidR="00B15004"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acessar todas as edições: </w:t>
      </w:r>
      <w:hyperlink r:id="rId19" w:history="1">
        <w:r w:rsidR="00B15004" w:rsidRPr="004B3120">
          <w:rPr>
            <w:rStyle w:val="Hyperlink"/>
            <w:snapToGrid w:val="0"/>
            <w:sz w:val="25"/>
            <w:szCs w:val="25"/>
          </w:rPr>
          <w:t>http://www.tst.jus.br/web/guest/informativo-tst</w:t>
        </w:r>
      </w:hyperlink>
    </w:p>
    <w:p w14:paraId="777A4C12" w14:textId="77777777" w:rsidR="00B15004" w:rsidRPr="004B3120"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29C54647" w14:textId="77777777"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receber via </w:t>
      </w:r>
      <w:r w:rsidRPr="004B3120">
        <w:rPr>
          <w:i/>
          <w:snapToGrid w:val="0"/>
          <w:sz w:val="25"/>
          <w:szCs w:val="25"/>
        </w:rPr>
        <w:t>e-mail</w:t>
      </w:r>
      <w:r w:rsidRPr="004B3120">
        <w:rPr>
          <w:snapToGrid w:val="0"/>
          <w:sz w:val="25"/>
          <w:szCs w:val="25"/>
        </w:rPr>
        <w:t xml:space="preserve">: </w:t>
      </w:r>
      <w:hyperlink r:id="rId20" w:history="1">
        <w:r w:rsidRPr="004B3120">
          <w:rPr>
            <w:rStyle w:val="Hyperlink"/>
            <w:snapToGrid w:val="0"/>
            <w:sz w:val="25"/>
            <w:szCs w:val="25"/>
          </w:rPr>
          <w:t>http://www.tst.jus.br/push</w:t>
        </w:r>
      </w:hyperlink>
    </w:p>
    <w:p w14:paraId="1025CF76" w14:textId="77777777"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4B3120" w:rsidSect="00D11B24">
      <w:headerReference w:type="default" r:id="rId21"/>
      <w:footerReference w:type="default" r:id="rId22"/>
      <w:headerReference w:type="first" r:id="rId23"/>
      <w:footerReference w:type="first" r:id="rId24"/>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97FA3" w14:textId="77777777" w:rsidR="00E07340" w:rsidRDefault="00E07340">
      <w:r>
        <w:separator/>
      </w:r>
    </w:p>
  </w:endnote>
  <w:endnote w:type="continuationSeparator" w:id="0">
    <w:p w14:paraId="78447E58" w14:textId="77777777" w:rsidR="00E07340" w:rsidRDefault="00E0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687B3" w14:textId="77777777" w:rsidR="00597FF5" w:rsidRDefault="00597FF5">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72999">
      <w:rPr>
        <w:rStyle w:val="Nmerodepgina"/>
        <w:noProof/>
      </w:rPr>
      <w:t>4</w:t>
    </w:r>
    <w:r>
      <w:rPr>
        <w:rStyle w:val="Nmerodepgina"/>
      </w:rPr>
      <w:fldChar w:fldCharType="end"/>
    </w:r>
  </w:p>
  <w:p w14:paraId="102095DA" w14:textId="77777777" w:rsidR="00597FF5" w:rsidRDefault="00597FF5">
    <w:pPr>
      <w:pStyle w:val="Rodap"/>
      <w:ind w:right="360"/>
    </w:pPr>
    <w:r>
      <w:rPr>
        <w:noProof/>
      </w:rPr>
      <mc:AlternateContent>
        <mc:Choice Requires="wps">
          <w:drawing>
            <wp:anchor distT="0" distB="0" distL="114300" distR="114300" simplePos="0" relativeHeight="251658240" behindDoc="0" locked="0" layoutInCell="0" allowOverlap="1" wp14:anchorId="20FA49B8" wp14:editId="3CEAD5CF">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1CEB7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369E2" w14:textId="77777777" w:rsidR="00597FF5" w:rsidRDefault="00597FF5">
    <w:pPr>
      <w:pStyle w:val="Rodap"/>
      <w:jc w:val="right"/>
    </w:pPr>
    <w:r>
      <w:rPr>
        <w:noProof/>
      </w:rPr>
      <mc:AlternateContent>
        <mc:Choice Requires="wps">
          <w:drawing>
            <wp:anchor distT="0" distB="0" distL="114300" distR="114300" simplePos="0" relativeHeight="251659264" behindDoc="0" locked="0" layoutInCell="0" allowOverlap="1" wp14:anchorId="4BB2FED2" wp14:editId="2CE698E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65BA77"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972999">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31F36" w14:textId="77777777" w:rsidR="00E07340" w:rsidRDefault="00E07340">
      <w:r>
        <w:separator/>
      </w:r>
    </w:p>
  </w:footnote>
  <w:footnote w:type="continuationSeparator" w:id="0">
    <w:p w14:paraId="227401F2" w14:textId="77777777" w:rsidR="00E07340" w:rsidRDefault="00E07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864E" w14:textId="77777777" w:rsidR="00597FF5" w:rsidRPr="008420B2" w:rsidRDefault="00597FF5">
    <w:pPr>
      <w:pStyle w:val="Corpodetexto"/>
      <w:jc w:val="right"/>
      <w:rPr>
        <w:sz w:val="24"/>
        <w:szCs w:val="24"/>
        <w14:shadow w14:blurRad="50800" w14:dist="38100" w14:dir="2700000" w14:sx="100000" w14:sy="100000" w14:kx="0" w14:ky="0" w14:algn="tl">
          <w14:srgbClr w14:val="000000">
            <w14:alpha w14:val="60000"/>
          </w14:srgbClr>
        </w14:shadow>
      </w:rPr>
    </w:pPr>
    <w:r w:rsidRPr="00BF2ED4">
      <w:rPr>
        <w:color w:val="006699"/>
      </w:rPr>
      <w:t>Informativo</w:t>
    </w:r>
    <w:r w:rsidR="00BA53ED">
      <w:rPr>
        <w:color w:val="006699"/>
      </w:rPr>
      <w:t xml:space="preserve"> TST – nº 224</w:t>
    </w:r>
  </w:p>
  <w:p w14:paraId="7043383F" w14:textId="462A3E16" w:rsidR="00597FF5" w:rsidRPr="006717E0" w:rsidRDefault="00597FF5" w:rsidP="00787495">
    <w:pPr>
      <w:pStyle w:val="Cabealho"/>
      <w:jc w:val="right"/>
      <w:rPr>
        <w:i/>
        <w:iCs/>
        <w:color w:val="005DA2"/>
      </w:rPr>
    </w:pPr>
    <w:r>
      <w:rPr>
        <w:noProof/>
      </w:rPr>
      <mc:AlternateContent>
        <mc:Choice Requires="wps">
          <w:drawing>
            <wp:anchor distT="0" distB="0" distL="114300" distR="114300" simplePos="0" relativeHeight="251657216" behindDoc="0" locked="0" layoutInCell="0" allowOverlap="1" wp14:anchorId="387A78DF" wp14:editId="4D7BC9D2">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97599C"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" o:allowincell="f" strokecolor="#969696"/>
          </w:pict>
        </mc:Fallback>
      </mc:AlternateContent>
    </w:r>
    <w:r w:rsidRPr="003C0554">
      <w:rPr>
        <w:iCs/>
      </w:rPr>
      <w:t xml:space="preserve"> </w:t>
    </w:r>
    <w:r w:rsidRPr="006717E0">
      <w:rPr>
        <w:i/>
        <w:iCs/>
        <w:color w:val="005DA2"/>
      </w:rPr>
      <w:t xml:space="preserve">Período: </w:t>
    </w:r>
    <w:r w:rsidR="00BA53ED">
      <w:rPr>
        <w:i/>
        <w:iCs/>
        <w:color w:val="005DA2"/>
      </w:rPr>
      <w:t>1</w:t>
    </w:r>
    <w:r w:rsidR="00175A59">
      <w:rPr>
        <w:i/>
        <w:iCs/>
        <w:color w:val="005DA2"/>
      </w:rPr>
      <w:t>º</w:t>
    </w:r>
    <w:r w:rsidR="00BA53ED">
      <w:rPr>
        <w:i/>
        <w:iCs/>
        <w:color w:val="005DA2"/>
      </w:rPr>
      <w:t xml:space="preserve"> a 11 de setembro</w:t>
    </w:r>
    <w:r>
      <w:rPr>
        <w:i/>
        <w:iCs/>
        <w:color w:val="005DA2"/>
      </w:rPr>
      <w:t xml:space="preserve"> de 2020</w:t>
    </w:r>
  </w:p>
  <w:p w14:paraId="5DD1C7E4" w14:textId="77777777" w:rsidR="00597FF5" w:rsidRPr="006717E0" w:rsidRDefault="00597FF5" w:rsidP="00654B75">
    <w:pPr>
      <w:pStyle w:val="Cabealho"/>
      <w:jc w:val="right"/>
      <w:rPr>
        <w:i/>
        <w:iCs/>
        <w:color w:val="005DA2"/>
      </w:rPr>
    </w:pPr>
  </w:p>
  <w:p w14:paraId="53EE4B2C" w14:textId="77777777" w:rsidR="00597FF5" w:rsidRPr="005D1DE4" w:rsidRDefault="00597FF5"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605D2" w14:textId="77777777" w:rsidR="00597FF5" w:rsidRDefault="00597FF5">
    <w:pPr>
      <w:pStyle w:val="Cabealho"/>
    </w:pPr>
    <w:r>
      <w:rPr>
        <w:noProof/>
      </w:rPr>
      <w:drawing>
        <wp:inline distT="0" distB="0" distL="0" distR="0" wp14:anchorId="1819485C" wp14:editId="1CF9A2F4">
          <wp:extent cx="2383790" cy="571500"/>
          <wp:effectExtent l="0" t="0" r="0" b="0"/>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1500"/>
                  </a:xfrm>
                  <a:prstGeom prst="rect">
                    <a:avLst/>
                  </a:prstGeom>
                  <a:noFill/>
                  <a:ln>
                    <a:noFill/>
                  </a:ln>
                </pic:spPr>
              </pic:pic>
            </a:graphicData>
          </a:graphic>
        </wp:inline>
      </w:drawing>
    </w:r>
  </w:p>
  <w:p w14:paraId="511A06E1" w14:textId="77777777" w:rsidR="00597FF5" w:rsidRDefault="00597FF5">
    <w:pPr>
      <w:pStyle w:val="Cabealho"/>
    </w:pPr>
    <w:r>
      <w:rPr>
        <w:rFonts w:ascii="Bebas Neue Regular" w:hAnsi="Bebas Neue Regular"/>
        <w:noProof/>
        <w:color w:val="006699"/>
        <w:sz w:val="30"/>
      </w:rPr>
      <w:drawing>
        <wp:inline distT="0" distB="0" distL="0" distR="0" wp14:anchorId="2FED2097" wp14:editId="3708124E">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14:paraId="6E86CB6A" w14:textId="77777777" w:rsidR="00597FF5" w:rsidRDefault="00597FF5">
    <w:pPr>
      <w:pStyle w:val="Cabealho"/>
    </w:pPr>
  </w:p>
  <w:p w14:paraId="44368E01" w14:textId="77777777" w:rsidR="00597FF5" w:rsidRPr="006717E0" w:rsidRDefault="00597FF5" w:rsidP="00075BDB">
    <w:pPr>
      <w:pStyle w:val="Cabealho"/>
      <w:tabs>
        <w:tab w:val="clear" w:pos="4419"/>
        <w:tab w:val="clear" w:pos="8838"/>
        <w:tab w:val="left" w:pos="2793"/>
      </w:tabs>
      <w:jc w:val="right"/>
      <w:rPr>
        <w:b/>
        <w:color w:val="005DA2"/>
        <w:sz w:val="40"/>
        <w:szCs w:val="40"/>
      </w:rPr>
    </w:pPr>
    <w:r>
      <w:tab/>
    </w:r>
    <w:r>
      <w:tab/>
    </w:r>
    <w:r>
      <w:tab/>
    </w:r>
    <w:r>
      <w:tab/>
    </w:r>
    <w:r>
      <w:tab/>
    </w:r>
    <w:r>
      <w:tab/>
    </w:r>
    <w:r w:rsidRPr="006717E0">
      <w:rPr>
        <w:b/>
        <w:color w:val="005DA2"/>
        <w:sz w:val="40"/>
        <w:szCs w:val="40"/>
      </w:rPr>
      <w:t>Nº 2</w:t>
    </w:r>
    <w:r w:rsidR="00BA53ED">
      <w:rPr>
        <w:b/>
        <w:color w:val="005DA2"/>
        <w:sz w:val="40"/>
        <w:szCs w:val="40"/>
      </w:rPr>
      <w:t>24</w:t>
    </w:r>
  </w:p>
  <w:p w14:paraId="7BF296CC" w14:textId="77777777" w:rsidR="00597FF5" w:rsidRPr="006717E0" w:rsidRDefault="00597FF5">
    <w:pPr>
      <w:pStyle w:val="Cabealho"/>
      <w:jc w:val="right"/>
      <w:rPr>
        <w:i/>
        <w:iCs/>
        <w:color w:val="005DA2"/>
        <w:sz w:val="10"/>
        <w:szCs w:val="10"/>
      </w:rPr>
    </w:pPr>
  </w:p>
  <w:p w14:paraId="24901988" w14:textId="34FC17CF" w:rsidR="00597FF5" w:rsidRPr="006717E0" w:rsidRDefault="00597FF5" w:rsidP="009A16E8">
    <w:pPr>
      <w:pStyle w:val="Cabealho"/>
      <w:jc w:val="right"/>
      <w:rPr>
        <w:i/>
        <w:iCs/>
        <w:color w:val="005DA2"/>
      </w:rPr>
    </w:pPr>
    <w:r w:rsidRPr="006717E0">
      <w:rPr>
        <w:i/>
        <w:iCs/>
        <w:color w:val="005DA2"/>
      </w:rPr>
      <w:t xml:space="preserve">Período: </w:t>
    </w:r>
    <w:r w:rsidR="00BA53ED">
      <w:rPr>
        <w:i/>
        <w:iCs/>
        <w:color w:val="005DA2"/>
      </w:rPr>
      <w:t>1</w:t>
    </w:r>
    <w:r w:rsidR="00175A59">
      <w:rPr>
        <w:i/>
        <w:iCs/>
        <w:color w:val="005DA2"/>
      </w:rPr>
      <w:t>º</w:t>
    </w:r>
    <w:r w:rsidR="00BA53ED">
      <w:rPr>
        <w:i/>
        <w:iCs/>
        <w:color w:val="005DA2"/>
      </w:rPr>
      <w:t xml:space="preserve"> a 11 de setembro</w:t>
    </w:r>
    <w:r>
      <w:rPr>
        <w:i/>
        <w:iCs/>
        <w:color w:val="005DA2"/>
      </w:rPr>
      <w:t xml:space="preserve"> de 2020</w:t>
    </w:r>
  </w:p>
  <w:p w14:paraId="47302EFA" w14:textId="77777777" w:rsidR="00597FF5" w:rsidRDefault="00597FF5"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257E"/>
    <w:rsid w:val="00004C36"/>
    <w:rsid w:val="00004EF8"/>
    <w:rsid w:val="000132A3"/>
    <w:rsid w:val="0001790D"/>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0F260C"/>
    <w:rsid w:val="00106A93"/>
    <w:rsid w:val="001144F9"/>
    <w:rsid w:val="0011575C"/>
    <w:rsid w:val="0011692E"/>
    <w:rsid w:val="00122C2A"/>
    <w:rsid w:val="001257D7"/>
    <w:rsid w:val="001365EE"/>
    <w:rsid w:val="00136E86"/>
    <w:rsid w:val="00137564"/>
    <w:rsid w:val="00137DC1"/>
    <w:rsid w:val="00141630"/>
    <w:rsid w:val="00142C28"/>
    <w:rsid w:val="001444DA"/>
    <w:rsid w:val="00152238"/>
    <w:rsid w:val="0015612D"/>
    <w:rsid w:val="00161CDE"/>
    <w:rsid w:val="00161E91"/>
    <w:rsid w:val="00163142"/>
    <w:rsid w:val="001648F5"/>
    <w:rsid w:val="00167E80"/>
    <w:rsid w:val="00175A59"/>
    <w:rsid w:val="00176D15"/>
    <w:rsid w:val="0018296E"/>
    <w:rsid w:val="00183803"/>
    <w:rsid w:val="00184590"/>
    <w:rsid w:val="0018640B"/>
    <w:rsid w:val="00187A37"/>
    <w:rsid w:val="00187BEF"/>
    <w:rsid w:val="0019151D"/>
    <w:rsid w:val="001920CD"/>
    <w:rsid w:val="00192C9D"/>
    <w:rsid w:val="00193208"/>
    <w:rsid w:val="001932B7"/>
    <w:rsid w:val="00194264"/>
    <w:rsid w:val="00197B15"/>
    <w:rsid w:val="001B025A"/>
    <w:rsid w:val="001B2C08"/>
    <w:rsid w:val="001C04D2"/>
    <w:rsid w:val="001C21FB"/>
    <w:rsid w:val="001C271F"/>
    <w:rsid w:val="001C3281"/>
    <w:rsid w:val="001C5885"/>
    <w:rsid w:val="001C6C93"/>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D1D"/>
    <w:rsid w:val="002156DC"/>
    <w:rsid w:val="002168DE"/>
    <w:rsid w:val="00220B10"/>
    <w:rsid w:val="00222CF6"/>
    <w:rsid w:val="00223F6E"/>
    <w:rsid w:val="00224AC2"/>
    <w:rsid w:val="00227004"/>
    <w:rsid w:val="00230183"/>
    <w:rsid w:val="0023559D"/>
    <w:rsid w:val="00237380"/>
    <w:rsid w:val="002402B0"/>
    <w:rsid w:val="00242069"/>
    <w:rsid w:val="002449F9"/>
    <w:rsid w:val="00255732"/>
    <w:rsid w:val="00257B4A"/>
    <w:rsid w:val="00260B37"/>
    <w:rsid w:val="002635ED"/>
    <w:rsid w:val="002662BA"/>
    <w:rsid w:val="00266A22"/>
    <w:rsid w:val="00266D49"/>
    <w:rsid w:val="00271C5C"/>
    <w:rsid w:val="00271E67"/>
    <w:rsid w:val="002730B5"/>
    <w:rsid w:val="00276468"/>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521A"/>
    <w:rsid w:val="002A546D"/>
    <w:rsid w:val="002B0750"/>
    <w:rsid w:val="002B4738"/>
    <w:rsid w:val="002B6377"/>
    <w:rsid w:val="002C2904"/>
    <w:rsid w:val="002C6261"/>
    <w:rsid w:val="002E38FB"/>
    <w:rsid w:val="002E3B9F"/>
    <w:rsid w:val="002E78CB"/>
    <w:rsid w:val="002F28E5"/>
    <w:rsid w:val="002F71BF"/>
    <w:rsid w:val="003070C9"/>
    <w:rsid w:val="003074FC"/>
    <w:rsid w:val="0031207D"/>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5CBE"/>
    <w:rsid w:val="00396053"/>
    <w:rsid w:val="003971B2"/>
    <w:rsid w:val="003A0E52"/>
    <w:rsid w:val="003A1335"/>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E3694"/>
    <w:rsid w:val="003F2078"/>
    <w:rsid w:val="003F5EA7"/>
    <w:rsid w:val="004034A8"/>
    <w:rsid w:val="0040506F"/>
    <w:rsid w:val="0041011C"/>
    <w:rsid w:val="0041353C"/>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2851"/>
    <w:rsid w:val="004731B7"/>
    <w:rsid w:val="0047749E"/>
    <w:rsid w:val="00486521"/>
    <w:rsid w:val="00486DFC"/>
    <w:rsid w:val="00490C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62C6"/>
    <w:rsid w:val="004C749C"/>
    <w:rsid w:val="004C759F"/>
    <w:rsid w:val="004D6000"/>
    <w:rsid w:val="004D60CD"/>
    <w:rsid w:val="004D6415"/>
    <w:rsid w:val="004D697F"/>
    <w:rsid w:val="004D71E8"/>
    <w:rsid w:val="004E393E"/>
    <w:rsid w:val="004E39DA"/>
    <w:rsid w:val="004E4507"/>
    <w:rsid w:val="004E4619"/>
    <w:rsid w:val="004F0A7D"/>
    <w:rsid w:val="004F5040"/>
    <w:rsid w:val="00503095"/>
    <w:rsid w:val="005059F5"/>
    <w:rsid w:val="00513789"/>
    <w:rsid w:val="0051538E"/>
    <w:rsid w:val="00517E01"/>
    <w:rsid w:val="005208C8"/>
    <w:rsid w:val="00521EEC"/>
    <w:rsid w:val="00530B90"/>
    <w:rsid w:val="00530FA0"/>
    <w:rsid w:val="00536EDA"/>
    <w:rsid w:val="005405E7"/>
    <w:rsid w:val="00543122"/>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8D7"/>
    <w:rsid w:val="00584F82"/>
    <w:rsid w:val="00591DFA"/>
    <w:rsid w:val="00597FF5"/>
    <w:rsid w:val="005A30AA"/>
    <w:rsid w:val="005A4ED6"/>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4B75"/>
    <w:rsid w:val="006564EC"/>
    <w:rsid w:val="0066084C"/>
    <w:rsid w:val="00661B23"/>
    <w:rsid w:val="006628FD"/>
    <w:rsid w:val="00665956"/>
    <w:rsid w:val="00665CCF"/>
    <w:rsid w:val="006717E0"/>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F66"/>
    <w:rsid w:val="006D306E"/>
    <w:rsid w:val="006D4497"/>
    <w:rsid w:val="006D7C49"/>
    <w:rsid w:val="006E1A9C"/>
    <w:rsid w:val="006E3B5C"/>
    <w:rsid w:val="006E5D21"/>
    <w:rsid w:val="006F1AAE"/>
    <w:rsid w:val="006F62EB"/>
    <w:rsid w:val="006F6C15"/>
    <w:rsid w:val="00700B1B"/>
    <w:rsid w:val="007023BC"/>
    <w:rsid w:val="007029CF"/>
    <w:rsid w:val="00707022"/>
    <w:rsid w:val="0070727E"/>
    <w:rsid w:val="007101D6"/>
    <w:rsid w:val="00710D3A"/>
    <w:rsid w:val="0071315F"/>
    <w:rsid w:val="007159C7"/>
    <w:rsid w:val="00720057"/>
    <w:rsid w:val="00721942"/>
    <w:rsid w:val="00722BE7"/>
    <w:rsid w:val="00723134"/>
    <w:rsid w:val="00730CC7"/>
    <w:rsid w:val="00732DF2"/>
    <w:rsid w:val="0073442D"/>
    <w:rsid w:val="00735B8F"/>
    <w:rsid w:val="007403B3"/>
    <w:rsid w:val="00750B85"/>
    <w:rsid w:val="00752730"/>
    <w:rsid w:val="007568FD"/>
    <w:rsid w:val="00760CAB"/>
    <w:rsid w:val="007614F1"/>
    <w:rsid w:val="007618C5"/>
    <w:rsid w:val="00764066"/>
    <w:rsid w:val="00764D55"/>
    <w:rsid w:val="00766B7B"/>
    <w:rsid w:val="0077600F"/>
    <w:rsid w:val="007760AE"/>
    <w:rsid w:val="00776118"/>
    <w:rsid w:val="00781C77"/>
    <w:rsid w:val="00787495"/>
    <w:rsid w:val="00790F13"/>
    <w:rsid w:val="00793A1C"/>
    <w:rsid w:val="00796745"/>
    <w:rsid w:val="007A28FF"/>
    <w:rsid w:val="007A4009"/>
    <w:rsid w:val="007A4F78"/>
    <w:rsid w:val="007A52F4"/>
    <w:rsid w:val="007A6AF4"/>
    <w:rsid w:val="007A7125"/>
    <w:rsid w:val="007B0F83"/>
    <w:rsid w:val="007B5D65"/>
    <w:rsid w:val="007C0A4F"/>
    <w:rsid w:val="007D0081"/>
    <w:rsid w:val="007D19FC"/>
    <w:rsid w:val="007D29A1"/>
    <w:rsid w:val="007D2B4E"/>
    <w:rsid w:val="007D2DB0"/>
    <w:rsid w:val="007D2EE9"/>
    <w:rsid w:val="007D469A"/>
    <w:rsid w:val="007D61D0"/>
    <w:rsid w:val="007D6D94"/>
    <w:rsid w:val="007D6F8C"/>
    <w:rsid w:val="007E069C"/>
    <w:rsid w:val="007E094E"/>
    <w:rsid w:val="007E0EA7"/>
    <w:rsid w:val="007E26A1"/>
    <w:rsid w:val="007E37B1"/>
    <w:rsid w:val="007E3F23"/>
    <w:rsid w:val="007E53A4"/>
    <w:rsid w:val="007F02D5"/>
    <w:rsid w:val="007F142E"/>
    <w:rsid w:val="007F289C"/>
    <w:rsid w:val="007F2BBE"/>
    <w:rsid w:val="007F3CEB"/>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36AC2"/>
    <w:rsid w:val="008409D3"/>
    <w:rsid w:val="008420B2"/>
    <w:rsid w:val="0084319F"/>
    <w:rsid w:val="00843F5F"/>
    <w:rsid w:val="00844374"/>
    <w:rsid w:val="00844FEB"/>
    <w:rsid w:val="00845559"/>
    <w:rsid w:val="0084797B"/>
    <w:rsid w:val="00852ABC"/>
    <w:rsid w:val="008532E4"/>
    <w:rsid w:val="00854DB8"/>
    <w:rsid w:val="00854EF2"/>
    <w:rsid w:val="00855623"/>
    <w:rsid w:val="00855D99"/>
    <w:rsid w:val="0086211B"/>
    <w:rsid w:val="008622CF"/>
    <w:rsid w:val="008627C6"/>
    <w:rsid w:val="00863B86"/>
    <w:rsid w:val="008652A2"/>
    <w:rsid w:val="008706CD"/>
    <w:rsid w:val="00871F69"/>
    <w:rsid w:val="008722F9"/>
    <w:rsid w:val="00876ACE"/>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E5117"/>
    <w:rsid w:val="008E7D58"/>
    <w:rsid w:val="008F26CB"/>
    <w:rsid w:val="008F36EC"/>
    <w:rsid w:val="008F3D95"/>
    <w:rsid w:val="008F6509"/>
    <w:rsid w:val="008F65B6"/>
    <w:rsid w:val="008F79D9"/>
    <w:rsid w:val="008F7FD6"/>
    <w:rsid w:val="009027C8"/>
    <w:rsid w:val="00903DDE"/>
    <w:rsid w:val="00910EEF"/>
    <w:rsid w:val="00920B0C"/>
    <w:rsid w:val="00922D1B"/>
    <w:rsid w:val="00930461"/>
    <w:rsid w:val="0093467A"/>
    <w:rsid w:val="009353F1"/>
    <w:rsid w:val="009376D6"/>
    <w:rsid w:val="0094155C"/>
    <w:rsid w:val="00950141"/>
    <w:rsid w:val="00951531"/>
    <w:rsid w:val="00953B29"/>
    <w:rsid w:val="00954442"/>
    <w:rsid w:val="0095741E"/>
    <w:rsid w:val="009609CB"/>
    <w:rsid w:val="00960A3B"/>
    <w:rsid w:val="0096375C"/>
    <w:rsid w:val="00963D6F"/>
    <w:rsid w:val="00967DE0"/>
    <w:rsid w:val="00971E07"/>
    <w:rsid w:val="00971E5F"/>
    <w:rsid w:val="00971F6D"/>
    <w:rsid w:val="00972999"/>
    <w:rsid w:val="00975935"/>
    <w:rsid w:val="009802D2"/>
    <w:rsid w:val="00980944"/>
    <w:rsid w:val="009815A9"/>
    <w:rsid w:val="00986D77"/>
    <w:rsid w:val="00993A6E"/>
    <w:rsid w:val="009943EC"/>
    <w:rsid w:val="009A16E8"/>
    <w:rsid w:val="009A1BAD"/>
    <w:rsid w:val="009A32D5"/>
    <w:rsid w:val="009A541D"/>
    <w:rsid w:val="009A5D37"/>
    <w:rsid w:val="009A610E"/>
    <w:rsid w:val="009A6BD9"/>
    <w:rsid w:val="009A76A2"/>
    <w:rsid w:val="009B289E"/>
    <w:rsid w:val="009B320F"/>
    <w:rsid w:val="009B41F7"/>
    <w:rsid w:val="009B479C"/>
    <w:rsid w:val="009B6012"/>
    <w:rsid w:val="009B6455"/>
    <w:rsid w:val="009C0EBA"/>
    <w:rsid w:val="009C102D"/>
    <w:rsid w:val="009C2A4F"/>
    <w:rsid w:val="009C4834"/>
    <w:rsid w:val="009D10FB"/>
    <w:rsid w:val="009D1BDE"/>
    <w:rsid w:val="009D232F"/>
    <w:rsid w:val="009D2FB1"/>
    <w:rsid w:val="009D312C"/>
    <w:rsid w:val="009D4C59"/>
    <w:rsid w:val="009D7F91"/>
    <w:rsid w:val="009E20EF"/>
    <w:rsid w:val="009E26EE"/>
    <w:rsid w:val="009E534D"/>
    <w:rsid w:val="009E6646"/>
    <w:rsid w:val="009F1C7B"/>
    <w:rsid w:val="009F21A2"/>
    <w:rsid w:val="00A00D70"/>
    <w:rsid w:val="00A00DEE"/>
    <w:rsid w:val="00A01E4F"/>
    <w:rsid w:val="00A02580"/>
    <w:rsid w:val="00A0468E"/>
    <w:rsid w:val="00A201D9"/>
    <w:rsid w:val="00A2069C"/>
    <w:rsid w:val="00A25E0B"/>
    <w:rsid w:val="00A27889"/>
    <w:rsid w:val="00A32D95"/>
    <w:rsid w:val="00A32FBF"/>
    <w:rsid w:val="00A3307E"/>
    <w:rsid w:val="00A407EA"/>
    <w:rsid w:val="00A40D9C"/>
    <w:rsid w:val="00A51749"/>
    <w:rsid w:val="00A521B6"/>
    <w:rsid w:val="00A56962"/>
    <w:rsid w:val="00A62DD3"/>
    <w:rsid w:val="00A6382F"/>
    <w:rsid w:val="00A63855"/>
    <w:rsid w:val="00A6412C"/>
    <w:rsid w:val="00A72FAF"/>
    <w:rsid w:val="00A75419"/>
    <w:rsid w:val="00A76661"/>
    <w:rsid w:val="00A76D2A"/>
    <w:rsid w:val="00A81F5B"/>
    <w:rsid w:val="00A82081"/>
    <w:rsid w:val="00A8557E"/>
    <w:rsid w:val="00A87756"/>
    <w:rsid w:val="00A90010"/>
    <w:rsid w:val="00A903E4"/>
    <w:rsid w:val="00A91181"/>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E7EEE"/>
    <w:rsid w:val="00AF7202"/>
    <w:rsid w:val="00AF77DF"/>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974FB"/>
    <w:rsid w:val="00BA4636"/>
    <w:rsid w:val="00BA53ED"/>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E4124"/>
    <w:rsid w:val="00BE555C"/>
    <w:rsid w:val="00BF0693"/>
    <w:rsid w:val="00BF6308"/>
    <w:rsid w:val="00C028BC"/>
    <w:rsid w:val="00C070DE"/>
    <w:rsid w:val="00C071F9"/>
    <w:rsid w:val="00C07598"/>
    <w:rsid w:val="00C15175"/>
    <w:rsid w:val="00C15EC0"/>
    <w:rsid w:val="00C1742B"/>
    <w:rsid w:val="00C216BD"/>
    <w:rsid w:val="00C230F3"/>
    <w:rsid w:val="00C232C2"/>
    <w:rsid w:val="00C239E0"/>
    <w:rsid w:val="00C26DFB"/>
    <w:rsid w:val="00C273FA"/>
    <w:rsid w:val="00C30D06"/>
    <w:rsid w:val="00C37916"/>
    <w:rsid w:val="00C42067"/>
    <w:rsid w:val="00C432D0"/>
    <w:rsid w:val="00C4398E"/>
    <w:rsid w:val="00C44218"/>
    <w:rsid w:val="00C4666E"/>
    <w:rsid w:val="00C51600"/>
    <w:rsid w:val="00C54185"/>
    <w:rsid w:val="00C57E92"/>
    <w:rsid w:val="00C60B4A"/>
    <w:rsid w:val="00C61DAD"/>
    <w:rsid w:val="00C64A29"/>
    <w:rsid w:val="00C65BDB"/>
    <w:rsid w:val="00C66C95"/>
    <w:rsid w:val="00C6738C"/>
    <w:rsid w:val="00C71A3B"/>
    <w:rsid w:val="00C728A7"/>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0A9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3BE8"/>
    <w:rsid w:val="00D9627B"/>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07340"/>
    <w:rsid w:val="00E100F5"/>
    <w:rsid w:val="00E1139A"/>
    <w:rsid w:val="00E126EB"/>
    <w:rsid w:val="00E1539C"/>
    <w:rsid w:val="00E162B6"/>
    <w:rsid w:val="00E16E01"/>
    <w:rsid w:val="00E20FC8"/>
    <w:rsid w:val="00E220DD"/>
    <w:rsid w:val="00E24A50"/>
    <w:rsid w:val="00E25A69"/>
    <w:rsid w:val="00E31469"/>
    <w:rsid w:val="00E3296A"/>
    <w:rsid w:val="00E35639"/>
    <w:rsid w:val="00E361AB"/>
    <w:rsid w:val="00E3622E"/>
    <w:rsid w:val="00E402E1"/>
    <w:rsid w:val="00E4188A"/>
    <w:rsid w:val="00E420AA"/>
    <w:rsid w:val="00E428CA"/>
    <w:rsid w:val="00E42D22"/>
    <w:rsid w:val="00E432CC"/>
    <w:rsid w:val="00E47FF2"/>
    <w:rsid w:val="00E50711"/>
    <w:rsid w:val="00E52522"/>
    <w:rsid w:val="00E531C9"/>
    <w:rsid w:val="00E60AD3"/>
    <w:rsid w:val="00E60EDA"/>
    <w:rsid w:val="00E62BBC"/>
    <w:rsid w:val="00E67BAE"/>
    <w:rsid w:val="00E711AE"/>
    <w:rsid w:val="00E716F3"/>
    <w:rsid w:val="00E76789"/>
    <w:rsid w:val="00E774F6"/>
    <w:rsid w:val="00E931FF"/>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EDC"/>
    <w:rsid w:val="00EC5AF4"/>
    <w:rsid w:val="00EC6FA8"/>
    <w:rsid w:val="00EC7E0B"/>
    <w:rsid w:val="00ED2A67"/>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3254"/>
    <w:rsid w:val="00F26708"/>
    <w:rsid w:val="00F30FF2"/>
    <w:rsid w:val="00F32CEC"/>
    <w:rsid w:val="00F3463D"/>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5243"/>
    <w:rsid w:val="00F6746D"/>
    <w:rsid w:val="00F675D5"/>
    <w:rsid w:val="00F74361"/>
    <w:rsid w:val="00F753D1"/>
    <w:rsid w:val="00F7766D"/>
    <w:rsid w:val="00F777B1"/>
    <w:rsid w:val="00F811CD"/>
    <w:rsid w:val="00F82D8F"/>
    <w:rsid w:val="00F83AC5"/>
    <w:rsid w:val="00F83F62"/>
    <w:rsid w:val="00F907EB"/>
    <w:rsid w:val="00F9711D"/>
    <w:rsid w:val="00FA011F"/>
    <w:rsid w:val="00FA1DCF"/>
    <w:rsid w:val="00FA3E3A"/>
    <w:rsid w:val="00FA7544"/>
    <w:rsid w:val="00FA75E0"/>
    <w:rsid w:val="00FA7771"/>
    <w:rsid w:val="00FB0AFB"/>
    <w:rsid w:val="00FB0C06"/>
    <w:rsid w:val="00FB0DC9"/>
    <w:rsid w:val="00FB20B1"/>
    <w:rsid w:val="00FB27AA"/>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91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94636870">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resumoForm.do?consulta=1&amp;numeroInt=128977&amp;anoInt=2019&amp;qtdAcesso=11002829" TargetMode="External"/><Relationship Id="rId18" Type="http://schemas.openxmlformats.org/officeDocument/2006/relationships/hyperlink" Target="mailto:cjur@tst.jus.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215500&amp;digitoTst=31&amp;anoTst=2008&amp;orgaoTst=5&amp;tribunalTst=02&amp;varaTst=0465" TargetMode="External"/><Relationship Id="rId17" Type="http://schemas.openxmlformats.org/officeDocument/2006/relationships/hyperlink" Target="http://aplicacao4.tst.jus.br/consultaProcessual/consultaTstNumUnica.do?consulta=Consultar&amp;conscsjt=&amp;numeroTst=1846&amp;digitoTst=64&amp;anoTst=2012&amp;orgaoTst=5&amp;tribunalTst=08&amp;varaTst=0008&amp;submit=Consulta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licacao4.tst.jus.br/consultaProcessual/consultaTstNumUnica.do?consulta=Consultar&amp;conscsjt=&amp;numeroTst=12879&amp;digitoTst=21&amp;anoTst=2016&amp;orgaoTst=5&amp;tribunalTst=15&amp;varaTst=0039&amp;submit=Consultar" TargetMode="External"/><Relationship Id="rId20" Type="http://schemas.openxmlformats.org/officeDocument/2006/relationships/hyperlink" Target="http://www.tst.jus.br/pus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je.tst.jus.br/consultaprocessual/detalhe-processo/1000914-95.2018.5.00.0000"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aplicacao4.tst.jus.br/consultaProcessual/consultaTstNumUnica.do?consulta=Consultar&amp;conscsjt=&amp;numeroTst=707&amp;digitoTst=96&amp;anoTst=2016&amp;orgaoTst=5&amp;tribunalTst=21&amp;varaTst=0001" TargetMode="External"/><Relationship Id="rId23" Type="http://schemas.openxmlformats.org/officeDocument/2006/relationships/header" Target="header2.xml"/><Relationship Id="rId10" Type="http://schemas.openxmlformats.org/officeDocument/2006/relationships/hyperlink" Target="http://aplicacao4.tst.jus.br/consultaProcessual/consultaTstNumUnica.do?consulta=Consultar&amp;conscsjt=&amp;numeroTst=2570&amp;digitoTst=72&amp;anoTst=2011&amp;orgaoTst=5&amp;tribunalTst=10&amp;varaTst=0000&amp;submit=Consultar" TargetMode="External"/><Relationship Id="rId19" Type="http://schemas.openxmlformats.org/officeDocument/2006/relationships/hyperlink" Target="http://www.tst.jus.br/web/guest/informativo-tst" TargetMode="Externa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62&amp;digitoTst=40&amp;anoTst=2017&amp;orgaoTst=5&amp;tribunalTst=20&amp;varaTst=0009&amp;submit=Consultar" TargetMode="External"/><Relationship Id="rId14" Type="http://schemas.openxmlformats.org/officeDocument/2006/relationships/hyperlink" Target="http://aplicacao4.tst.jus.br/consultaProcessual/consultaTstNumUnica.do?conscsjt=&amp;numeroTst=24195&amp;digitoTst=53&amp;anoTst=&amp;orgaoTst=5&amp;tribunalTst=&amp;varaTst=&amp;consulta=Consultar"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5FE2E-C71C-4A89-AACE-27EB152F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3684</Words>
  <Characters>22407</Characters>
  <Application>Microsoft Office Word</Application>
  <DocSecurity>4</DocSecurity>
  <Lines>186</Lines>
  <Paragraphs>52</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26039</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Bianca Rossi De Carvalho Mendonca</cp:lastModifiedBy>
  <cp:revision>2</cp:revision>
  <cp:lastPrinted>2019-10-29T20:50:00Z</cp:lastPrinted>
  <dcterms:created xsi:type="dcterms:W3CDTF">2020-09-16T17:20:00Z</dcterms:created>
  <dcterms:modified xsi:type="dcterms:W3CDTF">2020-09-16T17:20:00Z</dcterms:modified>
</cp:coreProperties>
</file>