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4B3120" w:rsidTr="00E3622E">
        <w:trPr>
          <w:trHeight w:val="537"/>
        </w:trPr>
        <w:tc>
          <w:tcPr>
            <w:tcW w:w="9538" w:type="dxa"/>
            <w:tcBorders>
              <w:top w:val="single" w:sz="4" w:space="0" w:color="auto"/>
            </w:tcBorders>
          </w:tcPr>
          <w:p w:rsidR="00E3622E" w:rsidRPr="004B3120" w:rsidRDefault="00C26DFB" w:rsidP="00DC50EB">
            <w:pPr>
              <w:pStyle w:val="Cabealho"/>
              <w:tabs>
                <w:tab w:val="clear" w:pos="4419"/>
                <w:tab w:val="clear" w:pos="8838"/>
              </w:tabs>
              <w:jc w:val="both"/>
            </w:pPr>
            <w:r w:rsidRPr="004B3120">
              <w:t>Este Informativo, elaborado a partir de notas tomadas nas sessões de julgamento, contém resumos não</w:t>
            </w:r>
            <w:r w:rsidR="00DC50EB" w:rsidRPr="004B3120">
              <w:t xml:space="preserve"> </w:t>
            </w:r>
            <w:r w:rsidRPr="004B3120">
              <w:t>oficiais de decisões proferidas pelo Tribunal. A fidelidade dos resumos ao conteúdo efetivo das decisões, embora seja uma das metas perseguidas neste trabalho, somente poderá ser aferida após a sua publicação no Diário</w:t>
            </w:r>
            <w:r w:rsidR="00980944" w:rsidRPr="004B3120">
              <w:t xml:space="preserve"> Eletrônico </w:t>
            </w:r>
            <w:r w:rsidRPr="004B3120">
              <w:t>da Justiça</w:t>
            </w:r>
            <w:r w:rsidR="00980944" w:rsidRPr="004B3120">
              <w:t xml:space="preserve"> do Trabalho</w:t>
            </w:r>
            <w:r w:rsidRPr="004B3120">
              <w:t>.</w:t>
            </w:r>
          </w:p>
          <w:p w:rsidR="00730CC7" w:rsidRPr="00276468" w:rsidRDefault="00730CC7" w:rsidP="00DC50EB">
            <w:pPr>
              <w:pStyle w:val="Cabealho"/>
              <w:tabs>
                <w:tab w:val="clear" w:pos="4419"/>
                <w:tab w:val="clear" w:pos="8838"/>
              </w:tabs>
              <w:jc w:val="both"/>
            </w:pPr>
          </w:p>
        </w:tc>
      </w:tr>
    </w:tbl>
    <w:p w:rsidR="00472851" w:rsidRPr="006717E0" w:rsidRDefault="00512D1B" w:rsidP="00472851">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iCs/>
          <w:sz w:val="28"/>
          <w:lang w:val="pt-BR"/>
        </w:rPr>
      </w:pPr>
      <w:r>
        <w:rPr>
          <w:rFonts w:ascii="Times New Roman" w:hAnsi="Times New Roman" w:cs="Times New Roman"/>
          <w:b/>
          <w:bCs/>
          <w:iCs/>
          <w:sz w:val="28"/>
          <w:lang w:val="pt-BR"/>
        </w:rPr>
        <w:t>TRIBUNAL PLENO</w:t>
      </w:r>
    </w:p>
    <w:p w:rsidR="00543122" w:rsidRPr="00220B10" w:rsidRDefault="00543122" w:rsidP="00237380">
      <w:pPr>
        <w:adjustRightInd w:val="0"/>
        <w:jc w:val="both"/>
        <w:rPr>
          <w:sz w:val="24"/>
          <w:szCs w:val="24"/>
          <w:u w:val="single"/>
          <w:lang w:eastAsia="zh-CN"/>
        </w:rPr>
      </w:pPr>
    </w:p>
    <w:p w:rsidR="00512D1B" w:rsidRPr="0058052B" w:rsidRDefault="00512D1B" w:rsidP="00512D1B">
      <w:pPr>
        <w:jc w:val="both"/>
        <w:rPr>
          <w:b/>
          <w:i/>
          <w:color w:val="000000"/>
          <w:sz w:val="24"/>
          <w:szCs w:val="24"/>
        </w:rPr>
      </w:pPr>
      <w:r w:rsidRPr="0058052B">
        <w:rPr>
          <w:b/>
          <w:i/>
          <w:color w:val="000000"/>
          <w:sz w:val="24"/>
          <w:szCs w:val="24"/>
        </w:rPr>
        <w:t>Reclamação. Tribunal Pleno. Competência funcional. Suposta inobservância de súmula do TST.</w:t>
      </w:r>
    </w:p>
    <w:p w:rsidR="00654B75" w:rsidRPr="00512D1B" w:rsidRDefault="00512D1B" w:rsidP="00654B75">
      <w:pPr>
        <w:jc w:val="both"/>
        <w:rPr>
          <w:color w:val="000000"/>
          <w:sz w:val="24"/>
          <w:szCs w:val="24"/>
        </w:rPr>
      </w:pPr>
      <w:r w:rsidRPr="0058052B">
        <w:rPr>
          <w:color w:val="000000"/>
          <w:sz w:val="24"/>
          <w:szCs w:val="24"/>
        </w:rPr>
        <w:t xml:space="preserve">O Tribunal Pleno detém competência para estabelecer súmulas e julgar reclamações, nos termos dos incisos VII e XI do art. 75 do RITST, respectivamente, do que resulta sua competência para julgar reclamação que tiver como causa de pedir alegada inobservância de súmula por ele estabelecida, </w:t>
      </w:r>
      <w:proofErr w:type="gramStart"/>
      <w:r w:rsidRPr="0058052B">
        <w:rPr>
          <w:color w:val="000000"/>
          <w:sz w:val="24"/>
          <w:szCs w:val="24"/>
        </w:rPr>
        <w:t>visto</w:t>
      </w:r>
      <w:proofErr w:type="gramEnd"/>
      <w:r w:rsidRPr="0058052B">
        <w:rPr>
          <w:color w:val="000000"/>
          <w:sz w:val="24"/>
          <w:szCs w:val="24"/>
        </w:rPr>
        <w:t xml:space="preserve"> ser o órgão colegiado cuja autoridade se pretende garantir, conforme previsto no art. 210, parágrafo 2º, do RITST. Sob esse entendimento, o Tribunal Pleno, por unanimidade, decidiu ser da sua competência o julgamento de reclamação contra acórdão regional que supostamente negara </w:t>
      </w:r>
      <w:r w:rsidRPr="001922C2">
        <w:rPr>
          <w:color w:val="000000"/>
          <w:sz w:val="24"/>
          <w:szCs w:val="24"/>
        </w:rPr>
        <w:t>cumprimento à Súmula nº 463, II, do TST, e negou provimento ao agravo interno interposto, mantendo a decisão monocrática que julgara incabível a reclamação.</w:t>
      </w:r>
      <w:r w:rsidRPr="0058052B">
        <w:rPr>
          <w:color w:val="000000"/>
          <w:sz w:val="24"/>
          <w:szCs w:val="24"/>
        </w:rPr>
        <w:t xml:space="preserve"> </w:t>
      </w:r>
      <w:hyperlink r:id="rId9" w:history="1">
        <w:r w:rsidRPr="0058052B">
          <w:rPr>
            <w:rStyle w:val="Hyperlink"/>
            <w:sz w:val="24"/>
            <w:szCs w:val="24"/>
          </w:rPr>
          <w:t>Rcl-1000623-61.2019.5.00.0000</w:t>
        </w:r>
      </w:hyperlink>
      <w:r w:rsidRPr="0058052B">
        <w:rPr>
          <w:color w:val="000000"/>
          <w:sz w:val="24"/>
          <w:szCs w:val="24"/>
          <w:u w:val="single"/>
        </w:rPr>
        <w:t>, Tribunal Pleno, rel. Min.</w:t>
      </w:r>
      <w:r>
        <w:rPr>
          <w:color w:val="000000"/>
          <w:sz w:val="24"/>
          <w:szCs w:val="24"/>
          <w:u w:val="single"/>
        </w:rPr>
        <w:t xml:space="preserve"> Márcio Eurico Vitral Amaro, 29/</w:t>
      </w:r>
      <w:r w:rsidRPr="0058052B">
        <w:rPr>
          <w:color w:val="000000"/>
          <w:sz w:val="24"/>
          <w:szCs w:val="24"/>
          <w:u w:val="single"/>
        </w:rPr>
        <w:t>6</w:t>
      </w:r>
      <w:r>
        <w:rPr>
          <w:color w:val="000000"/>
          <w:sz w:val="24"/>
          <w:szCs w:val="24"/>
          <w:u w:val="single"/>
        </w:rPr>
        <w:t>/</w:t>
      </w:r>
      <w:r w:rsidRPr="0058052B">
        <w:rPr>
          <w:color w:val="000000"/>
          <w:sz w:val="24"/>
          <w:szCs w:val="24"/>
          <w:u w:val="single"/>
        </w:rPr>
        <w:t>2020</w:t>
      </w:r>
      <w:r w:rsidR="00245199">
        <w:rPr>
          <w:color w:val="000000"/>
          <w:sz w:val="24"/>
          <w:szCs w:val="24"/>
          <w:u w:val="single"/>
        </w:rPr>
        <w:t>.</w:t>
      </w:r>
    </w:p>
    <w:p w:rsidR="00654B75" w:rsidRPr="00512D1B" w:rsidRDefault="00654B75" w:rsidP="00242069">
      <w:pPr>
        <w:adjustRightInd w:val="0"/>
        <w:spacing w:line="360" w:lineRule="auto"/>
        <w:jc w:val="both"/>
        <w:rPr>
          <w:u w:val="single"/>
          <w:lang w:eastAsia="zh-CN"/>
        </w:rPr>
      </w:pPr>
    </w:p>
    <w:p w:rsidR="00654B75" w:rsidRPr="006717E0" w:rsidRDefault="00654B75" w:rsidP="00654B75">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iCs/>
          <w:sz w:val="28"/>
          <w:lang w:val="pt-BR"/>
        </w:rPr>
      </w:pPr>
      <w:r w:rsidRPr="006717E0">
        <w:rPr>
          <w:rFonts w:ascii="Times New Roman" w:hAnsi="Times New Roman" w:cs="Times New Roman"/>
          <w:b/>
          <w:bCs/>
          <w:iCs/>
          <w:sz w:val="28"/>
          <w:lang w:val="pt-BR"/>
        </w:rPr>
        <w:t>SUBSEÇÃO I ESPECIALIZADA EM DISSÍDIOS INDIVIDUAIS</w:t>
      </w:r>
    </w:p>
    <w:p w:rsidR="00654B75" w:rsidRPr="00654B75" w:rsidRDefault="00654B75" w:rsidP="00654B75">
      <w:pPr>
        <w:pStyle w:val="Identificao"/>
        <w:rPr>
          <w:rFonts w:ascii="Times New Roman" w:eastAsiaTheme="minorHAnsi" w:hAnsi="Times New Roman" w:cs="Times New Roman"/>
          <w:b/>
          <w:i/>
          <w:color w:val="auto"/>
          <w:sz w:val="20"/>
          <w:szCs w:val="20"/>
          <w:lang w:val="pt-BR" w:eastAsia="en-US"/>
        </w:rPr>
      </w:pPr>
    </w:p>
    <w:p w:rsidR="00512D1B" w:rsidRPr="0058052B" w:rsidRDefault="00512D1B" w:rsidP="00512D1B">
      <w:pPr>
        <w:ind w:right="-74"/>
        <w:jc w:val="both"/>
        <w:rPr>
          <w:b/>
          <w:i/>
          <w:sz w:val="24"/>
          <w:szCs w:val="24"/>
        </w:rPr>
      </w:pPr>
      <w:r w:rsidRPr="0058052B">
        <w:rPr>
          <w:b/>
          <w:i/>
          <w:sz w:val="24"/>
          <w:szCs w:val="24"/>
        </w:rPr>
        <w:t xml:space="preserve">Embargos. Recurso de revista interposto sob a égide do CPC/2015. Depósito recursal. Recolhimento dentro do prazo. Comprovação em momento processual posterior. Vício insanável. Deserção configurada. Lei nº 5.584/70. Súmula </w:t>
      </w:r>
      <w:r w:rsidRPr="001922C2">
        <w:rPr>
          <w:b/>
          <w:i/>
          <w:sz w:val="24"/>
          <w:szCs w:val="24"/>
        </w:rPr>
        <w:t>nº 245 do TST.  Multa</w:t>
      </w:r>
      <w:r w:rsidRPr="0058052B">
        <w:rPr>
          <w:b/>
          <w:i/>
          <w:sz w:val="24"/>
          <w:szCs w:val="24"/>
        </w:rPr>
        <w:t xml:space="preserve"> por embargos protelatórios. Denegado seguimento aos Embargos quanto ao tema. Ausência de impugnação por meio de agravo. Exclusão da multa pela Seção Uniformizadora. Mero corolário. </w:t>
      </w:r>
    </w:p>
    <w:p w:rsidR="00512D1B" w:rsidRPr="0058052B" w:rsidRDefault="00512D1B" w:rsidP="00512D1B">
      <w:pPr>
        <w:ind w:right="-74"/>
        <w:jc w:val="both"/>
        <w:rPr>
          <w:sz w:val="24"/>
          <w:szCs w:val="24"/>
          <w:u w:val="single"/>
        </w:rPr>
      </w:pPr>
      <w:r w:rsidRPr="0058052B">
        <w:rPr>
          <w:sz w:val="24"/>
          <w:szCs w:val="24"/>
        </w:rPr>
        <w:t xml:space="preserve">Configura-se a deserção quando o recorrente, apesar de ter feito o recolhimento das custas e do depósito recursal tempestivamente, deixa de comprová-lo dentro do prazo alusivo ao recurso. Na espécie, o reclamado, ao interpor o recurso de revista, juntou a guia referente ao depósito recursal, sem a respectiva autenticação. A comprovação do preparo, com a juntada da guia devidamente autenticada, ocorreu mais de um mês depois do término do prazo recursal. Nesse contexto, não havendo comprovação do pagamento do depósito recursal no prazo para sua interposição, o recurso mostra-se deserto, nos termos do art. 7º da Lei nº 5.584/70 e da Súmula nº 245 do TST. Com esse entendimento, a SBDI-1 decidiu, </w:t>
      </w:r>
      <w:r w:rsidRPr="0058052B">
        <w:rPr>
          <w:color w:val="000000"/>
          <w:sz w:val="24"/>
          <w:szCs w:val="24"/>
          <w:shd w:val="clear" w:color="auto" w:fill="FFFFFF"/>
        </w:rPr>
        <w:t xml:space="preserve">por unanimidade, conhecer do recurso de embargos por contrariedade à Súmula nº 245 desta Corte e, no mérito, dar-lhe provimento para, reconhecendo a deserção do recurso de revista do reclamado, restabelecer integralmente o acórdão regional. No tocante à multa por embargos de declaração protelatórios, </w:t>
      </w:r>
      <w:r w:rsidRPr="0058052B">
        <w:rPr>
          <w:bCs/>
          <w:color w:val="000000"/>
          <w:sz w:val="24"/>
          <w:szCs w:val="24"/>
        </w:rPr>
        <w:t xml:space="preserve">a despeito de os embargos à SBDI-1 não terem sido admitidos pelo Presidente da Turma quanto a esse tema e de não ter havido impugnação por meio de agravo, prevaleceu o entendimento de que o </w:t>
      </w:r>
      <w:r w:rsidRPr="0058052B">
        <w:rPr>
          <w:color w:val="000000"/>
          <w:sz w:val="24"/>
          <w:szCs w:val="24"/>
        </w:rPr>
        <w:t xml:space="preserve">acolhimento da pretensão recursal principal (reforma da decisão da Turma quanto à deserção) tem como efeito necessário e automático a exclusão da multa imposta no acórdão impugnado, por restar evidente a ausência de intuito protelatório dos embargos de declaração interpostos. Sob esse fundamento, a SBDI-1, </w:t>
      </w:r>
      <w:r w:rsidRPr="0058052B">
        <w:rPr>
          <w:color w:val="000000"/>
          <w:sz w:val="24"/>
          <w:szCs w:val="24"/>
          <w:shd w:val="clear" w:color="auto" w:fill="FFFFFF"/>
        </w:rPr>
        <w:t xml:space="preserve">por maioria, excluiu a multa por embargos de declaração protelatórios aplicada à autora, vencidos os Ministros </w:t>
      </w:r>
      <w:r w:rsidRPr="0058052B">
        <w:rPr>
          <w:color w:val="000000"/>
          <w:sz w:val="24"/>
          <w:szCs w:val="24"/>
          <w:shd w:val="clear" w:color="auto" w:fill="FFFFFF"/>
        </w:rPr>
        <w:lastRenderedPageBreak/>
        <w:t xml:space="preserve">Breno Medeiros e Alexandre Luiz Ramos. </w:t>
      </w:r>
      <w:hyperlink r:id="rId10" w:history="1">
        <w:r w:rsidRPr="0058052B">
          <w:rPr>
            <w:rStyle w:val="Hyperlink"/>
            <w:sz w:val="24"/>
            <w:szCs w:val="24"/>
          </w:rPr>
          <w:t>TST-E-ED-ED-RR-11</w:t>
        </w:r>
        <w:r w:rsidRPr="0058052B">
          <w:rPr>
            <w:rStyle w:val="Hyperlink"/>
            <w:sz w:val="24"/>
            <w:szCs w:val="24"/>
          </w:rPr>
          <w:t>1</w:t>
        </w:r>
        <w:r w:rsidRPr="0058052B">
          <w:rPr>
            <w:rStyle w:val="Hyperlink"/>
            <w:sz w:val="24"/>
            <w:szCs w:val="24"/>
          </w:rPr>
          <w:t>05-22.2015.5.03.004</w:t>
        </w:r>
      </w:hyperlink>
      <w:r w:rsidRPr="0058052B">
        <w:rPr>
          <w:sz w:val="24"/>
          <w:szCs w:val="24"/>
          <w:u w:val="single"/>
        </w:rPr>
        <w:t>, SBDI-I, rel. Min. José Roberto Freire Pimenta, 18/6/2020.</w:t>
      </w:r>
    </w:p>
    <w:p w:rsidR="00512D1B" w:rsidRPr="0058052B" w:rsidRDefault="00512D1B" w:rsidP="00512D1B">
      <w:pPr>
        <w:ind w:right="-74"/>
        <w:jc w:val="both"/>
        <w:rPr>
          <w:u w:val="single"/>
        </w:rPr>
      </w:pPr>
    </w:p>
    <w:p w:rsidR="00512D1B" w:rsidRPr="00512D1B" w:rsidRDefault="00512D1B" w:rsidP="00512D1B">
      <w:pPr>
        <w:pStyle w:val="Identificao"/>
        <w:rPr>
          <w:rFonts w:ascii="Times New Roman" w:eastAsiaTheme="minorHAnsi" w:hAnsi="Times New Roman" w:cs="Times New Roman"/>
          <w:b/>
          <w:i/>
          <w:color w:val="auto"/>
          <w:lang w:val="pt-BR" w:eastAsia="en-US"/>
        </w:rPr>
      </w:pPr>
      <w:r w:rsidRPr="00512D1B">
        <w:rPr>
          <w:rFonts w:ascii="Times New Roman" w:eastAsiaTheme="minorHAnsi" w:hAnsi="Times New Roman" w:cs="Times New Roman"/>
          <w:b/>
          <w:i/>
          <w:color w:val="auto"/>
          <w:lang w:val="pt-BR" w:eastAsia="en-US"/>
        </w:rPr>
        <w:t xml:space="preserve">Petrobras. Empregados anistiados. Art. 471 da CLT. </w:t>
      </w:r>
      <w:proofErr w:type="spellStart"/>
      <w:r w:rsidRPr="00512D1B">
        <w:rPr>
          <w:rFonts w:ascii="Times New Roman" w:eastAsiaTheme="minorHAnsi" w:hAnsi="Times New Roman" w:cs="Times New Roman"/>
          <w:b/>
          <w:i/>
          <w:color w:val="auto"/>
          <w:lang w:val="pt-BR" w:eastAsia="en-US"/>
        </w:rPr>
        <w:t>Reinclusão</w:t>
      </w:r>
      <w:proofErr w:type="spellEnd"/>
      <w:r w:rsidRPr="00512D1B">
        <w:rPr>
          <w:rFonts w:ascii="Times New Roman" w:eastAsiaTheme="minorHAnsi" w:hAnsi="Times New Roman" w:cs="Times New Roman"/>
          <w:b/>
          <w:i/>
          <w:color w:val="auto"/>
          <w:lang w:val="pt-BR" w:eastAsia="en-US"/>
        </w:rPr>
        <w:t xml:space="preserve"> no Plano Petros </w:t>
      </w:r>
      <w:proofErr w:type="gramStart"/>
      <w:r w:rsidRPr="00512D1B">
        <w:rPr>
          <w:rFonts w:ascii="Times New Roman" w:eastAsiaTheme="minorHAnsi" w:hAnsi="Times New Roman" w:cs="Times New Roman"/>
          <w:b/>
          <w:i/>
          <w:color w:val="auto"/>
          <w:lang w:val="pt-BR" w:eastAsia="en-US"/>
        </w:rPr>
        <w:t>1</w:t>
      </w:r>
      <w:proofErr w:type="gramEnd"/>
      <w:r w:rsidRPr="00512D1B">
        <w:rPr>
          <w:rFonts w:ascii="Times New Roman" w:eastAsiaTheme="minorHAnsi" w:hAnsi="Times New Roman" w:cs="Times New Roman"/>
          <w:b/>
          <w:i/>
          <w:color w:val="auto"/>
          <w:lang w:val="pt-BR" w:eastAsia="en-US"/>
        </w:rPr>
        <w:t>. Competência da Justiça do Trabalho.</w:t>
      </w:r>
    </w:p>
    <w:p w:rsidR="00512D1B" w:rsidRPr="00512D1B" w:rsidRDefault="00512D1B" w:rsidP="00512D1B">
      <w:pPr>
        <w:pStyle w:val="Identificao"/>
        <w:rPr>
          <w:rFonts w:ascii="Times New Roman" w:eastAsiaTheme="minorHAnsi" w:hAnsi="Times New Roman" w:cs="Times New Roman"/>
          <w:color w:val="auto"/>
          <w:u w:val="single"/>
          <w:lang w:val="pt-BR" w:eastAsia="en-US"/>
        </w:rPr>
      </w:pPr>
      <w:r w:rsidRPr="00512D1B">
        <w:rPr>
          <w:rFonts w:ascii="Times New Roman" w:eastAsiaTheme="minorHAnsi" w:hAnsi="Times New Roman" w:cs="Times New Roman"/>
          <w:color w:val="auto"/>
          <w:lang w:val="pt-BR" w:eastAsia="en-US"/>
        </w:rPr>
        <w:t>A Justiça do Trabalho é competente para julgar matéria que envolva os efeitos da readmissão de empregados anistiados, com fundamento nos artigos 471 da CLT e na Lei nº 8.878/94. Na espécie, a controvérsia cinge-se</w:t>
      </w:r>
      <w:proofErr w:type="gramStart"/>
      <w:r w:rsidRPr="00512D1B">
        <w:rPr>
          <w:rFonts w:ascii="Times New Roman" w:eastAsiaTheme="minorHAnsi" w:hAnsi="Times New Roman" w:cs="Times New Roman"/>
          <w:color w:val="auto"/>
          <w:lang w:val="pt-BR" w:eastAsia="en-US"/>
        </w:rPr>
        <w:t xml:space="preserve"> a saber</w:t>
      </w:r>
      <w:proofErr w:type="gramEnd"/>
      <w:r w:rsidRPr="00512D1B">
        <w:rPr>
          <w:rFonts w:ascii="Times New Roman" w:eastAsiaTheme="minorHAnsi" w:hAnsi="Times New Roman" w:cs="Times New Roman"/>
          <w:color w:val="auto"/>
          <w:lang w:val="pt-BR" w:eastAsia="en-US"/>
        </w:rPr>
        <w:t xml:space="preserve"> se os reclamantes, afastados do emprego por reforma administrativa, têm direito ou não, por ocasião de sua readmissão pela lei de anistia, às vantagens atribuídas à sua categoria durante seu afastamento, dentre elas a de serem reincluídos no plano de previdência (Petros 1) que era oferecido naquela época pela Petrobras. No caso, não se aplicam os precedentes RE 586453 e RE 583050, de repercussão geral reconhecida, firmados pelo STF, que tratam da competência da Justiça Comum para processar ação ajuizada contra entidade de previdência privada com o objetivo de obter complementação de aposentadoria. Isso porque a questão não se refere à complementação ou reajuste de benefícios instituídos pela entidade de previdência privada, que sequer figura no polo passivo da demanda. Portanto, sendo a causa de pedir trabalhista e não previdenciária, a Justiça do Trabalho é competente para o julgamento do feito, nos termos do art. 114, I, da Constituição Federal. Sob esses fundamentos, a SBDI-1, por unanimidade, conheceu dos embargos, por dissenso jurisprudencial, e, no mérito, por maioria, negou-lhes provimento. Vencido o Min. Alexandre Luiz Ramos, que reconhecia a incompetência da Justiça Trabalhista para julgar a demanda. </w:t>
      </w:r>
      <w:hyperlink r:id="rId11" w:history="1">
        <w:r w:rsidRPr="00512D1B">
          <w:rPr>
            <w:rStyle w:val="Hyperlink"/>
            <w:rFonts w:ascii="Times New Roman" w:eastAsiaTheme="minorHAnsi" w:hAnsi="Times New Roman"/>
            <w:lang w:val="pt-BR" w:eastAsia="en-US"/>
          </w:rPr>
          <w:t>TST-E-ED-RR-11421-44.2015.5.01.0022</w:t>
        </w:r>
      </w:hyperlink>
      <w:r w:rsidRPr="00597DB2">
        <w:rPr>
          <w:rFonts w:ascii="Times New Roman" w:eastAsiaTheme="minorHAnsi" w:hAnsi="Times New Roman" w:cs="Times New Roman"/>
          <w:color w:val="auto"/>
          <w:u w:val="single"/>
          <w:lang w:val="pt-BR" w:eastAsia="en-US"/>
        </w:rPr>
        <w:t xml:space="preserve">, </w:t>
      </w:r>
      <w:r w:rsidRPr="00512D1B">
        <w:rPr>
          <w:rFonts w:ascii="Times New Roman" w:eastAsiaTheme="minorHAnsi" w:hAnsi="Times New Roman" w:cs="Times New Roman"/>
          <w:color w:val="auto"/>
          <w:u w:val="single"/>
          <w:lang w:val="pt-BR" w:eastAsia="en-US"/>
        </w:rPr>
        <w:t>SBDI-1, rel. Min. Luiz Philippe Vieira de Mello Filho, 18/6/2020.</w:t>
      </w:r>
    </w:p>
    <w:p w:rsidR="00654B75" w:rsidRPr="00512D1B" w:rsidRDefault="00654B75" w:rsidP="00242069">
      <w:pPr>
        <w:adjustRightInd w:val="0"/>
        <w:spacing w:line="360" w:lineRule="auto"/>
        <w:jc w:val="both"/>
        <w:rPr>
          <w:u w:val="single"/>
          <w:lang w:eastAsia="zh-CN"/>
        </w:rPr>
      </w:pPr>
    </w:p>
    <w:p w:rsidR="00654B75" w:rsidRPr="006717E0" w:rsidRDefault="00654B75" w:rsidP="00654B75">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iCs/>
          <w:sz w:val="28"/>
          <w:lang w:val="pt-BR"/>
        </w:rPr>
      </w:pPr>
      <w:r w:rsidRPr="006717E0">
        <w:rPr>
          <w:rFonts w:ascii="Times New Roman" w:hAnsi="Times New Roman" w:cs="Times New Roman"/>
          <w:b/>
          <w:bCs/>
          <w:iCs/>
          <w:sz w:val="28"/>
          <w:lang w:val="pt-BR"/>
        </w:rPr>
        <w:t>SUBSEÇÃO I</w:t>
      </w:r>
      <w:r>
        <w:rPr>
          <w:rFonts w:ascii="Times New Roman" w:hAnsi="Times New Roman" w:cs="Times New Roman"/>
          <w:b/>
          <w:bCs/>
          <w:iCs/>
          <w:sz w:val="28"/>
          <w:lang w:val="pt-BR"/>
        </w:rPr>
        <w:t>I</w:t>
      </w:r>
      <w:r w:rsidRPr="006717E0">
        <w:rPr>
          <w:rFonts w:ascii="Times New Roman" w:hAnsi="Times New Roman" w:cs="Times New Roman"/>
          <w:b/>
          <w:bCs/>
          <w:iCs/>
          <w:sz w:val="28"/>
          <w:lang w:val="pt-BR"/>
        </w:rPr>
        <w:t xml:space="preserve"> ESPECIALIZADA EM DISSÍDIOS INDIVIDUAIS</w:t>
      </w:r>
    </w:p>
    <w:p w:rsidR="00654B75" w:rsidRPr="00512D1B" w:rsidRDefault="00654B75" w:rsidP="00237380">
      <w:pPr>
        <w:adjustRightInd w:val="0"/>
        <w:jc w:val="both"/>
        <w:rPr>
          <w:u w:val="single"/>
          <w:lang w:eastAsia="zh-CN"/>
        </w:rPr>
      </w:pPr>
    </w:p>
    <w:p w:rsidR="00512D1B" w:rsidRPr="001922C2" w:rsidRDefault="00512D1B" w:rsidP="00512D1B">
      <w:pPr>
        <w:jc w:val="both"/>
        <w:rPr>
          <w:b/>
          <w:i/>
          <w:sz w:val="24"/>
          <w:szCs w:val="24"/>
        </w:rPr>
      </w:pPr>
      <w:r w:rsidRPr="001922C2">
        <w:rPr>
          <w:b/>
          <w:i/>
          <w:sz w:val="24"/>
          <w:szCs w:val="24"/>
        </w:rPr>
        <w:t xml:space="preserve">Pretensão de ressarcimento de dano ao erário. Prescrição. Empresa Brasileira de Correios e Telégrafos – ECT. Diferença de quantia de caixa. Interpretação do art. 37, § 5º, da Constituição Federal. Imprescritibilidade restrita a atos dolosos tipificados na Lei nº 8.429/1992 (Lei de Improbidade Administrativa). </w:t>
      </w:r>
    </w:p>
    <w:p w:rsidR="00512D1B" w:rsidRPr="0058052B" w:rsidRDefault="00512D1B" w:rsidP="00512D1B">
      <w:pPr>
        <w:jc w:val="both"/>
        <w:rPr>
          <w:sz w:val="24"/>
          <w:szCs w:val="24"/>
          <w:u w:val="single"/>
        </w:rPr>
      </w:pPr>
      <w:r w:rsidRPr="001922C2">
        <w:rPr>
          <w:sz w:val="24"/>
          <w:szCs w:val="24"/>
        </w:rPr>
        <w:t>Resta pacificado o entendimento de que a ECT goza dos mesmos privilégios conferidos à Fazenda Pública, nos termos do art. 12 do Decreto-lei n.º 509/69, regra recepcionada pela Constituição Federal, consoante entendimento firmado pelo STF (RE 220.906). Nesse contexto, aplica-se à ECT a disposição contida no parágrafo 5.º do art. 37 da Carta Política. Segundo a jurisprudência do Supremo Tribunal Federal acerca do referido dispositivo constitucional, a ideia de imprescritibilidade, que se extrai da leitura de tal preceito, foi devidamente talhada para se aplicar aos casos de maior gravidade do ilícito praticado contra o Poder Público, entre eles os atos de improbidade administrativa dolosos, tipificados na Lei nº 8.429/92. No caso, a pretensão da ECT consiste em obter o ressarcimento de quantia relativa à diferença de caixa, não se tratando, portanto, de demanda que tenha por objeto a aplicação da Lei de Improbidade Administrativa, razão por que não há como se entender imprescritível a referida pretensão. Sob esse fundamento, a SBDI-2, por unanimidade, conheceu do Recurso Ordinário</w:t>
      </w:r>
      <w:r w:rsidRPr="0058052B">
        <w:rPr>
          <w:sz w:val="24"/>
          <w:szCs w:val="24"/>
        </w:rPr>
        <w:t xml:space="preserve"> e, no mérito, negou-lhe provimento. </w:t>
      </w:r>
      <w:hyperlink r:id="rId12" w:history="1">
        <w:r w:rsidRPr="001922C2">
          <w:rPr>
            <w:rStyle w:val="Hyperlink"/>
            <w:sz w:val="24"/>
            <w:szCs w:val="24"/>
          </w:rPr>
          <w:t>TST-RO-1384-62.2011.5.19.0000</w:t>
        </w:r>
      </w:hyperlink>
      <w:r w:rsidRPr="0058052B">
        <w:rPr>
          <w:sz w:val="24"/>
          <w:szCs w:val="24"/>
          <w:u w:val="single"/>
        </w:rPr>
        <w:t>, SBDI-2, rel. Min</w:t>
      </w:r>
      <w:r>
        <w:rPr>
          <w:sz w:val="24"/>
          <w:szCs w:val="24"/>
          <w:u w:val="single"/>
        </w:rPr>
        <w:t>. Luiz José Dezena da Silva, 16/6/</w:t>
      </w:r>
      <w:r w:rsidRPr="0058052B">
        <w:rPr>
          <w:sz w:val="24"/>
          <w:szCs w:val="24"/>
          <w:u w:val="single"/>
        </w:rPr>
        <w:t>2020.</w:t>
      </w:r>
    </w:p>
    <w:p w:rsidR="00512D1B" w:rsidRPr="0058052B" w:rsidRDefault="00512D1B" w:rsidP="00512D1B">
      <w:pPr>
        <w:jc w:val="both"/>
        <w:rPr>
          <w:u w:val="single"/>
        </w:rPr>
      </w:pPr>
    </w:p>
    <w:p w:rsidR="00512D1B" w:rsidRPr="0058052B" w:rsidRDefault="00512D1B" w:rsidP="00512D1B">
      <w:pPr>
        <w:ind w:right="-74"/>
        <w:jc w:val="both"/>
        <w:rPr>
          <w:b/>
          <w:sz w:val="24"/>
          <w:szCs w:val="24"/>
        </w:rPr>
      </w:pPr>
      <w:r w:rsidRPr="0058052B">
        <w:rPr>
          <w:b/>
          <w:i/>
          <w:sz w:val="24"/>
          <w:szCs w:val="24"/>
        </w:rPr>
        <w:t xml:space="preserve">Ação rescisória.  Irregularidade no depósito prévio. Saneamento do vício de forma espontânea, logo após o ajuizamento da ação. Extinção do processo, sem resolução do mérito. Impossibilidade. Direito à emenda ou complementação da petição inicial previsto no CPC de 2015. Princípio da primazia da resolução do mérito.  </w:t>
      </w:r>
    </w:p>
    <w:p w:rsidR="00512D1B" w:rsidRPr="0058052B" w:rsidRDefault="00512D1B" w:rsidP="00512D1B">
      <w:pPr>
        <w:ind w:right="-74"/>
        <w:jc w:val="both"/>
        <w:rPr>
          <w:sz w:val="24"/>
          <w:szCs w:val="24"/>
        </w:rPr>
      </w:pPr>
      <w:r w:rsidRPr="0058052B">
        <w:rPr>
          <w:sz w:val="24"/>
          <w:szCs w:val="24"/>
        </w:rPr>
        <w:t xml:space="preserve">A decisão que, antes de conceder prazo para regularização do depósito prévio, indefere a petição inicial e extingue a ação rescisória, sem resolução de mérito, está em desacordo com o princípio da primazia da resolução do mérito e com o que preceitua o art. 321 do CPC, o qual é aplicável à ação rescisória em virtude do parágrafo único do art. 318 do CPC. Na espécie, a despeito de a autora ter regularizado, espontaneamente, o depósito prévio um dia após o ajuizamento da ação rescisória, o </w:t>
      </w:r>
      <w:r w:rsidRPr="0058052B">
        <w:rPr>
          <w:sz w:val="24"/>
          <w:szCs w:val="24"/>
        </w:rPr>
        <w:lastRenderedPageBreak/>
        <w:t xml:space="preserve">julgador extinguiu a ação, sem qualquer concessão de prazo para que o vício fosse sanado. Ocorre que, se a ausência de recolhimento do depósito prévio reclama a concessão de prazo para saneamento do vício, antes de se cogitar do indeferimento da exordial, a sua realização espontânea pela parte, ainda que em data diversa do protocolo da petição inicial, demonstra o pleno atendimento dos pressupostos processuais para </w:t>
      </w:r>
      <w:r w:rsidR="00E6577A">
        <w:rPr>
          <w:sz w:val="24"/>
          <w:szCs w:val="24"/>
        </w:rPr>
        <w:t xml:space="preserve">a </w:t>
      </w:r>
      <w:r w:rsidRPr="0058052B">
        <w:rPr>
          <w:sz w:val="24"/>
          <w:szCs w:val="24"/>
        </w:rPr>
        <w:t xml:space="preserve">regular tramitação do feito. Sob esse entendimento, a SBDI-II, por unanimidade, conheceu do recurso ordinário e, no mérito, deu-lhe provimento para afastar a extinção do processo, sem resolução do mérito, e determinar o retorno dos autos ao Tribunal Regional para prosseguimento dos trâmites ulteriores, com prolação de nova decisão, como entender de direito.  </w:t>
      </w:r>
      <w:hyperlink r:id="rId13" w:history="1">
        <w:r w:rsidRPr="0058052B">
          <w:rPr>
            <w:rStyle w:val="Hyperlink"/>
            <w:sz w:val="24"/>
            <w:szCs w:val="24"/>
          </w:rPr>
          <w:t>TST-RO-107-24.2016.5.23.0000</w:t>
        </w:r>
      </w:hyperlink>
      <w:r w:rsidRPr="0058052B">
        <w:rPr>
          <w:sz w:val="24"/>
          <w:szCs w:val="24"/>
          <w:u w:val="single"/>
        </w:rPr>
        <w:t>, SBDI-II, rel. Min. Luiz José Dezena da Silva, 23/6/2020.</w:t>
      </w:r>
    </w:p>
    <w:p w:rsidR="005848D7" w:rsidRPr="00512D1B" w:rsidRDefault="005848D7" w:rsidP="001144F9">
      <w:pPr>
        <w:spacing w:line="360" w:lineRule="auto"/>
        <w:jc w:val="both"/>
        <w:rPr>
          <w:u w:val="single"/>
        </w:rPr>
      </w:pPr>
    </w:p>
    <w:p w:rsidR="009A76A2" w:rsidRPr="006717E0" w:rsidRDefault="009A76A2" w:rsidP="009A76A2">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iCs/>
          <w:sz w:val="28"/>
          <w:lang w:val="pt-BR"/>
        </w:rPr>
      </w:pPr>
      <w:r w:rsidRPr="006717E0">
        <w:rPr>
          <w:rFonts w:ascii="Times New Roman" w:hAnsi="Times New Roman" w:cs="Times New Roman"/>
          <w:b/>
          <w:bCs/>
          <w:iCs/>
          <w:sz w:val="28"/>
          <w:lang w:val="pt-BR"/>
        </w:rPr>
        <w:t>TURMAS</w:t>
      </w:r>
    </w:p>
    <w:p w:rsidR="009A76A2" w:rsidRPr="004B3120" w:rsidRDefault="009A76A2" w:rsidP="009A76A2">
      <w:pPr>
        <w:pStyle w:val="Cabealho"/>
        <w:tabs>
          <w:tab w:val="clear" w:pos="4419"/>
          <w:tab w:val="clear" w:pos="8838"/>
        </w:tabs>
        <w:jc w:val="center"/>
        <w:rPr>
          <w:i/>
        </w:rPr>
      </w:pPr>
      <w:r w:rsidRPr="004B3120">
        <w:rPr>
          <w:i/>
        </w:rPr>
        <w:t xml:space="preserve">Transcrição de ementas selecionadas </w:t>
      </w:r>
      <w:r w:rsidR="009D2FB1" w:rsidRPr="004B3120">
        <w:rPr>
          <w:i/>
        </w:rPr>
        <w:t>n</w:t>
      </w:r>
      <w:r w:rsidRPr="004B3120">
        <w:rPr>
          <w:i/>
        </w:rPr>
        <w:t>as sessões de julgamento das Turmas do TST.</w:t>
      </w:r>
    </w:p>
    <w:p w:rsidR="004B3120" w:rsidRPr="00512D1B" w:rsidRDefault="004B3120" w:rsidP="001144F9">
      <w:pPr>
        <w:jc w:val="both"/>
        <w:outlineLvl w:val="0"/>
        <w:rPr>
          <w:rFonts w:eastAsiaTheme="minorEastAsia"/>
          <w:color w:val="000000"/>
        </w:rPr>
      </w:pPr>
      <w:bookmarkStart w:id="0" w:name="Ementa"/>
      <w:bookmarkStart w:id="1" w:name="tempEmenta"/>
    </w:p>
    <w:p w:rsidR="00512D1B" w:rsidRPr="002F21E0" w:rsidRDefault="00512D1B" w:rsidP="00512D1B">
      <w:pPr>
        <w:jc w:val="both"/>
        <w:outlineLvl w:val="0"/>
        <w:rPr>
          <w:i/>
          <w:sz w:val="24"/>
          <w:szCs w:val="24"/>
        </w:rPr>
      </w:pPr>
      <w:r w:rsidRPr="002F21E0">
        <w:rPr>
          <w:i/>
          <w:sz w:val="24"/>
          <w:szCs w:val="24"/>
        </w:rPr>
        <w:t xml:space="preserve">“RECURSO DE REVISTA INTERPOSTO NA VIGÊNCIA DA LEI Nº 13.015/2014. ILEGITIMIDADE ATIVA “AD </w:t>
      </w:r>
      <w:proofErr w:type="gramStart"/>
      <w:r w:rsidRPr="002F21E0">
        <w:rPr>
          <w:i/>
          <w:sz w:val="24"/>
          <w:szCs w:val="24"/>
        </w:rPr>
        <w:t>CAUSAM</w:t>
      </w:r>
      <w:proofErr w:type="gramEnd"/>
      <w:r w:rsidRPr="002F21E0">
        <w:rPr>
          <w:i/>
          <w:sz w:val="24"/>
          <w:szCs w:val="24"/>
        </w:rPr>
        <w:t>”. “DUMPING” SOCIAL. INDENIZAÇÃO.</w:t>
      </w:r>
      <w:r w:rsidR="0086308A">
        <w:rPr>
          <w:i/>
          <w:sz w:val="24"/>
          <w:szCs w:val="24"/>
        </w:rPr>
        <w:t xml:space="preserve"> </w:t>
      </w:r>
      <w:r w:rsidRPr="002F21E0">
        <w:rPr>
          <w:i/>
          <w:sz w:val="24"/>
          <w:szCs w:val="24"/>
        </w:rPr>
        <w:t>Esta Corte Superior tem entendimento de que o reclamante não possui legitimidade ativa “ad causam” para, em reclamatória trabalhista individual, requerer indenização por dano social (dumping social), uma vez que esta é direcionada à tutela de interesses difusos e coletivos, ultrapassando a esfera pessoal do trabalhador. Recurso de revista conhecido e provido, no tema.”</w:t>
      </w:r>
      <w:r w:rsidRPr="002F21E0">
        <w:rPr>
          <w:sz w:val="24"/>
          <w:szCs w:val="24"/>
        </w:rPr>
        <w:t xml:space="preserve"> (</w:t>
      </w:r>
      <w:bookmarkStart w:id="2" w:name="NumProc"/>
      <w:r>
        <w:rPr>
          <w:bCs/>
          <w:sz w:val="24"/>
          <w:szCs w:val="24"/>
        </w:rPr>
        <w:fldChar w:fldCharType="begin"/>
      </w:r>
      <w:r>
        <w:rPr>
          <w:bCs/>
          <w:sz w:val="24"/>
          <w:szCs w:val="24"/>
        </w:rPr>
        <w:instrText xml:space="preserve"> HYPERLINK "http://aplicacao4.tst.jus.br/consultaProcessual/consultaTstNumUnica.do?consulta=Consultar&amp;conscsjt=&amp;numeroTst=1883&amp;digitoTst=42&amp;anoTst=2014&amp;orgaoTst=5&amp;tribunalTst=&amp;varaTst=" </w:instrText>
      </w:r>
      <w:r>
        <w:rPr>
          <w:bCs/>
          <w:sz w:val="24"/>
          <w:szCs w:val="24"/>
        </w:rPr>
        <w:fldChar w:fldCharType="separate"/>
      </w:r>
      <w:r w:rsidRPr="002F21E0">
        <w:rPr>
          <w:rStyle w:val="Hyperlink"/>
          <w:sz w:val="24"/>
          <w:szCs w:val="24"/>
        </w:rPr>
        <w:t>TST-RR-1883-42.2014.5.03.0176</w:t>
      </w:r>
      <w:bookmarkEnd w:id="2"/>
      <w:r>
        <w:rPr>
          <w:bCs/>
          <w:sz w:val="24"/>
          <w:szCs w:val="24"/>
        </w:rPr>
        <w:fldChar w:fldCharType="end"/>
      </w:r>
      <w:r w:rsidRPr="002F21E0">
        <w:rPr>
          <w:sz w:val="24"/>
          <w:szCs w:val="24"/>
        </w:rPr>
        <w:t xml:space="preserve">, 1ª Turma, rel. Min. Walmir Oliveira Costa, julgado em </w:t>
      </w:r>
      <w:r>
        <w:rPr>
          <w:sz w:val="24"/>
          <w:szCs w:val="24"/>
        </w:rPr>
        <w:t>24/</w:t>
      </w:r>
      <w:r w:rsidRPr="002F21E0">
        <w:rPr>
          <w:sz w:val="24"/>
          <w:szCs w:val="24"/>
        </w:rPr>
        <w:t>6</w:t>
      </w:r>
      <w:r>
        <w:rPr>
          <w:sz w:val="24"/>
          <w:szCs w:val="24"/>
        </w:rPr>
        <w:t>/</w:t>
      </w:r>
      <w:r w:rsidRPr="002F21E0">
        <w:rPr>
          <w:sz w:val="24"/>
          <w:szCs w:val="24"/>
        </w:rPr>
        <w:t>2020</w:t>
      </w:r>
      <w:r>
        <w:rPr>
          <w:sz w:val="24"/>
          <w:szCs w:val="24"/>
        </w:rPr>
        <w:t>.</w:t>
      </w:r>
      <w:r w:rsidRPr="002F21E0">
        <w:rPr>
          <w:sz w:val="24"/>
          <w:szCs w:val="24"/>
        </w:rPr>
        <w:t>)</w:t>
      </w:r>
    </w:p>
    <w:p w:rsidR="00512D1B" w:rsidRPr="0058052B" w:rsidRDefault="00512D1B" w:rsidP="00512D1B">
      <w:pPr>
        <w:jc w:val="both"/>
        <w:outlineLvl w:val="0"/>
        <w:rPr>
          <w:rFonts w:eastAsiaTheme="minorEastAsia"/>
          <w:b/>
          <w:i/>
          <w:color w:val="000000"/>
        </w:rPr>
      </w:pPr>
    </w:p>
    <w:p w:rsidR="00512D1B" w:rsidRPr="00512D1B" w:rsidRDefault="00512D1B" w:rsidP="00512D1B">
      <w:pPr>
        <w:pStyle w:val="Ementa"/>
        <w:ind w:left="0"/>
        <w:outlineLvl w:val="0"/>
        <w:rPr>
          <w:rFonts w:ascii="Times New Roman" w:hAnsi="Times New Roman" w:cs="Times New Roman"/>
          <w:lang w:val="pt-BR"/>
        </w:rPr>
      </w:pPr>
      <w:proofErr w:type="gramStart"/>
      <w:r w:rsidRPr="00512D1B">
        <w:rPr>
          <w:rFonts w:ascii="Times New Roman" w:hAnsi="Times New Roman" w:cs="Times New Roman"/>
          <w:i/>
          <w:color w:val="000000" w:themeColor="text1"/>
          <w:lang w:val="pt-BR"/>
        </w:rPr>
        <w:t>“</w:t>
      </w:r>
      <w:r w:rsidRPr="00512D1B">
        <w:rPr>
          <w:rFonts w:ascii="Times New Roman" w:hAnsi="Times New Roman" w:cs="Times New Roman"/>
          <w:bCs/>
          <w:i/>
          <w:color w:val="000000" w:themeColor="text1"/>
          <w:lang w:val="pt-BR"/>
        </w:rPr>
        <w:t>DANOS MORAIS E MATERIAIS.</w:t>
      </w:r>
      <w:proofErr w:type="gramEnd"/>
      <w:r w:rsidRPr="00512D1B">
        <w:rPr>
          <w:rFonts w:ascii="Times New Roman" w:hAnsi="Times New Roman" w:cs="Times New Roman"/>
          <w:bCs/>
          <w:i/>
          <w:color w:val="000000" w:themeColor="text1"/>
          <w:lang w:val="pt-BR"/>
        </w:rPr>
        <w:t xml:space="preserve"> DISPENSA DE PROFESSOR NO INÍCIO DO SEGUNDO SEMESTRE LETIVO. DIFICULDADE DE RECOLOCAÇÃO NO MERCADO DE TRABALHO. PERDA DE UMA CHANCE. INDENIZAÇÃO DEVIDA. Trata-se de pedido de indenização por danos morais e materiais, em razão da dispensa do autor, na condição de professor, após o início do segundo semestre letivo, com base na teoria da perda de uma chance. A pretensão autoral está fundamentada na alegação de que a dispensa imotivada de professor no início do semestre letivo configura ato abusivo do empregador, uma vez que frustra a expectativa de continuidade do vínculo empregatício e dificulta a sua recolocação no mercado de trabalho. Segundo o Regional, o reclamante foi dispensado imotivadamente do emprego em 18/7/2016, logo após o início do segundo semestre letivo. Em respeito ao artigo 422 do Código Civil, necessário verificar, preliminarmente, se houve, realmente, ato ilícito pela quebra da boa-fé objetiva. Ressalta-se, ainda, que a indenização pela perda de uma chance demanda a existência de um dano real, atual e certo, a partir de um juízo de probabilidade. O Tribunal a quo concluiu que a dispensa sem justa causa do professor, após o início do semestre letivo, por si só, não configura abuso de direito, estando inserido no âmbito do poder diretivo do empregador, de natureza </w:t>
      </w:r>
      <w:proofErr w:type="spellStart"/>
      <w:r w:rsidRPr="00512D1B">
        <w:rPr>
          <w:rFonts w:ascii="Times New Roman" w:hAnsi="Times New Roman" w:cs="Times New Roman"/>
          <w:bCs/>
          <w:i/>
          <w:color w:val="000000" w:themeColor="text1"/>
          <w:lang w:val="pt-BR"/>
        </w:rPr>
        <w:t>potestativa</w:t>
      </w:r>
      <w:proofErr w:type="spellEnd"/>
      <w:r w:rsidRPr="00512D1B">
        <w:rPr>
          <w:rFonts w:ascii="Times New Roman" w:hAnsi="Times New Roman" w:cs="Times New Roman"/>
          <w:bCs/>
          <w:i/>
          <w:color w:val="000000" w:themeColor="text1"/>
          <w:lang w:val="pt-BR"/>
        </w:rPr>
        <w:t xml:space="preserve">. O Regional considerou que seriam devidas tão somente as verbas decorrentes da rescisão contratual imotivada. Todavia, esta Corte especializada vem entendendo que a dispensa imotivada do professor, logo após o início do semestre letivo, consiste em abuso do poder diretivo do empregador, na medida em que, além de frustrar as expectativas quanto à continuidade do vínculo empregatício, inviabiliza a recolocação do profissional no mercado de trabalho. Precedentes. Desse modo, a despeito das peculiaridades inerentes à atividade de professor, a instituição de ensino reclamada, ao dispensá-lo, sem justa causa, após o início do segundo semestre letivo de 2016, </w:t>
      </w:r>
      <w:proofErr w:type="gramStart"/>
      <w:r w:rsidRPr="00512D1B">
        <w:rPr>
          <w:rFonts w:ascii="Times New Roman" w:hAnsi="Times New Roman" w:cs="Times New Roman"/>
          <w:bCs/>
          <w:i/>
          <w:color w:val="000000" w:themeColor="text1"/>
          <w:lang w:val="pt-BR"/>
        </w:rPr>
        <w:t>incorreu</w:t>
      </w:r>
      <w:proofErr w:type="gramEnd"/>
      <w:r w:rsidRPr="00512D1B">
        <w:rPr>
          <w:rFonts w:ascii="Times New Roman" w:hAnsi="Times New Roman" w:cs="Times New Roman"/>
          <w:bCs/>
          <w:i/>
          <w:color w:val="000000" w:themeColor="text1"/>
          <w:lang w:val="pt-BR"/>
        </w:rPr>
        <w:t xml:space="preserve"> em abuso de direito, porquanto desrespeitados os princípios da boa-fé objetiva e do valor social do trabalho, previstos respectivamente, nos artigos 422 do Código Civil, e 1º, inciso IV, da Constituição da República. Ao contrário do entendimento adotado pela Corte Regional, uma vez iniciado o semestre letivo, a probabilidade de recolocação do professor em outra instituição de ensino é bastante prejudicada, na medida em que </w:t>
      </w:r>
      <w:proofErr w:type="gramStart"/>
      <w:r w:rsidRPr="00512D1B">
        <w:rPr>
          <w:rFonts w:ascii="Times New Roman" w:hAnsi="Times New Roman" w:cs="Times New Roman"/>
          <w:bCs/>
          <w:i/>
          <w:color w:val="000000" w:themeColor="text1"/>
          <w:lang w:val="pt-BR"/>
        </w:rPr>
        <w:t>presume-se</w:t>
      </w:r>
      <w:proofErr w:type="gramEnd"/>
      <w:r w:rsidRPr="00512D1B">
        <w:rPr>
          <w:rFonts w:ascii="Times New Roman" w:hAnsi="Times New Roman" w:cs="Times New Roman"/>
          <w:bCs/>
          <w:i/>
          <w:color w:val="000000" w:themeColor="text1"/>
          <w:lang w:val="pt-BR"/>
        </w:rPr>
        <w:t xml:space="preserve"> estarem preenchidos os demais postos de trabalho de professor. Assim, tendo em vista que o rompimento imotivado do professor após início das atividades letivas dificulta a sua recolocação no mercado de trabalho, constata-se que o procedimento adotado pela instituição de ensino reclamada ultrapassou os limites do poder </w:t>
      </w:r>
      <w:r w:rsidRPr="00512D1B">
        <w:rPr>
          <w:rFonts w:ascii="Times New Roman" w:hAnsi="Times New Roman" w:cs="Times New Roman"/>
          <w:bCs/>
          <w:i/>
          <w:color w:val="000000" w:themeColor="text1"/>
          <w:lang w:val="pt-BR"/>
        </w:rPr>
        <w:lastRenderedPageBreak/>
        <w:t xml:space="preserve">diretivo, sendo o pagamento de indenização por danos morais e materiais medida que se impõe, porquanto configurada a perda de uma chance, consoante o disposto no artigo 927 do Código Civil.  </w:t>
      </w:r>
      <w:proofErr w:type="gramStart"/>
      <w:r w:rsidRPr="00512D1B">
        <w:rPr>
          <w:rFonts w:ascii="Times New Roman" w:hAnsi="Times New Roman" w:cs="Times New Roman"/>
          <w:bCs/>
          <w:i/>
          <w:color w:val="000000" w:themeColor="text1"/>
          <w:lang w:val="pt-BR"/>
        </w:rPr>
        <w:t>Recurso conhecido e provido.</w:t>
      </w:r>
      <w:r w:rsidRPr="00512D1B">
        <w:rPr>
          <w:rFonts w:ascii="Times New Roman" w:hAnsi="Times New Roman" w:cs="Times New Roman"/>
          <w:i/>
          <w:color w:val="000000" w:themeColor="text1"/>
          <w:lang w:val="pt-BR"/>
        </w:rPr>
        <w:t>”</w:t>
      </w:r>
      <w:proofErr w:type="gramEnd"/>
      <w:r w:rsidRPr="00512D1B">
        <w:rPr>
          <w:rFonts w:ascii="Times New Roman" w:hAnsi="Times New Roman" w:cs="Times New Roman"/>
          <w:i/>
          <w:color w:val="000000" w:themeColor="text1"/>
          <w:lang w:val="pt-BR"/>
        </w:rPr>
        <w:t xml:space="preserve"> </w:t>
      </w:r>
      <w:r w:rsidRPr="00512D1B">
        <w:rPr>
          <w:rFonts w:ascii="Times New Roman" w:hAnsi="Times New Roman" w:cs="Times New Roman"/>
          <w:color w:val="000000" w:themeColor="text1"/>
          <w:lang w:val="pt-BR"/>
        </w:rPr>
        <w:t>(</w:t>
      </w:r>
      <w:hyperlink r:id="rId14" w:history="1">
        <w:r w:rsidRPr="00512D1B">
          <w:rPr>
            <w:rStyle w:val="Hyperlink"/>
            <w:rFonts w:ascii="Times New Roman" w:hAnsi="Times New Roman"/>
            <w:lang w:val="pt-BR"/>
          </w:rPr>
          <w:t>TST-RR-1789-71.2016.5.10.0001</w:t>
        </w:r>
      </w:hyperlink>
      <w:r w:rsidRPr="00512D1B">
        <w:rPr>
          <w:rFonts w:ascii="Times New Roman" w:hAnsi="Times New Roman" w:cs="Times New Roman"/>
          <w:color w:val="000000" w:themeColor="text1"/>
          <w:lang w:val="pt-BR"/>
        </w:rPr>
        <w:t>, 2ª Turma, rel. Min. José Roberto Freire Pimenta, julgado em 17/6/2020.)</w:t>
      </w:r>
    </w:p>
    <w:p w:rsidR="00512D1B" w:rsidRPr="009E30DF" w:rsidRDefault="00512D1B" w:rsidP="00512D1B">
      <w:pPr>
        <w:jc w:val="both"/>
        <w:outlineLvl w:val="0"/>
        <w:rPr>
          <w:rFonts w:eastAsiaTheme="minorEastAsia"/>
          <w:i/>
          <w:color w:val="000000"/>
        </w:rPr>
      </w:pPr>
    </w:p>
    <w:p w:rsidR="00512D1B" w:rsidRPr="00512D1B" w:rsidRDefault="00512D1B" w:rsidP="00512D1B">
      <w:pPr>
        <w:pStyle w:val="Ementa"/>
        <w:ind w:left="0"/>
        <w:rPr>
          <w:rFonts w:ascii="Times New Roman" w:hAnsi="Times New Roman" w:cs="Times New Roman"/>
          <w:i/>
          <w:lang w:val="pt-BR"/>
        </w:rPr>
      </w:pPr>
      <w:r w:rsidRPr="00512D1B">
        <w:rPr>
          <w:rFonts w:ascii="Times New Roman" w:hAnsi="Times New Roman" w:cs="Times New Roman"/>
          <w:i/>
          <w:color w:val="auto"/>
          <w:lang w:val="pt-BR"/>
        </w:rPr>
        <w:t xml:space="preserve">“RECURSO DE REVISTA DA RECLAMADA – DESERÇÃO DO RECURSO ORDINÁRIO – SEGURO GARANTIA JUDICIAL – APÓLICE DE SEGURO </w:t>
      </w:r>
      <w:r w:rsidRPr="00512D1B">
        <w:rPr>
          <w:rFonts w:ascii="Times New Roman" w:hAnsi="Times New Roman" w:cs="Times New Roman"/>
          <w:i/>
          <w:color w:val="auto"/>
          <w:spacing w:val="10"/>
          <w:lang w:val="pt-BR"/>
        </w:rPr>
        <w:t>COM VIGÊNCIA DETERMINADA – ART. 899,</w:t>
      </w:r>
      <w:r w:rsidRPr="00512D1B">
        <w:rPr>
          <w:rFonts w:ascii="Times New Roman" w:hAnsi="Times New Roman" w:cs="Times New Roman"/>
          <w:i/>
          <w:color w:val="auto"/>
          <w:lang w:val="pt-BR"/>
        </w:rPr>
        <w:t xml:space="preserve"> § 11, DA CLT INTRODUZIDO PELA LEI 13.467/17 – CABIMENTO - TRANSCENDÊNCIA JURÍDICA RECONHECIDA. </w:t>
      </w:r>
      <w:proofErr w:type="gramStart"/>
      <w:r w:rsidRPr="00512D1B">
        <w:rPr>
          <w:rFonts w:ascii="Times New Roman" w:hAnsi="Times New Roman" w:cs="Times New Roman"/>
          <w:i/>
          <w:color w:val="auto"/>
          <w:lang w:val="pt-BR"/>
        </w:rPr>
        <w:t>1</w:t>
      </w:r>
      <w:proofErr w:type="gramEnd"/>
      <w:r w:rsidRPr="00512D1B">
        <w:rPr>
          <w:rFonts w:ascii="Times New Roman" w:hAnsi="Times New Roman" w:cs="Times New Roman"/>
          <w:i/>
          <w:color w:val="auto"/>
          <w:lang w:val="pt-BR"/>
        </w:rPr>
        <w:t xml:space="preserve">. Nos termos do art. 896-A, § 1º, IV, da CLT, constitui transcendência jurídica da causa a existência de questão nova em torno da interpretação da legislação trabalhista. 2. In </w:t>
      </w:r>
      <w:proofErr w:type="spellStart"/>
      <w:r w:rsidRPr="00512D1B">
        <w:rPr>
          <w:rFonts w:ascii="Times New Roman" w:hAnsi="Times New Roman" w:cs="Times New Roman"/>
          <w:i/>
          <w:color w:val="auto"/>
          <w:lang w:val="pt-BR"/>
        </w:rPr>
        <w:t>casu</w:t>
      </w:r>
      <w:proofErr w:type="spellEnd"/>
      <w:r w:rsidRPr="00512D1B">
        <w:rPr>
          <w:rFonts w:ascii="Times New Roman" w:hAnsi="Times New Roman" w:cs="Times New Roman"/>
          <w:i/>
          <w:color w:val="auto"/>
          <w:lang w:val="pt-BR"/>
        </w:rPr>
        <w:t xml:space="preserve">, o debate jurídico diz respeito à possibilidade de apresentação de seguro-garantia judicial, em substituição ao depósito recursal, conforme previsão do art. 899, § 11, da CLT, introduzido pela Lei 13.467/17, com cláusula de vigência determinada da apólice. 3. No caso, o TRT não conheceu do recurso ordinário patronal, por deserção, diante da inexistência, no seguro-garantia judicial apresentado, quando da interposição do apelo, de cláusula com previsão de vigência indeterminada do seguro. 4. Como é cediço, o § 11 do art. 899 da CLT estatui a possibilidade de substituição do depósito recursal pelo seguro-garantia judicial ou pela fiança bancária, sem a restrição imposta pela Corte de origem. 5. No processo do trabalho, o intuito do legislador com a previsão da possibilidade de substituição de pecúnia por seguro-garantia judicial (ou fiança bancária) foi desonerar o devedor do meio mais gravoso de execução, princípio orientador da fase judicial de expropriação. A necessidade de deslocamento de alto volume de capital do devedor para a execução, notadas vezes em um único processo, inviabiliza a própria atividade do empreendimento. Daí a novidade albergada pela Lei 13.467/17, e com o mesmo escopo pelo art. 835, § 2º, do CPC/15. A regra celetista mencionada não se traduz, ademais, em mera atenção ao princípio de que a execução judicial ocorra pelo meio menos danoso ao devedor, mas tem densidade maior emprestada pelos fundamentos do Estado Democrático de Direito concernentes à dignidade da pessoa humana e aos valores sociais do trabalho e da livre </w:t>
      </w:r>
      <w:proofErr w:type="gramStart"/>
      <w:r w:rsidRPr="00512D1B">
        <w:rPr>
          <w:rFonts w:ascii="Times New Roman" w:hAnsi="Times New Roman" w:cs="Times New Roman"/>
          <w:i/>
          <w:color w:val="auto"/>
          <w:lang w:val="pt-BR"/>
        </w:rPr>
        <w:t>iniciativa</w:t>
      </w:r>
      <w:proofErr w:type="gramEnd"/>
      <w:r w:rsidRPr="00512D1B">
        <w:rPr>
          <w:rFonts w:ascii="Times New Roman" w:hAnsi="Times New Roman" w:cs="Times New Roman"/>
          <w:i/>
          <w:color w:val="auto"/>
          <w:lang w:val="pt-BR"/>
        </w:rPr>
        <w:t xml:space="preserve">. 6. Nesse sentido, o legislador teve por fim a preservação da atividade do devedor, bem assim dos outros contratos de trabalho a ele vinculados, sem retirar a liquidez do crédito depositado em juízo, pois equivalente a dinheiro e afiançado por uma entidade seguradora (seguro garantia judicial). 7. Descabe, pois, restringir a aplicação do novel comando trazido pelo art. 899, § 11, da CLT, </w:t>
      </w:r>
      <w:proofErr w:type="spellStart"/>
      <w:r w:rsidRPr="00512D1B">
        <w:rPr>
          <w:rFonts w:ascii="Times New Roman" w:hAnsi="Times New Roman" w:cs="Times New Roman"/>
          <w:i/>
          <w:color w:val="auto"/>
          <w:lang w:val="pt-BR"/>
        </w:rPr>
        <w:t>apondo-lhe</w:t>
      </w:r>
      <w:proofErr w:type="spellEnd"/>
      <w:r w:rsidRPr="00512D1B">
        <w:rPr>
          <w:rFonts w:ascii="Times New Roman" w:hAnsi="Times New Roman" w:cs="Times New Roman"/>
          <w:i/>
          <w:color w:val="auto"/>
          <w:lang w:val="pt-BR"/>
        </w:rPr>
        <w:t xml:space="preserve"> limites que o legislador não matizou, seja no processo civil, seja no trabalhista, como o requisito de duração indeterminada da apólice de seguro requerido pelo TRT, exigência, ademais, contrária ao que dispõe o art. 760 do CC, que prevê a necessidade, para o contrato de seguro, de cláusula com “o início e o fim de sua validade”. 8. Por todo o exposto, o acórdão regional atenta contra o dispositivo da CLT, retirando-lhe a eficácia e merecendo reforma, a fim de afastar a deserção do recurso ordinário da Reclamada. </w:t>
      </w:r>
      <w:proofErr w:type="gramStart"/>
      <w:r w:rsidRPr="00512D1B">
        <w:rPr>
          <w:rFonts w:ascii="Times New Roman" w:hAnsi="Times New Roman" w:cs="Times New Roman"/>
          <w:i/>
          <w:color w:val="auto"/>
          <w:lang w:val="pt-BR"/>
        </w:rPr>
        <w:t>Recurso de revista provido</w:t>
      </w:r>
      <w:r w:rsidRPr="00512D1B">
        <w:rPr>
          <w:rFonts w:ascii="Times New Roman" w:hAnsi="Times New Roman" w:cs="Times New Roman"/>
          <w:i/>
          <w:color w:val="000000" w:themeColor="text1"/>
          <w:lang w:val="pt-BR"/>
        </w:rPr>
        <w:t>.”</w:t>
      </w:r>
      <w:proofErr w:type="gramEnd"/>
      <w:r w:rsidRPr="00512D1B">
        <w:rPr>
          <w:rFonts w:ascii="Times New Roman" w:hAnsi="Times New Roman" w:cs="Times New Roman"/>
          <w:color w:val="000000" w:themeColor="text1"/>
          <w:lang w:val="pt-BR"/>
        </w:rPr>
        <w:t xml:space="preserve"> (</w:t>
      </w:r>
      <w:hyperlink r:id="rId15" w:history="1">
        <w:r w:rsidRPr="00512D1B">
          <w:rPr>
            <w:rStyle w:val="Hyperlink"/>
            <w:rFonts w:ascii="Times New Roman" w:hAnsi="Times New Roman"/>
            <w:lang w:val="pt-BR"/>
          </w:rPr>
          <w:t>TST-RR-10537-56.2016.5.03.0173</w:t>
        </w:r>
      </w:hyperlink>
      <w:r w:rsidRPr="00512D1B">
        <w:rPr>
          <w:rFonts w:ascii="Times New Roman" w:hAnsi="Times New Roman" w:cs="Times New Roman"/>
          <w:color w:val="000000" w:themeColor="text1"/>
          <w:lang w:val="pt-BR"/>
        </w:rPr>
        <w:t xml:space="preserve">, 4ª Turma, rel. Min. </w:t>
      </w:r>
      <w:r w:rsidRPr="00512D1B">
        <w:rPr>
          <w:rFonts w:ascii="Times New Roman" w:hAnsi="Times New Roman" w:cs="Times New Roman"/>
          <w:bCs/>
          <w:color w:val="000000" w:themeColor="text1"/>
          <w:shd w:val="clear" w:color="auto" w:fill="FFFFFF"/>
          <w:lang w:val="pt-BR"/>
        </w:rPr>
        <w:t>Ives Gandra Martins Filho</w:t>
      </w:r>
      <w:r w:rsidRPr="00512D1B">
        <w:rPr>
          <w:rFonts w:ascii="Times New Roman" w:hAnsi="Times New Roman" w:cs="Times New Roman"/>
          <w:color w:val="000000" w:themeColor="text1"/>
          <w:lang w:val="pt-BR"/>
        </w:rPr>
        <w:t>, julgado em 16/6/2020.)</w:t>
      </w:r>
    </w:p>
    <w:p w:rsidR="00512D1B" w:rsidRPr="0058052B" w:rsidRDefault="00512D1B" w:rsidP="00512D1B">
      <w:pPr>
        <w:jc w:val="both"/>
        <w:outlineLvl w:val="0"/>
        <w:rPr>
          <w:rFonts w:eastAsiaTheme="minorEastAsia"/>
          <w:b/>
          <w:i/>
          <w:color w:val="000000"/>
        </w:rPr>
      </w:pPr>
    </w:p>
    <w:p w:rsidR="00512D1B" w:rsidRPr="00512D1B" w:rsidRDefault="00512D1B" w:rsidP="00512D1B">
      <w:pPr>
        <w:pStyle w:val="Ementa"/>
        <w:ind w:left="0"/>
        <w:rPr>
          <w:rFonts w:ascii="Times New Roman" w:hAnsi="Times New Roman" w:cs="Times New Roman"/>
          <w:i/>
          <w:lang w:val="pt-BR"/>
        </w:rPr>
      </w:pPr>
      <w:r w:rsidRPr="00512D1B">
        <w:rPr>
          <w:rFonts w:ascii="Times New Roman" w:hAnsi="Times New Roman" w:cs="Times New Roman"/>
          <w:i/>
          <w:color w:val="auto"/>
          <w:lang w:val="pt-BR"/>
        </w:rPr>
        <w:t xml:space="preserve">“RECURSO DE REVISTA. ACÓRDÃO REGIONAL PUBLICADO NA VIGÊNCIA DA LEI Nº 13.015/2014 E ANTERIORMENTE À LEI Nº 13.467/2017. </w:t>
      </w:r>
      <w:proofErr w:type="gramStart"/>
      <w:r w:rsidRPr="00512D1B">
        <w:rPr>
          <w:rFonts w:ascii="Times New Roman" w:hAnsi="Times New Roman" w:cs="Times New Roman"/>
          <w:i/>
          <w:color w:val="auto"/>
          <w:lang w:val="pt-BR"/>
        </w:rPr>
        <w:t>1</w:t>
      </w:r>
      <w:proofErr w:type="gramEnd"/>
      <w:r w:rsidRPr="00512D1B">
        <w:rPr>
          <w:rFonts w:ascii="Times New Roman" w:hAnsi="Times New Roman" w:cs="Times New Roman"/>
          <w:i/>
          <w:color w:val="auto"/>
          <w:lang w:val="pt-BR"/>
        </w:rPr>
        <w:t xml:space="preserve">. PROVA ILÍCITA. "E-MAIL" CORPORATIVO. ACESSO E UTILIZAÇÃO DO CONTEÚDO DAS MENSAGENS DOS EMPREGADOS PELO EMPREGADOR. POSSIBILIDADE. NÃO CONHECIMENTO. I. Consoante entendimento consolidado neste Tribunal, o e-mail corporativo ostenta a natureza jurídica de ferramenta de trabalho. Daí porque é permitido ao empregador monitorar e rastrear a atividade do empregado em e-mail corporativo, isto é, checar as mensagens, tanto do ponto de vista formal (quantidade, horários de expedição, destinatários etc.) quanto sob o ângulo material ou de conteúdo, não se constituindo em prova ilícita a prova assim obtida. II. Não viola os </w:t>
      </w:r>
      <w:proofErr w:type="spellStart"/>
      <w:r w:rsidRPr="00512D1B">
        <w:rPr>
          <w:rFonts w:ascii="Times New Roman" w:hAnsi="Times New Roman" w:cs="Times New Roman"/>
          <w:i/>
          <w:color w:val="auto"/>
          <w:lang w:val="pt-BR"/>
        </w:rPr>
        <w:t>arts</w:t>
      </w:r>
      <w:proofErr w:type="spellEnd"/>
      <w:r w:rsidRPr="00512D1B">
        <w:rPr>
          <w:rFonts w:ascii="Times New Roman" w:hAnsi="Times New Roman" w:cs="Times New Roman"/>
          <w:i/>
          <w:color w:val="auto"/>
          <w:lang w:val="pt-BR"/>
        </w:rPr>
        <w:t xml:space="preserve">. 5º, X e XII, da Constituição Federal, portanto, o acesso e a utilização, pelo empregador, do conteúdo do “e-mail” corporativo.  III. Acórdão regional proferido em consonância ao entendimento desta Corte Superior. IV. Recurso de revista de que não se conhece. </w:t>
      </w:r>
      <w:r w:rsidRPr="00512D1B">
        <w:rPr>
          <w:rFonts w:ascii="Times New Roman" w:hAnsi="Times New Roman" w:cs="Times New Roman"/>
          <w:color w:val="000000" w:themeColor="text1"/>
          <w:lang w:val="pt-BR"/>
        </w:rPr>
        <w:t>[...]</w:t>
      </w:r>
      <w:r w:rsidRPr="00512D1B">
        <w:rPr>
          <w:rFonts w:ascii="Times New Roman" w:hAnsi="Times New Roman" w:cs="Times New Roman"/>
          <w:i/>
          <w:color w:val="000000" w:themeColor="text1"/>
          <w:lang w:val="pt-BR"/>
        </w:rPr>
        <w:t>”</w:t>
      </w:r>
      <w:r w:rsidRPr="00512D1B">
        <w:rPr>
          <w:rFonts w:ascii="Times New Roman" w:hAnsi="Times New Roman" w:cs="Times New Roman"/>
          <w:color w:val="000000" w:themeColor="text1"/>
          <w:lang w:val="pt-BR"/>
        </w:rPr>
        <w:t xml:space="preserve"> (</w:t>
      </w:r>
      <w:hyperlink r:id="rId16" w:history="1">
        <w:r w:rsidRPr="00512D1B">
          <w:rPr>
            <w:rStyle w:val="Hyperlink"/>
            <w:rFonts w:ascii="Times New Roman" w:hAnsi="Times New Roman"/>
            <w:lang w:val="pt-BR"/>
          </w:rPr>
          <w:t>TST-RR-1347-42.2014.5.12.0059</w:t>
        </w:r>
      </w:hyperlink>
      <w:hyperlink r:id="rId17" w:history="1"/>
      <w:r w:rsidRPr="00512D1B">
        <w:rPr>
          <w:rFonts w:ascii="Times New Roman" w:hAnsi="Times New Roman" w:cs="Times New Roman"/>
          <w:color w:val="000000" w:themeColor="text1"/>
          <w:lang w:val="pt-BR"/>
        </w:rPr>
        <w:t xml:space="preserve">, 4ª Turma, rel. Min. </w:t>
      </w:r>
      <w:r w:rsidRPr="00512D1B">
        <w:rPr>
          <w:rFonts w:ascii="Times New Roman" w:hAnsi="Times New Roman" w:cs="Times New Roman"/>
          <w:bCs/>
          <w:color w:val="000000" w:themeColor="text1"/>
          <w:shd w:val="clear" w:color="auto" w:fill="FFFFFF"/>
          <w:lang w:val="pt-BR"/>
        </w:rPr>
        <w:t>Alexandre Luiz Ramos</w:t>
      </w:r>
      <w:r w:rsidRPr="00512D1B">
        <w:rPr>
          <w:rFonts w:ascii="Times New Roman" w:hAnsi="Times New Roman" w:cs="Times New Roman"/>
          <w:color w:val="000000" w:themeColor="text1"/>
          <w:lang w:val="pt-BR"/>
        </w:rPr>
        <w:t>, julgado em 23/6/2020.)</w:t>
      </w:r>
    </w:p>
    <w:p w:rsidR="00512D1B" w:rsidRPr="0058052B" w:rsidRDefault="00512D1B" w:rsidP="00512D1B">
      <w:pPr>
        <w:jc w:val="both"/>
        <w:outlineLvl w:val="0"/>
        <w:rPr>
          <w:rFonts w:eastAsiaTheme="minorEastAsia"/>
          <w:b/>
          <w:i/>
          <w:color w:val="000000"/>
        </w:rPr>
      </w:pPr>
    </w:p>
    <w:p w:rsidR="00512D1B" w:rsidRPr="000A5BB1" w:rsidRDefault="00512D1B" w:rsidP="00512D1B">
      <w:pPr>
        <w:jc w:val="both"/>
        <w:outlineLvl w:val="0"/>
        <w:rPr>
          <w:i/>
          <w:sz w:val="24"/>
          <w:szCs w:val="24"/>
        </w:rPr>
      </w:pPr>
      <w:proofErr w:type="gramStart"/>
      <w:r w:rsidRPr="000A5BB1">
        <w:rPr>
          <w:i/>
          <w:sz w:val="24"/>
          <w:szCs w:val="24"/>
        </w:rPr>
        <w:t>“AGRAVO.</w:t>
      </w:r>
      <w:proofErr w:type="gramEnd"/>
      <w:r w:rsidRPr="000A5BB1">
        <w:rPr>
          <w:i/>
          <w:sz w:val="24"/>
          <w:szCs w:val="24"/>
        </w:rPr>
        <w:t xml:space="preserve"> AGRAVO DE INSTRUMENTO EM RECURSO DE REVISTA. ACÓRDÃO PUBLICADO NA VIGÊNCIA DA LEI Nº 13.015/2014.</w:t>
      </w:r>
      <w:r>
        <w:rPr>
          <w:sz w:val="24"/>
          <w:szCs w:val="24"/>
        </w:rPr>
        <w:t xml:space="preserve"> [...]</w:t>
      </w:r>
      <w:r w:rsidRPr="000A5BB1">
        <w:t xml:space="preserve"> </w:t>
      </w:r>
      <w:r w:rsidRPr="000A5BB1">
        <w:rPr>
          <w:i/>
          <w:sz w:val="24"/>
          <w:szCs w:val="24"/>
        </w:rPr>
        <w:t xml:space="preserve">DIREITO DE PROPRIEDADE. REMUNERAÇÃO DECORRENTE DA UTILIZAÇÃO DE INVENTO CRIADO POR TRABALHADOR NO CURSO DO CONTRATO DE TRABALHO. ART. 91, § 2º, DA LEI N.º 9.279/96. A presente discussão diz respeito ao direito de remuneração decorrente de propriedade intelectual referente à invenção, previsto no § 2.º do art. 91 da Lei n.º 9.279/96 (Lei de Propriedade Industrial), em que a Vale S.A., utilizando equipamento criado pelos reclamantes, obteve benefícios em razão de significativo aumento de produtividade. A invenção de empresa ou de estabelecimento, disposta no art. 91 da Lei n.º 9.279/96, não decorre da atividade contratada ou da natureza do cargo, mas da contribuição pessoal do empregado ou grupo de empregados, que utiliza recursos, dados, meios, materiais, instalações ou equipamentos do empregador. Nesse caso, o empregador possui o direito exclusivo de licença de exploração, embora a propriedade do invento seja comum, em partes iguais, cabendo, no entanto, ao empregador a obrigação de pagar ao empregado inventor uma compensação (justa remuneração, nos termos do § 2.º do referido dispositivo), exceto expressa disposição contratual em contrário. Sendo mais de um empregado, a parte que lhes couber será dividida igualmente entre todos, ressalvado ajuste em contrário. No caso dos autos, o e. TRT concluiu que o equipamento desenvolvido pelos reclamantes cuida-se de ato inventivo e resultou em melhoria funcional traduzida em maior produtividade para a reclamada, que já utiliza o referido equipamento, de maneira que os empregados fazem jus à justa remuneração, registrando-se, ainda, que “a inovação não resultou da natureza do serviço para o qual os reclamantes foram contratados, mas de contribuição pessoal destes com o concurso de recursos, dados, meios, matérias, instalações e equipamentos da reclamada”. Nesse contexto, em face do quadro fático delineado no </w:t>
      </w:r>
      <w:proofErr w:type="gramStart"/>
      <w:r w:rsidRPr="000A5BB1">
        <w:rPr>
          <w:i/>
          <w:sz w:val="24"/>
          <w:szCs w:val="24"/>
        </w:rPr>
        <w:t>acórdão</w:t>
      </w:r>
      <w:proofErr w:type="gramEnd"/>
      <w:r w:rsidRPr="000A5BB1">
        <w:rPr>
          <w:i/>
          <w:sz w:val="24"/>
          <w:szCs w:val="24"/>
        </w:rPr>
        <w:t xml:space="preserve"> recorrido, estamos a tratar da modalidade invenção de empresa, tendo os empregados, portanto, direito ao recebimento de uma “justa remuneração”, com fundamento no art. 91, § 2.º, da Lei 9.279/96, porquanto o invento não foi objeto de prévia contratação, sendo ele extracontratual, e que a empresa obteve vantagem financeira em face da utilização do invento. Julgados. Não se vislumbra violação do § 2.º do art. 91, § 2.º, da Lei n.º 9.279/96, mas, ao revés, a sua observância. </w:t>
      </w:r>
      <w:proofErr w:type="gramStart"/>
      <w:r w:rsidRPr="000A5BB1">
        <w:rPr>
          <w:i/>
          <w:sz w:val="24"/>
          <w:szCs w:val="24"/>
        </w:rPr>
        <w:t>Agravo não provido.”</w:t>
      </w:r>
      <w:proofErr w:type="gramEnd"/>
      <w:r w:rsidRPr="001A52B8">
        <w:rPr>
          <w:sz w:val="24"/>
          <w:szCs w:val="24"/>
        </w:rPr>
        <w:t xml:space="preserve"> (</w:t>
      </w:r>
      <w:hyperlink r:id="rId18" w:history="1">
        <w:r w:rsidRPr="001922C2">
          <w:rPr>
            <w:rStyle w:val="Hyperlink"/>
            <w:sz w:val="24"/>
            <w:szCs w:val="24"/>
          </w:rPr>
          <w:t>TST-Ag-AIRR-495-51.2014.5.17.0003</w:t>
        </w:r>
      </w:hyperlink>
      <w:r>
        <w:rPr>
          <w:sz w:val="24"/>
          <w:szCs w:val="24"/>
        </w:rPr>
        <w:t>, 5</w:t>
      </w:r>
      <w:r w:rsidRPr="001A52B8">
        <w:rPr>
          <w:sz w:val="24"/>
          <w:szCs w:val="24"/>
        </w:rPr>
        <w:t xml:space="preserve">ª Turma, rel. Min. </w:t>
      </w:r>
      <w:r>
        <w:rPr>
          <w:sz w:val="24"/>
          <w:szCs w:val="24"/>
        </w:rPr>
        <w:t>Breno Medeiros</w:t>
      </w:r>
      <w:r w:rsidRPr="001A52B8">
        <w:rPr>
          <w:sz w:val="24"/>
          <w:szCs w:val="24"/>
        </w:rPr>
        <w:t xml:space="preserve">, julgado em </w:t>
      </w:r>
      <w:r>
        <w:rPr>
          <w:sz w:val="24"/>
          <w:szCs w:val="24"/>
        </w:rPr>
        <w:t>17</w:t>
      </w:r>
      <w:r w:rsidR="00BF0867">
        <w:rPr>
          <w:sz w:val="24"/>
          <w:szCs w:val="24"/>
        </w:rPr>
        <w:t>/</w:t>
      </w:r>
      <w:r>
        <w:rPr>
          <w:sz w:val="24"/>
          <w:szCs w:val="24"/>
        </w:rPr>
        <w:t>6</w:t>
      </w:r>
      <w:r w:rsidR="00BF0867">
        <w:rPr>
          <w:sz w:val="24"/>
          <w:szCs w:val="24"/>
        </w:rPr>
        <w:t>/</w:t>
      </w:r>
      <w:r>
        <w:rPr>
          <w:sz w:val="24"/>
          <w:szCs w:val="24"/>
        </w:rPr>
        <w:t>2020</w:t>
      </w:r>
      <w:r w:rsidR="00F16245">
        <w:rPr>
          <w:sz w:val="24"/>
          <w:szCs w:val="24"/>
        </w:rPr>
        <w:t>.</w:t>
      </w:r>
      <w:r w:rsidRPr="001A52B8">
        <w:rPr>
          <w:sz w:val="24"/>
          <w:szCs w:val="24"/>
        </w:rPr>
        <w:t>)</w:t>
      </w:r>
    </w:p>
    <w:p w:rsidR="00512D1B" w:rsidRPr="0058052B" w:rsidRDefault="00512D1B" w:rsidP="00512D1B">
      <w:pPr>
        <w:jc w:val="both"/>
        <w:outlineLvl w:val="0"/>
        <w:rPr>
          <w:rFonts w:eastAsiaTheme="minorEastAsia"/>
          <w:b/>
          <w:i/>
          <w:color w:val="000000"/>
        </w:rPr>
      </w:pPr>
    </w:p>
    <w:p w:rsidR="00512D1B" w:rsidRDefault="00512D1B" w:rsidP="00512D1B">
      <w:pPr>
        <w:jc w:val="both"/>
        <w:outlineLvl w:val="0"/>
        <w:rPr>
          <w:sz w:val="24"/>
          <w:szCs w:val="24"/>
        </w:rPr>
      </w:pPr>
      <w:proofErr w:type="gramStart"/>
      <w:r w:rsidRPr="001922C2">
        <w:rPr>
          <w:i/>
          <w:sz w:val="24"/>
          <w:szCs w:val="24"/>
        </w:rPr>
        <w:t>“EMBARGOS DE DECLARAÇÃO.</w:t>
      </w:r>
      <w:proofErr w:type="gramEnd"/>
      <w:r w:rsidRPr="001922C2">
        <w:rPr>
          <w:i/>
          <w:sz w:val="24"/>
          <w:szCs w:val="24"/>
        </w:rPr>
        <w:t xml:space="preserve"> TERCEIRIZAÇÃO. ATIVIDADE FIM. APLICAÇÃO DA SÚMULA N.º 331, I, DO TST. POSTERIORES DECISÕES DO E. STF, NO JULGAMENTO DA ADPF Nº 324 E RE Nº 958.252, COM REPERCUSSÃO GERAL E EFEITOS “ERGA OMNES” E VINCULANTE. A questão a ser debatida diz respeito à possibilidade ou não de se reformar decisão anteriormente proferida por este Órgão Colegiado com apoio na Súmula n.º 331, I, do TST pela via dos embargos de declaração opostos, a serem julgados após decisões do e. STF, nos autos da ADPF n.º 324 e do RE n.º 958.252, com repercussão geral e efeitos “erga omnes” e vinculante. Importante registrar, inicialmente, que os embargos de declaração destinam-se a sanar imperfeições intrínsecas porventura existentes no julgado, em casos de obscuridade, contradição ou omissão (art. 897-A da CLT e 1.022 do CPC/2015). Contudo, a jurisprudência admite, excepcionalmente, a utilização dos embargos de declaração para correção de defeitos decorrentes de erro de fato, que ocorrem quando o julgador se equivoca acerca de fato relevante, podendo ensejar a modificação de sua decisão. Precedentes. Tal entendimento jurisprudencial visa naturalmente prestigiar o princípio da celeridade processual, introduzido pelo art. 5.º, LXXVIII, da CF. Isso porque, na prática, evita a desconstituição da decisão pela propositura de ação rescisória. Nessa linha de raciocínio, a partir desse fundamento “obter </w:t>
      </w:r>
      <w:proofErr w:type="spellStart"/>
      <w:r w:rsidRPr="001922C2">
        <w:rPr>
          <w:i/>
          <w:sz w:val="24"/>
          <w:szCs w:val="24"/>
        </w:rPr>
        <w:t>dictum</w:t>
      </w:r>
      <w:proofErr w:type="spellEnd"/>
      <w:r w:rsidRPr="001922C2">
        <w:rPr>
          <w:i/>
          <w:sz w:val="24"/>
          <w:szCs w:val="24"/>
        </w:rPr>
        <w:t xml:space="preserve">”, pode-se concluir que, também com espeque no princípio da celeridade, pela possibilidade de se conceder efeito modificativo da decisão embargada em razão de posterior decisão do e. STF, em sentido oposto, firmada em RE com repercussão geral. Isso porque as decisões do e. STF, com repercussão geral, tem força vinculante em relação aos Tribunais a quo. Vejamos. O regime da repercussão geral foi inserido pela Emenda Constitucional n.º 45/2004, que modificou o art. 102 da Constituição </w:t>
      </w:r>
      <w:r w:rsidRPr="001922C2">
        <w:rPr>
          <w:i/>
          <w:sz w:val="24"/>
          <w:szCs w:val="24"/>
        </w:rPr>
        <w:lastRenderedPageBreak/>
        <w:t xml:space="preserve">Federal, que cuida das competências do STF, dentre essas, a de julgar o recurso extraordinário (RE), </w:t>
      </w:r>
      <w:proofErr w:type="gramStart"/>
      <w:r w:rsidRPr="001922C2">
        <w:rPr>
          <w:i/>
          <w:sz w:val="24"/>
          <w:szCs w:val="24"/>
        </w:rPr>
        <w:t>no</w:t>
      </w:r>
      <w:proofErr w:type="gramEnd"/>
      <w:r w:rsidRPr="001922C2">
        <w:rPr>
          <w:i/>
          <w:sz w:val="24"/>
          <w:szCs w:val="24"/>
        </w:rPr>
        <w:t xml:space="preserve"> qual a parte recorrente invoque ao e. STF a subida de seu recurso, alegando violação de questão constitucional. Em seguida, a repercussão geral foi regulamentada pela Lei n.º 11.418/2006, que acrescentou ao CPC os </w:t>
      </w:r>
      <w:proofErr w:type="spellStart"/>
      <w:r w:rsidRPr="001922C2">
        <w:rPr>
          <w:i/>
          <w:sz w:val="24"/>
          <w:szCs w:val="24"/>
        </w:rPr>
        <w:t>arts</w:t>
      </w:r>
      <w:proofErr w:type="spellEnd"/>
      <w:r w:rsidRPr="001922C2">
        <w:rPr>
          <w:i/>
          <w:sz w:val="24"/>
          <w:szCs w:val="24"/>
        </w:rPr>
        <w:t>. 543-A e 543-B. O primeiro deles estabelece que a decisão que reconhece ou não a repercussão é irrecorrível e que o recurso não deve ser admitido pelo STF quando a questão constitucional de que trata a matéria não oferecer repercussão geral. Também prevê, dentre outros pontos, os efeitos “erga omnes” e vinculante em RE, dispondo que, negada a existência da repercussão geral, a decisão valerá para todos os recursos sobre matéria idêntica, os quais serão indeferidos liminarmente, com a exceção de revisão da tese. Conforme o art. 543-B do CPC</w:t>
      </w:r>
      <w:proofErr w:type="gramStart"/>
      <w:r w:rsidRPr="001922C2">
        <w:rPr>
          <w:i/>
          <w:sz w:val="24"/>
          <w:szCs w:val="24"/>
        </w:rPr>
        <w:t>, cabe</w:t>
      </w:r>
      <w:proofErr w:type="gramEnd"/>
      <w:r w:rsidRPr="001922C2">
        <w:rPr>
          <w:i/>
          <w:sz w:val="24"/>
          <w:szCs w:val="24"/>
        </w:rPr>
        <w:t xml:space="preserve"> ao Tribunal de origem selecionar um ou mais recursos que representam a discussão e encaminhá-los ao STF, suspendendo o andamento dos demais processos até o pronunciamento definitivo da Corte. Assim, estabelece a inadmissibilidade automática dos recursos sobrestados, isto é, quando a repercussão geral for negada, os recursos suspensos estarão automaticamente inadmitidos e, após o julgamento de mérito do RE, tais recursos paralisados serão apreciados pelos tribunais, turmas de uniformização ou turmas recursais, que poderão declará-los prejudicados ou retratar-se. O e. STF poderá cassar ou reformar, liminarmente, decisões contrárias à orientação firmada pela Corte. Nesse contexto, não é recomendável sujeitar eventual decisão proferida em embargos de declaração por esta Turma a sua reforma ou cassação, liminarmente, por decisão do e. STF em face do desrespeito a decisão em RE com repercussão geral e efeitos “erga omnes” e vinculante, ferindo os princípios da economia e celeridade processual. Nesse sentido, a 1.ª Turma do e. Supremo Tribunal Federal, por maioria, nos autos do processo RCL n.º 15724, em 5/5/2020, fixou tese de é possível reajustar decisão anteriormente proferida a nova jurisprudência do seu Plenário antes do julgamento definitivo (trânsito em julgado), ainda que pela via dos embargos de declaração. Restou registrado no voto vencedor do Ministro Alexandre de Moraes que o julgamento dos presentes embargos de declaração é posterior à decisão exarada pelo Plenário do Supremo, no julgamento do Recurso Extraordinário com Agravo (ARE) 791932, que aprovou a tese de repercussão geral (Tema 739), ficando vencida a Ministra Rosa Weber que entendia no sentido de que, a despeito de a tese de repercussão geral ter sido aprovada antes do julgamento dos presentes embargos de declaração, o fato é que, na época do julgamento da reclamação e do agravo regimental, a jurisprudência da Turma daquele Tribunal era diversa. Dito isso, o Plenário do Supremo Tribunal Federal, no dia 30/8/2018, ao julgar a Arguição de Descumprimento de Preceito Fundamental (ADPF) n.º 324 e o Recurso Extraordinário (RE) n.º 958.252, com repercussão geral reconhecida, decidiu que é lícita </w:t>
      </w:r>
      <w:proofErr w:type="gramStart"/>
      <w:r w:rsidRPr="001922C2">
        <w:rPr>
          <w:i/>
          <w:sz w:val="24"/>
          <w:szCs w:val="24"/>
        </w:rPr>
        <w:t>a</w:t>
      </w:r>
      <w:proofErr w:type="gramEnd"/>
      <w:r w:rsidRPr="001922C2">
        <w:rPr>
          <w:i/>
          <w:sz w:val="24"/>
          <w:szCs w:val="24"/>
        </w:rPr>
        <w:t xml:space="preserve"> terceirização em todas as etapas do processo produtivo, ou seja, na atividade-meio e na atividade-fim das empresas. A tese de repercussão geral aprovada no RE n.º 958.252 (Rel. Min. Luiz </w:t>
      </w:r>
      <w:proofErr w:type="spellStart"/>
      <w:r w:rsidRPr="001922C2">
        <w:rPr>
          <w:i/>
          <w:sz w:val="24"/>
          <w:szCs w:val="24"/>
        </w:rPr>
        <w:t>Fux</w:t>
      </w:r>
      <w:proofErr w:type="spellEnd"/>
      <w:r w:rsidRPr="001922C2">
        <w:rPr>
          <w:i/>
          <w:sz w:val="24"/>
          <w:szCs w:val="24"/>
        </w:rPr>
        <w:t xml:space="preserve">), com efeito vinculante para todo o Poder Judiciário, assim restou redigida: “É licita a terceirização ou qualquer outra forma de divisão do trabalho entre pessoas jurídicas distintas, independentemente do objeto social das empresas envolvidas, mantida a responsabilidade subsidiária da empresa contratante” destacamos. Do mesmo modo, no julgamento da ADPF n.º 324, o eminente Relator, Min. Roberto Barroso, ao proceder </w:t>
      </w:r>
      <w:proofErr w:type="gramStart"/>
      <w:r w:rsidRPr="001922C2">
        <w:rPr>
          <w:i/>
          <w:sz w:val="24"/>
          <w:szCs w:val="24"/>
        </w:rPr>
        <w:t>a</w:t>
      </w:r>
      <w:proofErr w:type="gramEnd"/>
      <w:r w:rsidRPr="001922C2">
        <w:rPr>
          <w:i/>
          <w:sz w:val="24"/>
          <w:szCs w:val="24"/>
        </w:rPr>
        <w:t xml:space="preserve"> leitura da ementa de seu voto, assim se manifestou: “I. É lícita a terceirização de toda e qualquer atividade, meio ou fim, não se configurando relação de emprego entre a contratante e o empregado da contratada. 2. Na terceirização, compete à tomadora do serviço: I) zelar pelo cumprimento de todas as normas trabalhistas, de seguridade social e de proteção à saúde e segurança do trabalho incidentes na relação entre a empresa terceirizada e o trabalhador terceirizado; II) assumir a responsabilidade subsidiária pelo descumprimento de obrigações trabalhistas e pela indenização por acidente de trabalho, bem como a responsabilidade previdenciária, nos termos do art. 31 da Lei 8.212/1993” grifamos. Assim ficou assentado na certidão de julgamento: “Decisão: O Tribunal, no mérito, por maioria e nos termos do voto do Relator, julgou procedente a arguição de descumprimento de preceito fundamental, vencidos os Ministros Edson </w:t>
      </w:r>
      <w:proofErr w:type="spellStart"/>
      <w:r w:rsidRPr="001922C2">
        <w:rPr>
          <w:i/>
          <w:sz w:val="24"/>
          <w:szCs w:val="24"/>
        </w:rPr>
        <w:t>Fachin</w:t>
      </w:r>
      <w:proofErr w:type="spellEnd"/>
      <w:r w:rsidRPr="001922C2">
        <w:rPr>
          <w:i/>
          <w:sz w:val="24"/>
          <w:szCs w:val="24"/>
        </w:rPr>
        <w:t xml:space="preserve">, Rosa Weber, Ricardo </w:t>
      </w:r>
      <w:proofErr w:type="spellStart"/>
      <w:r w:rsidRPr="001922C2">
        <w:rPr>
          <w:i/>
          <w:sz w:val="24"/>
          <w:szCs w:val="24"/>
        </w:rPr>
        <w:t>Lewandowski</w:t>
      </w:r>
      <w:proofErr w:type="spellEnd"/>
      <w:r w:rsidRPr="001922C2">
        <w:rPr>
          <w:i/>
          <w:sz w:val="24"/>
          <w:szCs w:val="24"/>
        </w:rPr>
        <w:t xml:space="preserve"> e Marco Aurélio” (</w:t>
      </w:r>
      <w:proofErr w:type="spellStart"/>
      <w:r w:rsidRPr="001922C2">
        <w:rPr>
          <w:i/>
          <w:sz w:val="24"/>
          <w:szCs w:val="24"/>
        </w:rPr>
        <w:t>g.n</w:t>
      </w:r>
      <w:proofErr w:type="spellEnd"/>
      <w:r w:rsidRPr="001922C2">
        <w:rPr>
          <w:i/>
          <w:sz w:val="24"/>
          <w:szCs w:val="24"/>
        </w:rPr>
        <w:t xml:space="preserve">). </w:t>
      </w:r>
      <w:proofErr w:type="gramStart"/>
      <w:r w:rsidRPr="001922C2">
        <w:rPr>
          <w:i/>
          <w:sz w:val="24"/>
          <w:szCs w:val="24"/>
        </w:rPr>
        <w:t>Prevaleceu,</w:t>
      </w:r>
      <w:proofErr w:type="gramEnd"/>
      <w:r w:rsidRPr="001922C2">
        <w:rPr>
          <w:i/>
          <w:sz w:val="24"/>
          <w:szCs w:val="24"/>
        </w:rPr>
        <w:t xml:space="preserve"> em breve síntese, como fundamento o entendimento no sentido de que os postulados da livre concorrência (art. 170, IV) e da livre-iniciativa (art. 170), </w:t>
      </w:r>
      <w:r w:rsidRPr="001922C2">
        <w:rPr>
          <w:i/>
          <w:sz w:val="24"/>
          <w:szCs w:val="24"/>
        </w:rPr>
        <w:lastRenderedPageBreak/>
        <w:t xml:space="preserve">expressamente assentados na Constituição Federal de 1.988, asseguram às empresas liberdade em busca de melhores resultados e maior competitividade. Quanto à possível modulação dos efeitos da decisão exarada, resultou firmado, conforme decisão de julgamento da ADPF n.º 324 (Rel. Min. Roberto Barroso), que: “(...) o Relator prestou esclarecimentos no sentido de que a decisão deste julgamento não afeta os processos em relação aos quais tenha havido coisa julgada. Presidiu o julgamento a Ministra </w:t>
      </w:r>
      <w:proofErr w:type="spellStart"/>
      <w:r w:rsidRPr="001922C2">
        <w:rPr>
          <w:i/>
          <w:sz w:val="24"/>
          <w:szCs w:val="24"/>
        </w:rPr>
        <w:t>Cármen</w:t>
      </w:r>
      <w:proofErr w:type="spellEnd"/>
      <w:r w:rsidRPr="001922C2">
        <w:rPr>
          <w:i/>
          <w:sz w:val="24"/>
          <w:szCs w:val="24"/>
        </w:rPr>
        <w:t xml:space="preserve"> Lúcia. Plenário, 30.8.2018”. Nesse contexto, a partir de 30/8/2018, é de observância obrigatória aos processos judiciais em curso ou pendente de julgamento a tese jurídica firmada pelo e. STF no RE n.º 958.252 e na ADPF n.º 324. Assim, não há mais espaço para o reconhecimento do vínculo empregatício com o tomador de serviços sob o fundamento de que houve terceirização ilícita (ou seja, terceirização de atividade essencial, fim ou finalística), ou, ainda, para a aplicação dos direitos previstos em legislação específica ou em normas coletivas da categoria profissional dos empregados da empresa contratante, porque o e. STF, consoante exposto, firmou entendimento de que toda terceirização é sempre lícita, inclusive, repita-se, registrando a impossibilidade de reconhecimento de vínculo empregatício do empregado da prestadora de serviços com o tomador. O art. 1.030, II, do CPC assim dispõe: “encaminhar o processo ao órgão julgador para a realização do juízo de retratação, se o acórdão recorrido divergir do entendimento do Supremo Tribunal Federal ou do Superior Tribunal de Justiça exarado, conforme o caso, nos regimes de repercussão geral ou de recursos repetitivos”. Já o art. 5.º, LXXVIII, da CF estabelece</w:t>
      </w:r>
      <w:r w:rsidRPr="00400165">
        <w:rPr>
          <w:i/>
          <w:sz w:val="24"/>
          <w:szCs w:val="24"/>
        </w:rPr>
        <w:t xml:space="preserve">: “a todos, no âmbito judicial e administrativo, são assegurados a razoável duração do processo e os meios que garantam a celeridade de sua tramitação”. Por todas essas razões, impõe-se o acolhimento dos embargos de declaração para, por aplicação analógica do art. 1.030, II, do CPC de 2015, não conhecer do recurso de revista da parte reclamante, porquanto a terceirização, em atividade meio ou fim, é sempre licita, não comportando o reconhecimento do vínculo empregatício, subsistindo-se apenas a responsabilidade subsidiária, nos termos das já citadas decisões do STF. </w:t>
      </w:r>
      <w:proofErr w:type="gramStart"/>
      <w:r w:rsidRPr="00400165">
        <w:rPr>
          <w:i/>
          <w:sz w:val="24"/>
          <w:szCs w:val="24"/>
        </w:rPr>
        <w:t>Embargos de declaração acolhidos, com efeito modificativo.</w:t>
      </w:r>
      <w:r w:rsidRPr="000A5BB1">
        <w:rPr>
          <w:i/>
          <w:sz w:val="24"/>
          <w:szCs w:val="24"/>
        </w:rPr>
        <w:t>”</w:t>
      </w:r>
      <w:proofErr w:type="gramEnd"/>
      <w:r w:rsidRPr="001A52B8">
        <w:rPr>
          <w:sz w:val="24"/>
          <w:szCs w:val="24"/>
        </w:rPr>
        <w:t xml:space="preserve"> (</w:t>
      </w:r>
      <w:hyperlink r:id="rId19" w:history="1">
        <w:r w:rsidRPr="00400165">
          <w:rPr>
            <w:rStyle w:val="Hyperlink"/>
            <w:sz w:val="24"/>
            <w:szCs w:val="24"/>
          </w:rPr>
          <w:t>TST-ED-ED-RR-544-68.2014.5.06.0013</w:t>
        </w:r>
      </w:hyperlink>
      <w:r>
        <w:rPr>
          <w:sz w:val="24"/>
          <w:szCs w:val="24"/>
        </w:rPr>
        <w:t>, 5</w:t>
      </w:r>
      <w:r w:rsidRPr="001A52B8">
        <w:rPr>
          <w:sz w:val="24"/>
          <w:szCs w:val="24"/>
        </w:rPr>
        <w:t xml:space="preserve">ª Turma, rel. Min. </w:t>
      </w:r>
      <w:r>
        <w:rPr>
          <w:sz w:val="24"/>
          <w:szCs w:val="24"/>
        </w:rPr>
        <w:t>Breno Medeiros</w:t>
      </w:r>
      <w:r w:rsidRPr="001A52B8">
        <w:rPr>
          <w:sz w:val="24"/>
          <w:szCs w:val="24"/>
        </w:rPr>
        <w:t xml:space="preserve">, julgado em </w:t>
      </w:r>
      <w:r>
        <w:rPr>
          <w:sz w:val="24"/>
          <w:szCs w:val="24"/>
        </w:rPr>
        <w:t>17</w:t>
      </w:r>
      <w:r w:rsidR="009E312E">
        <w:rPr>
          <w:sz w:val="24"/>
          <w:szCs w:val="24"/>
        </w:rPr>
        <w:t>/</w:t>
      </w:r>
      <w:r>
        <w:rPr>
          <w:sz w:val="24"/>
          <w:szCs w:val="24"/>
        </w:rPr>
        <w:t>6</w:t>
      </w:r>
      <w:r w:rsidR="009E312E">
        <w:rPr>
          <w:sz w:val="24"/>
          <w:szCs w:val="24"/>
        </w:rPr>
        <w:t>/</w:t>
      </w:r>
      <w:r>
        <w:rPr>
          <w:sz w:val="24"/>
          <w:szCs w:val="24"/>
        </w:rPr>
        <w:t>2020</w:t>
      </w:r>
      <w:r w:rsidR="009E312E">
        <w:rPr>
          <w:sz w:val="24"/>
          <w:szCs w:val="24"/>
        </w:rPr>
        <w:t>.</w:t>
      </w:r>
      <w:r w:rsidRPr="001A52B8">
        <w:rPr>
          <w:sz w:val="24"/>
          <w:szCs w:val="24"/>
        </w:rPr>
        <w:t>)</w:t>
      </w:r>
    </w:p>
    <w:p w:rsidR="00512D1B" w:rsidRPr="0058052B" w:rsidRDefault="00512D1B" w:rsidP="00512D1B">
      <w:pPr>
        <w:jc w:val="both"/>
        <w:outlineLvl w:val="0"/>
        <w:rPr>
          <w:i/>
        </w:rPr>
      </w:pPr>
    </w:p>
    <w:p w:rsidR="00512D1B" w:rsidRPr="000A5BB1" w:rsidRDefault="00512D1B" w:rsidP="00512D1B">
      <w:pPr>
        <w:jc w:val="both"/>
        <w:outlineLvl w:val="0"/>
        <w:rPr>
          <w:i/>
          <w:sz w:val="24"/>
          <w:szCs w:val="24"/>
        </w:rPr>
      </w:pPr>
      <w:r w:rsidRPr="000A5BB1">
        <w:rPr>
          <w:i/>
          <w:sz w:val="24"/>
          <w:szCs w:val="24"/>
        </w:rPr>
        <w:t>“</w:t>
      </w:r>
      <w:r>
        <w:rPr>
          <w:sz w:val="24"/>
          <w:szCs w:val="24"/>
        </w:rPr>
        <w:t xml:space="preserve">[...] </w:t>
      </w:r>
      <w:r w:rsidRPr="00E712D4">
        <w:rPr>
          <w:i/>
          <w:sz w:val="24"/>
          <w:szCs w:val="24"/>
        </w:rPr>
        <w:t xml:space="preserve">RECURSO DE REVISTA DA VALE. ACÓRDÃO PUBLICADO NA VIGÊNCIA DA LEI Nº 13.015/2014. SISTEMA DE MONOCONDUÇÃO. OBRIGAÇÃO DE FAZER E NÃO FAZER. No tocante à obrigação de fazer, consistente na instalação de sanitários em todas as suas composições ferroviárias, não se verifica ofensa ao art. 5º, II, da CF/88, pois esta decorre dos postulados básicos de proteção a direitos mínimos dos trabalhadores, à saúde, à dignidade e valorização do trabalho humano, ínsitos nas normas dos </w:t>
      </w:r>
      <w:proofErr w:type="spellStart"/>
      <w:r w:rsidRPr="00E712D4">
        <w:rPr>
          <w:i/>
          <w:sz w:val="24"/>
          <w:szCs w:val="24"/>
        </w:rPr>
        <w:t>arts</w:t>
      </w:r>
      <w:proofErr w:type="spellEnd"/>
      <w:r w:rsidRPr="00E712D4">
        <w:rPr>
          <w:i/>
          <w:sz w:val="24"/>
          <w:szCs w:val="24"/>
        </w:rPr>
        <w:t>. 1º, e 7º, XXII, da Constituição Federal, e 157, I, da CLT, uma vez que a ausência de sanitários impossibilita o digno exercício da profissão e de um meio ambiente de trabalho saudável, com condições mínimas de higiene e saúde.</w:t>
      </w:r>
      <w:r>
        <w:rPr>
          <w:i/>
          <w:sz w:val="24"/>
          <w:szCs w:val="24"/>
        </w:rPr>
        <w:t xml:space="preserve"> </w:t>
      </w:r>
      <w:r w:rsidRPr="00E712D4">
        <w:rPr>
          <w:i/>
          <w:sz w:val="24"/>
          <w:szCs w:val="24"/>
        </w:rPr>
        <w:t>De outro lado, não há dispositivo legal ou convencional que obrigue o empregador à contratação de auxiliar de maquinista pela adoção do sistema de dupla</w:t>
      </w:r>
      <w:r>
        <w:rPr>
          <w:i/>
          <w:sz w:val="24"/>
          <w:szCs w:val="24"/>
        </w:rPr>
        <w:t xml:space="preserve"> </w:t>
      </w:r>
      <w:r w:rsidRPr="00E712D4">
        <w:rPr>
          <w:i/>
          <w:sz w:val="24"/>
          <w:szCs w:val="24"/>
        </w:rPr>
        <w:t xml:space="preserve">condução, pois a definição do sistema de condução a ser adotado está </w:t>
      </w:r>
      <w:proofErr w:type="gramStart"/>
      <w:r w:rsidRPr="00E712D4">
        <w:rPr>
          <w:i/>
          <w:sz w:val="24"/>
          <w:szCs w:val="24"/>
        </w:rPr>
        <w:t>inserido</w:t>
      </w:r>
      <w:proofErr w:type="gramEnd"/>
      <w:r w:rsidRPr="00E712D4">
        <w:rPr>
          <w:i/>
          <w:sz w:val="24"/>
          <w:szCs w:val="24"/>
        </w:rPr>
        <w:t xml:space="preserve"> no âmbito do seu poder diretivo de organizar as atividades econômicas da empresa, conforme estabelece o art. 2º da CLT, pelo que se verifica a excepcionalíssima hipótese de afronta à norma do art. 5º, II, da CF/88. Recurso conhecido e parcialmente provido.</w:t>
      </w:r>
      <w:r w:rsidRPr="000A5BB1">
        <w:rPr>
          <w:i/>
          <w:sz w:val="24"/>
          <w:szCs w:val="24"/>
        </w:rPr>
        <w:t>”</w:t>
      </w:r>
      <w:r w:rsidRPr="001A52B8">
        <w:rPr>
          <w:sz w:val="24"/>
          <w:szCs w:val="24"/>
        </w:rPr>
        <w:t xml:space="preserve"> (</w:t>
      </w:r>
      <w:hyperlink r:id="rId20" w:history="1">
        <w:r w:rsidRPr="00E712D4">
          <w:rPr>
            <w:rStyle w:val="Hyperlink"/>
            <w:sz w:val="24"/>
            <w:szCs w:val="24"/>
          </w:rPr>
          <w:t>TST-RRAg-177</w:t>
        </w:r>
        <w:r w:rsidRPr="00E712D4">
          <w:rPr>
            <w:rStyle w:val="Hyperlink"/>
            <w:sz w:val="24"/>
            <w:szCs w:val="24"/>
          </w:rPr>
          <w:t>6</w:t>
        </w:r>
        <w:r w:rsidRPr="00E712D4">
          <w:rPr>
            <w:rStyle w:val="Hyperlink"/>
            <w:sz w:val="24"/>
            <w:szCs w:val="24"/>
          </w:rPr>
          <w:t>-46.2012.5.03.0021</w:t>
        </w:r>
      </w:hyperlink>
      <w:r>
        <w:rPr>
          <w:sz w:val="24"/>
          <w:szCs w:val="24"/>
        </w:rPr>
        <w:t>, 5</w:t>
      </w:r>
      <w:r w:rsidRPr="001A52B8">
        <w:rPr>
          <w:sz w:val="24"/>
          <w:szCs w:val="24"/>
        </w:rPr>
        <w:t xml:space="preserve">ª Turma, rel. Min. </w:t>
      </w:r>
      <w:r>
        <w:rPr>
          <w:sz w:val="24"/>
          <w:szCs w:val="24"/>
        </w:rPr>
        <w:t>Breno Medeiros</w:t>
      </w:r>
      <w:r w:rsidRPr="001A52B8">
        <w:rPr>
          <w:sz w:val="24"/>
          <w:szCs w:val="24"/>
        </w:rPr>
        <w:t xml:space="preserve">, julgado em </w:t>
      </w:r>
      <w:r>
        <w:rPr>
          <w:sz w:val="24"/>
          <w:szCs w:val="24"/>
        </w:rPr>
        <w:t>17</w:t>
      </w:r>
      <w:r w:rsidR="00F16245">
        <w:rPr>
          <w:sz w:val="24"/>
          <w:szCs w:val="24"/>
        </w:rPr>
        <w:t>/</w:t>
      </w:r>
      <w:r>
        <w:rPr>
          <w:sz w:val="24"/>
          <w:szCs w:val="24"/>
        </w:rPr>
        <w:t>6</w:t>
      </w:r>
      <w:r w:rsidR="00F16245">
        <w:rPr>
          <w:sz w:val="24"/>
          <w:szCs w:val="24"/>
        </w:rPr>
        <w:t>/</w:t>
      </w:r>
      <w:r>
        <w:rPr>
          <w:sz w:val="24"/>
          <w:szCs w:val="24"/>
        </w:rPr>
        <w:t>2020</w:t>
      </w:r>
      <w:r w:rsidR="00F16245">
        <w:rPr>
          <w:sz w:val="24"/>
          <w:szCs w:val="24"/>
        </w:rPr>
        <w:t>.</w:t>
      </w:r>
      <w:r w:rsidRPr="001A52B8">
        <w:rPr>
          <w:sz w:val="24"/>
          <w:szCs w:val="24"/>
        </w:rPr>
        <w:t>)</w:t>
      </w:r>
    </w:p>
    <w:p w:rsidR="00512D1B" w:rsidRPr="0058052B" w:rsidRDefault="00512D1B" w:rsidP="00512D1B">
      <w:pPr>
        <w:jc w:val="both"/>
        <w:outlineLvl w:val="0"/>
        <w:rPr>
          <w:rFonts w:eastAsiaTheme="minorEastAsia"/>
          <w:b/>
          <w:i/>
          <w:color w:val="000000"/>
        </w:rPr>
      </w:pPr>
    </w:p>
    <w:p w:rsidR="00512D1B" w:rsidRDefault="00512D1B" w:rsidP="00512D1B">
      <w:pPr>
        <w:jc w:val="both"/>
        <w:outlineLvl w:val="0"/>
        <w:rPr>
          <w:sz w:val="24"/>
          <w:szCs w:val="24"/>
        </w:rPr>
      </w:pPr>
      <w:r w:rsidRPr="00857D5A">
        <w:rPr>
          <w:i/>
          <w:sz w:val="24"/>
          <w:szCs w:val="24"/>
        </w:rPr>
        <w:t xml:space="preserve">AGRAVO. RECURSO DE REVISTA. ACÓRDÃO PUBLICADO NA VIGÊNCIA DA LEI Nº 13.015/2014. AÇÃO DE HABILITAÇÃO PLÚRIMA EM COISA JULGADA COLETIVA. PRESCRIÇÃO APLICÁVEL. TRANSCEDÊNCIA JURÍDICA RECONHECIDA. O e. TRT declarou que está prescrita a pretensão de executar a decisão proferida na ação coletiva que condenou o INSS ao pagamento de diferenças salariais pela incorporação do “PCCS”, em razão do fato de a presente ação de habilitação ter sido ajuizada somente em 08/02/2017, quase seis anos após a publicação da Portaria nº 51/2011 da Corregedoria do TRT da 2ª Região, em 07/12/2011, que estabeleceu a forma como deveria ser efetuada a execução. Inicialmente, em que pese </w:t>
      </w:r>
      <w:proofErr w:type="gramStart"/>
      <w:r w:rsidRPr="00857D5A">
        <w:rPr>
          <w:i/>
          <w:sz w:val="24"/>
          <w:szCs w:val="24"/>
        </w:rPr>
        <w:t>a</w:t>
      </w:r>
      <w:proofErr w:type="gramEnd"/>
      <w:r w:rsidRPr="00857D5A">
        <w:rPr>
          <w:i/>
          <w:sz w:val="24"/>
          <w:szCs w:val="24"/>
        </w:rPr>
        <w:t xml:space="preserve"> existência de julgados desta Corte sobre a aplicação da prescrição intercorrente em ação </w:t>
      </w:r>
      <w:proofErr w:type="spellStart"/>
      <w:r w:rsidRPr="00857D5A">
        <w:rPr>
          <w:i/>
          <w:sz w:val="24"/>
          <w:szCs w:val="24"/>
        </w:rPr>
        <w:t>plúrima</w:t>
      </w:r>
      <w:proofErr w:type="spellEnd"/>
      <w:r w:rsidRPr="00857D5A">
        <w:rPr>
          <w:i/>
          <w:sz w:val="24"/>
          <w:szCs w:val="24"/>
        </w:rPr>
        <w:t xml:space="preserve">, consoante </w:t>
      </w:r>
      <w:r w:rsidRPr="00857D5A">
        <w:rPr>
          <w:i/>
          <w:sz w:val="24"/>
          <w:szCs w:val="24"/>
        </w:rPr>
        <w:lastRenderedPageBreak/>
        <w:t>destacado na decisão agravada, o fato é que tais julgados não cuidam da situação específica dos autos em que se pretende examinar a aplicação ou não da prescrição em ação de habilitação individual (</w:t>
      </w:r>
      <w:proofErr w:type="spellStart"/>
      <w:r w:rsidRPr="00857D5A">
        <w:rPr>
          <w:i/>
          <w:sz w:val="24"/>
          <w:szCs w:val="24"/>
        </w:rPr>
        <w:t>plúrima</w:t>
      </w:r>
      <w:proofErr w:type="spellEnd"/>
      <w:r w:rsidRPr="00857D5A">
        <w:rPr>
          <w:i/>
          <w:sz w:val="24"/>
          <w:szCs w:val="24"/>
        </w:rPr>
        <w:t xml:space="preserve">) na execução de coisa julgada em ação coletiva. Diante dessa distinção, verifica-se a existência de transcendência jurídica da matéria em discussão. Isso porque não se cuida a hipótese dos autos da incidência da denominada prescrição intercorrente, na forma da Súmula n.º 114 desta Corte, que restou, frise-se, superada com a vigência da Lei n.º 13.467/2017. Dito isso, antes de adentrar na discussão central dos autos, faz-se necessário tecer alguns apontamentos sobre o direito coletivo. O direito coletivo possui fundamento na Constituição Federal de 1988, na Lei de Ação Popular e foi materializado por meio da Lei de Ação Civil Pública e pelo Código de Defesa do Consumidor. A Constituição Federal dispõe no art. 5.º, XXXII, que “o Estado promoverá, na forma da lei, a defesa do consumidor”. Nesse sentido foi criado o Código de Defesa do Consumidor com a edição da Lei n.º 8.078/90. É no CDC que se encontra o regramento mais contundente no âmbito do direito coletivo. Nesse sentido, oportuno citar alguns dispositivos, quais sejam, os </w:t>
      </w:r>
      <w:proofErr w:type="spellStart"/>
      <w:r w:rsidRPr="00857D5A">
        <w:rPr>
          <w:i/>
          <w:sz w:val="24"/>
          <w:szCs w:val="24"/>
        </w:rPr>
        <w:t>arts</w:t>
      </w:r>
      <w:proofErr w:type="spellEnd"/>
      <w:r w:rsidRPr="00857D5A">
        <w:rPr>
          <w:i/>
          <w:sz w:val="24"/>
          <w:szCs w:val="24"/>
        </w:rPr>
        <w:t xml:space="preserve">. 81, 82, III, 94, 100, 103, § 2.º, e 104. Dos dispositivos acima, conclui-se que ação coletiva, em que se busca a defesa de direitos individuais homogêneos, encontra-se sujeito ao rito próprio, não somente em relação à coisa julgada, como também no que toca à legitimidade e seus efeitos na litispendência. Isso porque a propositura de ação por um dos legitimados não implica em litispendência no tocante as ações individuais, mas os efeitos da coisa julgada coletiva poderão, caso queiram, alcançar os trabalhadores interessados, na hipótese de procedência do pedido. Ficam ressalvados apenas aqueles interessados que eventualmente tenham ingressado como litisconsortes em atendimento ao edital disciplinado no art. 94 do CDC, nesse caso, há litispendência. Quanto à execução das sentenças sobre direitos individuais homogêneos, o Código de Defesa do Consumidor disciplina que transcorridos um ano sem habilitação de interessados em quantidade compatível com a dimensão do dano, os legitimados poderão promover a liquidação e a execução da indenização devida. Se for julgado procedente o pedido deduzido, nos casos em que os interessados não tenham ingressado como litisconsorte, a execução poderá ser processada individualmente por aquele que se intitula titular do direito coletivo reconhecido, ou melhor, da coisa julgada coletiva, seja por habilitação na coisa julgada coletiva, seja com a propositura de execução individual autônoma com base na coisa julgada coletiva. Nesse contexto, a coisa julgada coletiva tem regramento próprio, restando evidente que deve observar a critérios prescricionais fixados nas normas jurídicas. Nos termos dos </w:t>
      </w:r>
      <w:proofErr w:type="spellStart"/>
      <w:r w:rsidRPr="00857D5A">
        <w:rPr>
          <w:i/>
          <w:sz w:val="24"/>
          <w:szCs w:val="24"/>
        </w:rPr>
        <w:t>arts</w:t>
      </w:r>
      <w:proofErr w:type="spellEnd"/>
      <w:r w:rsidRPr="00857D5A">
        <w:rPr>
          <w:i/>
          <w:sz w:val="24"/>
          <w:szCs w:val="24"/>
        </w:rPr>
        <w:t xml:space="preserve">. 880 e 844, § 1.º, da CLT, ao passo que a citação informa a existência de uma demanda judicial ao suposto devedor, o ordenamento jurídico também permite a arguição da prescrição, que, saliente-se, representa, a teor do art. 189 do CC, a perda do direito de provocar o Estado Juiz para defesa direito ou interesse lesado. Como efeito, trata-se a presente lide de pretensão executiva de condenação imposta à Fazenda Pública, de modo que se aplica o critério prescricional de </w:t>
      </w:r>
      <w:proofErr w:type="gramStart"/>
      <w:r w:rsidRPr="00857D5A">
        <w:rPr>
          <w:i/>
          <w:sz w:val="24"/>
          <w:szCs w:val="24"/>
        </w:rPr>
        <w:t>5</w:t>
      </w:r>
      <w:proofErr w:type="gramEnd"/>
      <w:r w:rsidRPr="00857D5A">
        <w:rPr>
          <w:i/>
          <w:sz w:val="24"/>
          <w:szCs w:val="24"/>
        </w:rPr>
        <w:t xml:space="preserve"> anos previsto no art. 1.º do Decreto 20.910/32. Desse modo, encontra-se prescrita a ação de habilitação individual (</w:t>
      </w:r>
      <w:proofErr w:type="spellStart"/>
      <w:r w:rsidRPr="00857D5A">
        <w:rPr>
          <w:i/>
          <w:sz w:val="24"/>
          <w:szCs w:val="24"/>
        </w:rPr>
        <w:t>plúrima</w:t>
      </w:r>
      <w:proofErr w:type="spellEnd"/>
      <w:r w:rsidRPr="00857D5A">
        <w:rPr>
          <w:i/>
          <w:sz w:val="24"/>
          <w:szCs w:val="24"/>
        </w:rPr>
        <w:t xml:space="preserve">) em coisa julgada coletiva proposta em 08/02/2017, seja porque o trânsito em julgado da ação coletiva ocorreu 29/05/2007, seja considerando a publicação da Portaria nº 51/2011 da Corregedoria do TRT da 2ª Região, em 07/12/2011. </w:t>
      </w:r>
      <w:proofErr w:type="gramStart"/>
      <w:r w:rsidRPr="00857D5A">
        <w:rPr>
          <w:i/>
          <w:sz w:val="24"/>
          <w:szCs w:val="24"/>
        </w:rPr>
        <w:t>Agravo provido.</w:t>
      </w:r>
      <w:r w:rsidRPr="001A52B8">
        <w:rPr>
          <w:i/>
          <w:sz w:val="24"/>
          <w:szCs w:val="24"/>
        </w:rPr>
        <w:t>”</w:t>
      </w:r>
      <w:proofErr w:type="gramEnd"/>
      <w:r w:rsidRPr="001A52B8">
        <w:rPr>
          <w:sz w:val="24"/>
          <w:szCs w:val="24"/>
        </w:rPr>
        <w:t xml:space="preserve"> (</w:t>
      </w:r>
      <w:hyperlink r:id="rId21" w:history="1">
        <w:r w:rsidRPr="0008774F">
          <w:rPr>
            <w:rStyle w:val="Hyperlink"/>
            <w:sz w:val="24"/>
            <w:szCs w:val="24"/>
          </w:rPr>
          <w:t>TST-Ag-RR-26-10.201</w:t>
        </w:r>
        <w:r w:rsidRPr="0008774F">
          <w:rPr>
            <w:rStyle w:val="Hyperlink"/>
            <w:sz w:val="24"/>
            <w:szCs w:val="24"/>
          </w:rPr>
          <w:t>7</w:t>
        </w:r>
        <w:r w:rsidRPr="0008774F">
          <w:rPr>
            <w:rStyle w:val="Hyperlink"/>
            <w:sz w:val="24"/>
            <w:szCs w:val="24"/>
          </w:rPr>
          <w:t>.5.02.0070</w:t>
        </w:r>
      </w:hyperlink>
      <w:r>
        <w:rPr>
          <w:sz w:val="24"/>
          <w:szCs w:val="24"/>
        </w:rPr>
        <w:t>, 5</w:t>
      </w:r>
      <w:r w:rsidRPr="001A52B8">
        <w:rPr>
          <w:sz w:val="24"/>
          <w:szCs w:val="24"/>
        </w:rPr>
        <w:t xml:space="preserve">ª Turma, rel. Min. </w:t>
      </w:r>
      <w:r>
        <w:rPr>
          <w:sz w:val="24"/>
          <w:szCs w:val="24"/>
        </w:rPr>
        <w:t>Breno Medeiros</w:t>
      </w:r>
      <w:r w:rsidRPr="001A52B8">
        <w:rPr>
          <w:sz w:val="24"/>
          <w:szCs w:val="24"/>
        </w:rPr>
        <w:t xml:space="preserve">, julgado em </w:t>
      </w:r>
      <w:r w:rsidR="00F16245">
        <w:rPr>
          <w:sz w:val="24"/>
          <w:szCs w:val="24"/>
        </w:rPr>
        <w:t>24/</w:t>
      </w:r>
      <w:r>
        <w:rPr>
          <w:sz w:val="24"/>
          <w:szCs w:val="24"/>
        </w:rPr>
        <w:t>6</w:t>
      </w:r>
      <w:r w:rsidR="00F16245">
        <w:rPr>
          <w:sz w:val="24"/>
          <w:szCs w:val="24"/>
        </w:rPr>
        <w:t>/</w:t>
      </w:r>
      <w:r w:rsidRPr="001A52B8">
        <w:rPr>
          <w:sz w:val="24"/>
          <w:szCs w:val="24"/>
        </w:rPr>
        <w:t>20</w:t>
      </w:r>
      <w:r>
        <w:rPr>
          <w:sz w:val="24"/>
          <w:szCs w:val="24"/>
        </w:rPr>
        <w:t>20</w:t>
      </w:r>
      <w:r w:rsidR="00F16245">
        <w:rPr>
          <w:sz w:val="24"/>
          <w:szCs w:val="24"/>
        </w:rPr>
        <w:t>.</w:t>
      </w:r>
      <w:r w:rsidRPr="001A52B8">
        <w:rPr>
          <w:sz w:val="24"/>
          <w:szCs w:val="24"/>
        </w:rPr>
        <w:t>)</w:t>
      </w:r>
    </w:p>
    <w:p w:rsidR="00512D1B" w:rsidRPr="0058052B" w:rsidRDefault="00512D1B" w:rsidP="00512D1B">
      <w:pPr>
        <w:jc w:val="both"/>
        <w:outlineLvl w:val="0"/>
        <w:rPr>
          <w:rFonts w:eastAsiaTheme="minorEastAsia"/>
          <w:b/>
          <w:i/>
          <w:color w:val="000000"/>
        </w:rPr>
      </w:pPr>
    </w:p>
    <w:p w:rsidR="00512D1B" w:rsidRPr="00506FA6" w:rsidRDefault="00512D1B" w:rsidP="00512D1B">
      <w:pPr>
        <w:jc w:val="both"/>
        <w:outlineLvl w:val="0"/>
        <w:rPr>
          <w:i/>
          <w:sz w:val="24"/>
          <w:szCs w:val="24"/>
        </w:rPr>
      </w:pPr>
      <w:r w:rsidRPr="00506FA6">
        <w:rPr>
          <w:i/>
          <w:sz w:val="24"/>
          <w:szCs w:val="24"/>
        </w:rPr>
        <w:t>“</w:t>
      </w:r>
      <w:r w:rsidRPr="00506FA6">
        <w:rPr>
          <w:sz w:val="24"/>
          <w:szCs w:val="24"/>
        </w:rPr>
        <w:t xml:space="preserve">[...] </w:t>
      </w:r>
      <w:r w:rsidRPr="00506FA6">
        <w:rPr>
          <w:i/>
          <w:sz w:val="24"/>
          <w:szCs w:val="24"/>
        </w:rPr>
        <w:t xml:space="preserve">RECEBIMENTO CUMULATIVO DA INDENIZAÇÃO POR DANO MATERIAL E BENEFÍCIO PREVIDENCIÁRIO (violação dos </w:t>
      </w:r>
      <w:proofErr w:type="spellStart"/>
      <w:r w:rsidRPr="00506FA6">
        <w:rPr>
          <w:i/>
          <w:sz w:val="24"/>
          <w:szCs w:val="24"/>
        </w:rPr>
        <w:t>arts</w:t>
      </w:r>
      <w:proofErr w:type="spellEnd"/>
      <w:r w:rsidRPr="00506FA6">
        <w:rPr>
          <w:i/>
          <w:sz w:val="24"/>
          <w:szCs w:val="24"/>
        </w:rPr>
        <w:t xml:space="preserve">. 7º, XXVIII, e 201, §10, da Constituição Federal, 475-Q, §1º, e 649, IV, do CPC, 373, 402, 940 e 950 do CCB, 121 da Lei nº 8.213/91 e divergência jurisprudencial). A interpretação dos artigos 950 e 951 do CC/2002 e 1539 do CC/1916 remete ao entendimento de que, ocorrida a incapacidade para o trabalho para que se </w:t>
      </w:r>
      <w:proofErr w:type="gramStart"/>
      <w:r w:rsidRPr="00506FA6">
        <w:rPr>
          <w:i/>
          <w:sz w:val="24"/>
          <w:szCs w:val="24"/>
        </w:rPr>
        <w:t>inabilitou,</w:t>
      </w:r>
      <w:proofErr w:type="gramEnd"/>
      <w:r w:rsidRPr="00506FA6">
        <w:rPr>
          <w:i/>
          <w:sz w:val="24"/>
          <w:szCs w:val="24"/>
        </w:rPr>
        <w:t xml:space="preserve"> automaticamente o lesionado terá o direito ao </w:t>
      </w:r>
      <w:proofErr w:type="spellStart"/>
      <w:r w:rsidRPr="00506FA6">
        <w:rPr>
          <w:i/>
          <w:sz w:val="24"/>
          <w:szCs w:val="24"/>
        </w:rPr>
        <w:t>pensionamento</w:t>
      </w:r>
      <w:proofErr w:type="spellEnd"/>
      <w:r w:rsidRPr="00506FA6">
        <w:rPr>
          <w:i/>
          <w:sz w:val="24"/>
          <w:szCs w:val="24"/>
        </w:rPr>
        <w:t xml:space="preserve"> mensal e vitalício, previsto naquele artigo 950 do Código Civil, enquanto durar a sua incapacidade. Desta feita, face à constatação da incapacidade permanente para o trabalho, resta plenamente configurado o prejuízo financeiro do obreiro, passível de ressarcimento material, não sendo possível a compensação da pensão paga pelo INSS a título de aposentadoria por invalidez, mesmo que </w:t>
      </w:r>
      <w:r w:rsidRPr="00506FA6">
        <w:rPr>
          <w:i/>
          <w:sz w:val="24"/>
          <w:szCs w:val="24"/>
        </w:rPr>
        <w:lastRenderedPageBreak/>
        <w:t>complementada pela previdência privada, com a pensão prevista nos artigo 950 do Código Civil, ante a distinção entre a natureza e o objetivo de tais institutos. Precedentes desta Corte. Recurso de revista conhecido e provido.</w:t>
      </w:r>
      <w:r w:rsidRPr="00506FA6">
        <w:rPr>
          <w:sz w:val="24"/>
          <w:szCs w:val="24"/>
        </w:rPr>
        <w:t xml:space="preserve"> [...]</w:t>
      </w:r>
      <w:r w:rsidRPr="00506FA6">
        <w:rPr>
          <w:i/>
          <w:sz w:val="24"/>
          <w:szCs w:val="24"/>
        </w:rPr>
        <w:t>”</w:t>
      </w:r>
      <w:r w:rsidRPr="00506FA6">
        <w:rPr>
          <w:sz w:val="24"/>
          <w:szCs w:val="24"/>
        </w:rPr>
        <w:t xml:space="preserve"> (</w:t>
      </w:r>
      <w:hyperlink r:id="rId22" w:history="1">
        <w:r w:rsidRPr="00506FA6">
          <w:rPr>
            <w:rStyle w:val="Hyperlink"/>
            <w:sz w:val="24"/>
            <w:szCs w:val="24"/>
          </w:rPr>
          <w:t>TST-ARR-8000-27.</w:t>
        </w:r>
        <w:bookmarkStart w:id="3" w:name="_GoBack"/>
        <w:bookmarkEnd w:id="3"/>
        <w:r w:rsidRPr="00506FA6">
          <w:rPr>
            <w:rStyle w:val="Hyperlink"/>
            <w:sz w:val="24"/>
            <w:szCs w:val="24"/>
          </w:rPr>
          <w:t>2</w:t>
        </w:r>
        <w:r w:rsidRPr="00506FA6">
          <w:rPr>
            <w:rStyle w:val="Hyperlink"/>
            <w:sz w:val="24"/>
            <w:szCs w:val="24"/>
          </w:rPr>
          <w:t>008.5.05.0492</w:t>
        </w:r>
      </w:hyperlink>
      <w:r w:rsidRPr="00506FA6">
        <w:rPr>
          <w:sz w:val="24"/>
          <w:szCs w:val="24"/>
        </w:rPr>
        <w:t>, 7ª Turma, rel. Min. Renato de Lacerda Paiva, julgado em 2</w:t>
      </w:r>
      <w:r>
        <w:rPr>
          <w:sz w:val="24"/>
          <w:szCs w:val="24"/>
        </w:rPr>
        <w:t>3</w:t>
      </w:r>
      <w:r w:rsidRPr="00506FA6">
        <w:rPr>
          <w:sz w:val="24"/>
          <w:szCs w:val="24"/>
        </w:rPr>
        <w:t>/6/2020.)</w:t>
      </w:r>
    </w:p>
    <w:p w:rsidR="00543122" w:rsidRPr="00472851" w:rsidRDefault="00543122" w:rsidP="00654B75">
      <w:pPr>
        <w:jc w:val="both"/>
        <w:outlineLvl w:val="0"/>
        <w:rPr>
          <w:rFonts w:eastAsiaTheme="minorHAnsi"/>
          <w:color w:val="000000"/>
          <w:sz w:val="24"/>
          <w:szCs w:val="24"/>
          <w:lang w:eastAsia="en-US"/>
        </w:rPr>
      </w:pPr>
    </w:p>
    <w:p w:rsidR="00654B75" w:rsidRDefault="00654B75" w:rsidP="00237380">
      <w:pPr>
        <w:jc w:val="both"/>
        <w:rPr>
          <w:i/>
          <w:sz w:val="24"/>
          <w:szCs w:val="24"/>
        </w:rPr>
      </w:pPr>
    </w:p>
    <w:bookmarkEnd w:id="0"/>
    <w:bookmarkEnd w:id="1"/>
    <w:p w:rsidR="00CA4AE6" w:rsidRPr="004B3120" w:rsidRDefault="00CA4AE6" w:rsidP="00C6738C">
      <w:pPr>
        <w:rPr>
          <w:sz w:val="10"/>
          <w:szCs w:val="10"/>
        </w:rPr>
      </w:pPr>
    </w:p>
    <w:p w:rsidR="00CA4AE6" w:rsidRPr="004B3120" w:rsidRDefault="00CA4AE6" w:rsidP="00C6738C">
      <w:pPr>
        <w:rPr>
          <w:sz w:val="10"/>
          <w:szCs w:val="10"/>
        </w:rPr>
      </w:pPr>
    </w:p>
    <w:p w:rsidR="00CA4AE6" w:rsidRPr="004B3120" w:rsidRDefault="00CA4AE6" w:rsidP="00C6738C">
      <w:pPr>
        <w:rPr>
          <w:sz w:val="10"/>
          <w:szCs w:val="10"/>
        </w:rPr>
      </w:pPr>
    </w:p>
    <w:p w:rsidR="00E3622E" w:rsidRPr="004B3120" w:rsidRDefault="00E3622E" w:rsidP="00C6738C">
      <w:pPr>
        <w:rPr>
          <w:sz w:val="10"/>
          <w:szCs w:val="10"/>
        </w:rPr>
      </w:pPr>
    </w:p>
    <w:p w:rsidR="00184590" w:rsidRPr="004B3120" w:rsidRDefault="00503095"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5"/>
          <w:szCs w:val="25"/>
        </w:rPr>
      </w:pPr>
      <w:r>
        <w:rPr>
          <w:b w:val="0"/>
          <w:bCs w:val="0"/>
          <w:snapToGrid w:val="0"/>
          <w:sz w:val="25"/>
          <w:szCs w:val="25"/>
        </w:rPr>
        <w:t xml:space="preserve">O </w:t>
      </w:r>
      <w:r w:rsidR="00184590" w:rsidRPr="004B3120">
        <w:rPr>
          <w:b w:val="0"/>
          <w:bCs w:val="0"/>
          <w:snapToGrid w:val="0"/>
          <w:sz w:val="25"/>
          <w:szCs w:val="25"/>
        </w:rPr>
        <w:t xml:space="preserve">Informativo TST é mantido pela </w:t>
      </w:r>
    </w:p>
    <w:p w:rsidR="00184590" w:rsidRPr="004B3120"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5"/>
          <w:szCs w:val="25"/>
        </w:rPr>
      </w:pPr>
      <w:r w:rsidRPr="004B3120">
        <w:rPr>
          <w:b w:val="0"/>
          <w:bCs w:val="0"/>
          <w:snapToGrid w:val="0"/>
          <w:sz w:val="25"/>
          <w:szCs w:val="25"/>
        </w:rPr>
        <w:t>Coordenadoria de Jurisprudência – CJUR</w:t>
      </w:r>
      <w:r w:rsidR="00F83AC5">
        <w:rPr>
          <w:b w:val="0"/>
          <w:bCs w:val="0"/>
          <w:snapToGrid w:val="0"/>
          <w:sz w:val="25"/>
          <w:szCs w:val="25"/>
        </w:rPr>
        <w:t>.</w:t>
      </w:r>
    </w:p>
    <w:p w:rsidR="007F02D5" w:rsidRPr="004B3120" w:rsidRDefault="007F02D5"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p w:rsidR="007614F1" w:rsidRPr="004B3120"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4B3120">
        <w:rPr>
          <w:snapToGrid w:val="0"/>
          <w:sz w:val="25"/>
          <w:szCs w:val="25"/>
        </w:rPr>
        <w:t>Informações/Sugestões/Críticas: (61)3043</w:t>
      </w:r>
      <w:r w:rsidR="00352B27" w:rsidRPr="004B3120">
        <w:rPr>
          <w:snapToGrid w:val="0"/>
          <w:sz w:val="25"/>
          <w:szCs w:val="25"/>
        </w:rPr>
        <w:t>-</w:t>
      </w:r>
      <w:r w:rsidRPr="004B3120">
        <w:rPr>
          <w:snapToGrid w:val="0"/>
          <w:sz w:val="25"/>
          <w:szCs w:val="25"/>
        </w:rPr>
        <w:t>4</w:t>
      </w:r>
      <w:r w:rsidR="000303C3" w:rsidRPr="004B3120">
        <w:rPr>
          <w:snapToGrid w:val="0"/>
          <w:sz w:val="25"/>
          <w:szCs w:val="25"/>
        </w:rPr>
        <w:t>612</w:t>
      </w:r>
      <w:r w:rsidR="007F02D5" w:rsidRPr="004B3120">
        <w:rPr>
          <w:snapToGrid w:val="0"/>
          <w:sz w:val="25"/>
          <w:szCs w:val="25"/>
        </w:rPr>
        <w:t xml:space="preserve"> ou </w:t>
      </w:r>
      <w:hyperlink r:id="rId23" w:history="1">
        <w:r w:rsidR="005F0522" w:rsidRPr="004B3120">
          <w:rPr>
            <w:rStyle w:val="Hyperlink"/>
            <w:snapToGrid w:val="0"/>
            <w:sz w:val="25"/>
            <w:szCs w:val="25"/>
          </w:rPr>
          <w:t>cjur@tst.jus.br</w:t>
        </w:r>
      </w:hyperlink>
    </w:p>
    <w:p w:rsidR="007F02D5" w:rsidRPr="004B3120" w:rsidRDefault="007F02D5"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p w:rsidR="00B15004" w:rsidRPr="004B3120"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4B3120">
        <w:rPr>
          <w:snapToGrid w:val="0"/>
          <w:sz w:val="25"/>
          <w:szCs w:val="25"/>
        </w:rPr>
        <w:t xml:space="preserve">Para acessar todas as edições: </w:t>
      </w:r>
      <w:hyperlink r:id="rId24" w:history="1">
        <w:r w:rsidR="00B15004" w:rsidRPr="004B3120">
          <w:rPr>
            <w:rStyle w:val="Hyperlink"/>
            <w:snapToGrid w:val="0"/>
            <w:sz w:val="25"/>
            <w:szCs w:val="25"/>
          </w:rPr>
          <w:t>http://www.tst.jus.br/web/guest/informativo-tst</w:t>
        </w:r>
      </w:hyperlink>
    </w:p>
    <w:p w:rsidR="00B15004" w:rsidRPr="004B3120" w:rsidRDefault="00B15004"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p w:rsidR="009E534D" w:rsidRPr="004B3120"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4B3120">
        <w:rPr>
          <w:snapToGrid w:val="0"/>
          <w:sz w:val="25"/>
          <w:szCs w:val="25"/>
        </w:rPr>
        <w:t xml:space="preserve">Para receber via </w:t>
      </w:r>
      <w:r w:rsidRPr="004B3120">
        <w:rPr>
          <w:i/>
          <w:snapToGrid w:val="0"/>
          <w:sz w:val="25"/>
          <w:szCs w:val="25"/>
        </w:rPr>
        <w:t>e-mail</w:t>
      </w:r>
      <w:r w:rsidRPr="004B3120">
        <w:rPr>
          <w:snapToGrid w:val="0"/>
          <w:sz w:val="25"/>
          <w:szCs w:val="25"/>
        </w:rPr>
        <w:t xml:space="preserve">: </w:t>
      </w:r>
      <w:hyperlink r:id="rId25" w:history="1">
        <w:r w:rsidRPr="004B3120">
          <w:rPr>
            <w:rStyle w:val="Hyperlink"/>
            <w:snapToGrid w:val="0"/>
            <w:sz w:val="25"/>
            <w:szCs w:val="25"/>
          </w:rPr>
          <w:t>http://www.tst.jus.br/push</w:t>
        </w:r>
      </w:hyperlink>
    </w:p>
    <w:p w:rsidR="009E534D" w:rsidRPr="004B3120"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sectPr w:rsidR="009E534D" w:rsidRPr="004B3120" w:rsidSect="00D11B24">
      <w:headerReference w:type="default" r:id="rId26"/>
      <w:footerReference w:type="default" r:id="rId27"/>
      <w:headerReference w:type="first" r:id="rId28"/>
      <w:footerReference w:type="first" r:id="rId29"/>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2CB" w:rsidRDefault="007B72CB">
      <w:r>
        <w:separator/>
      </w:r>
    </w:p>
  </w:endnote>
  <w:endnote w:type="continuationSeparator" w:id="0">
    <w:p w:rsidR="007B72CB" w:rsidRDefault="007B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ebas Neue Regular">
    <w:altName w:val="Arial"/>
    <w:panose1 w:val="00000000000000000000"/>
    <w:charset w:val="00"/>
    <w:family w:val="modern"/>
    <w:notTrueType/>
    <w:pitch w:val="variable"/>
    <w:sig w:usb0="00000001" w:usb1="1000005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CB" w:rsidRDefault="007B72CB">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669B8">
      <w:rPr>
        <w:rStyle w:val="Nmerodepgina"/>
        <w:noProof/>
      </w:rPr>
      <w:t>9</w:t>
    </w:r>
    <w:r>
      <w:rPr>
        <w:rStyle w:val="Nmerodepgina"/>
      </w:rPr>
      <w:fldChar w:fldCharType="end"/>
    </w:r>
  </w:p>
  <w:p w:rsidR="007B72CB" w:rsidRDefault="007B72CB">
    <w:pPr>
      <w:pStyle w:val="Rodap"/>
      <w:ind w:right="360"/>
    </w:pPr>
    <w:r>
      <w:rPr>
        <w:noProof/>
      </w:rPr>
      <mc:AlternateContent>
        <mc:Choice Requires="wps">
          <w:drawing>
            <wp:anchor distT="0" distB="0" distL="114300" distR="114300" simplePos="0" relativeHeight="251658240" behindDoc="0" locked="0" layoutInCell="0" allowOverlap="1">
              <wp:simplePos x="0" y="0"/>
              <wp:positionH relativeFrom="column">
                <wp:posOffset>11430</wp:posOffset>
              </wp:positionH>
              <wp:positionV relativeFrom="paragraph">
                <wp:posOffset>-45085</wp:posOffset>
              </wp:positionV>
              <wp:extent cx="630936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CWFA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" o:allowincell="f" strokecolor="#969696"/>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CB" w:rsidRDefault="007B72CB">
    <w:pPr>
      <w:pStyle w:val="Rodap"/>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11430</wp:posOffset>
              </wp:positionH>
              <wp:positionV relativeFrom="paragraph">
                <wp:posOffset>-45085</wp:posOffset>
              </wp:positionV>
              <wp:extent cx="6309360" cy="190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9360" cy="1905"/>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" o:allowincell="f" strokecolor="#969696"/>
          </w:pict>
        </mc:Fallback>
      </mc:AlternateContent>
    </w:r>
    <w:r>
      <w:rPr>
        <w:rStyle w:val="Nmerodepgina"/>
      </w:rPr>
      <w:fldChar w:fldCharType="begin"/>
    </w:r>
    <w:r>
      <w:rPr>
        <w:rStyle w:val="Nmerodepgina"/>
      </w:rPr>
      <w:instrText xml:space="preserve"> PAGE </w:instrText>
    </w:r>
    <w:r>
      <w:rPr>
        <w:rStyle w:val="Nmerodepgina"/>
      </w:rPr>
      <w:fldChar w:fldCharType="separate"/>
    </w:r>
    <w:r w:rsidR="00F16245">
      <w:rPr>
        <w:rStyle w:val="Nmerodepgina"/>
        <w:noProof/>
      </w:rPr>
      <w:t>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2CB" w:rsidRDefault="007B72CB">
      <w:r>
        <w:separator/>
      </w:r>
    </w:p>
  </w:footnote>
  <w:footnote w:type="continuationSeparator" w:id="0">
    <w:p w:rsidR="007B72CB" w:rsidRDefault="007B7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CB" w:rsidRPr="008420B2" w:rsidRDefault="007B72CB">
    <w:pPr>
      <w:pStyle w:val="Corpodetexto"/>
      <w:jc w:val="right"/>
      <w:rPr>
        <w:sz w:val="24"/>
        <w:szCs w:val="24"/>
        <w14:shadow w14:blurRad="50800" w14:dist="38100" w14:dir="2700000" w14:sx="100000" w14:sy="100000" w14:kx="0" w14:ky="0" w14:algn="tl">
          <w14:srgbClr w14:val="000000">
            <w14:alpha w14:val="60000"/>
          </w14:srgbClr>
        </w14:shadow>
      </w:rPr>
    </w:pPr>
    <w:r w:rsidRPr="00BF2ED4">
      <w:rPr>
        <w:color w:val="006699"/>
      </w:rPr>
      <w:t>Informativo</w:t>
    </w:r>
    <w:r>
      <w:rPr>
        <w:color w:val="006699"/>
      </w:rPr>
      <w:t xml:space="preserve"> TST – nº 221</w:t>
    </w:r>
  </w:p>
  <w:p w:rsidR="007B72CB" w:rsidRPr="006717E0" w:rsidRDefault="007B72CB" w:rsidP="00787495">
    <w:pPr>
      <w:pStyle w:val="Cabealho"/>
      <w:jc w:val="right"/>
      <w:rPr>
        <w:i/>
        <w:iCs/>
        <w:color w:val="005DA2"/>
      </w:rPr>
    </w:pPr>
    <w:r>
      <w:rPr>
        <w:noProof/>
      </w:rPr>
      <mc:AlternateContent>
        <mc:Choice Requires="wps">
          <w:drawing>
            <wp:anchor distT="0" distB="0" distL="114300" distR="114300" simplePos="0" relativeHeight="251657216" behindDoc="0" locked="0" layoutInCell="0" allowOverlap="1" wp14:anchorId="3CE29D35" wp14:editId="5CB5DD15">
              <wp:simplePos x="0" y="0"/>
              <wp:positionH relativeFrom="column">
                <wp:posOffset>11430</wp:posOffset>
              </wp:positionH>
              <wp:positionV relativeFrom="paragraph">
                <wp:posOffset>128905</wp:posOffset>
              </wp:positionV>
              <wp:extent cx="630936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15pt" to="497.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" o:allowincell="f" strokecolor="#969696"/>
          </w:pict>
        </mc:Fallback>
      </mc:AlternateContent>
    </w:r>
    <w:r w:rsidRPr="003C0554">
      <w:rPr>
        <w:iCs/>
      </w:rPr>
      <w:t xml:space="preserve"> </w:t>
    </w:r>
    <w:r w:rsidRPr="006717E0">
      <w:rPr>
        <w:i/>
        <w:iCs/>
        <w:color w:val="005DA2"/>
      </w:rPr>
      <w:t xml:space="preserve">Período: </w:t>
    </w:r>
    <w:r>
      <w:rPr>
        <w:i/>
        <w:iCs/>
        <w:color w:val="005DA2"/>
      </w:rPr>
      <w:t>15 a 30</w:t>
    </w:r>
    <w:proofErr w:type="gramStart"/>
    <w:r>
      <w:rPr>
        <w:i/>
        <w:iCs/>
        <w:color w:val="005DA2"/>
      </w:rPr>
      <w:t xml:space="preserve"> </w:t>
    </w:r>
    <w:r w:rsidRPr="006717E0">
      <w:rPr>
        <w:i/>
        <w:iCs/>
        <w:color w:val="005DA2"/>
      </w:rPr>
      <w:t xml:space="preserve"> </w:t>
    </w:r>
    <w:proofErr w:type="gramEnd"/>
    <w:r w:rsidRPr="006717E0">
      <w:rPr>
        <w:i/>
        <w:iCs/>
        <w:color w:val="005DA2"/>
      </w:rPr>
      <w:t>de</w:t>
    </w:r>
    <w:r>
      <w:rPr>
        <w:i/>
        <w:iCs/>
        <w:color w:val="005DA2"/>
      </w:rPr>
      <w:t xml:space="preserve"> junho de 2020</w:t>
    </w:r>
  </w:p>
  <w:p w:rsidR="007B72CB" w:rsidRPr="006717E0" w:rsidRDefault="007B72CB" w:rsidP="00654B75">
    <w:pPr>
      <w:pStyle w:val="Cabealho"/>
      <w:jc w:val="right"/>
      <w:rPr>
        <w:i/>
        <w:iCs/>
        <w:color w:val="005DA2"/>
      </w:rPr>
    </w:pPr>
  </w:p>
  <w:p w:rsidR="007B72CB" w:rsidRPr="005D1DE4" w:rsidRDefault="007B72CB" w:rsidP="00CE7555">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CB" w:rsidRDefault="007B72CB">
    <w:pPr>
      <w:pStyle w:val="Cabealho"/>
    </w:pPr>
    <w:r>
      <w:rPr>
        <w:noProof/>
      </w:rPr>
      <w:drawing>
        <wp:inline distT="0" distB="0" distL="0" distR="0" wp14:anchorId="17CAE0E5" wp14:editId="5D226E8E">
          <wp:extent cx="2383790" cy="571500"/>
          <wp:effectExtent l="0" t="0" r="0" b="0"/>
          <wp:docPr id="245" name="Imagem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790" cy="571500"/>
                  </a:xfrm>
                  <a:prstGeom prst="rect">
                    <a:avLst/>
                  </a:prstGeom>
                  <a:noFill/>
                  <a:ln>
                    <a:noFill/>
                  </a:ln>
                </pic:spPr>
              </pic:pic>
            </a:graphicData>
          </a:graphic>
        </wp:inline>
      </w:drawing>
    </w:r>
  </w:p>
  <w:p w:rsidR="007B72CB" w:rsidRDefault="007B72CB">
    <w:pPr>
      <w:pStyle w:val="Cabealho"/>
    </w:pPr>
    <w:r>
      <w:rPr>
        <w:rFonts w:ascii="Bebas Neue Regular" w:hAnsi="Bebas Neue Regular"/>
        <w:noProof/>
        <w:color w:val="006699"/>
        <w:sz w:val="30"/>
      </w:rPr>
      <w:drawing>
        <wp:inline distT="0" distB="0" distL="0" distR="0" wp14:anchorId="0CF834BA" wp14:editId="290B6FB4">
          <wp:extent cx="6124575" cy="8953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8086" cy="898787"/>
                  </a:xfrm>
                  <a:prstGeom prst="rect">
                    <a:avLst/>
                  </a:prstGeom>
                  <a:noFill/>
                  <a:ln>
                    <a:noFill/>
                  </a:ln>
                </pic:spPr>
              </pic:pic>
            </a:graphicData>
          </a:graphic>
        </wp:inline>
      </w:drawing>
    </w:r>
  </w:p>
  <w:p w:rsidR="007B72CB" w:rsidRDefault="007B72CB">
    <w:pPr>
      <w:pStyle w:val="Cabealho"/>
    </w:pPr>
  </w:p>
  <w:p w:rsidR="007B72CB" w:rsidRPr="006717E0" w:rsidRDefault="007B72CB" w:rsidP="00075BDB">
    <w:pPr>
      <w:pStyle w:val="Cabealho"/>
      <w:tabs>
        <w:tab w:val="clear" w:pos="4419"/>
        <w:tab w:val="clear" w:pos="8838"/>
        <w:tab w:val="left" w:pos="2793"/>
      </w:tabs>
      <w:jc w:val="right"/>
      <w:rPr>
        <w:b/>
        <w:color w:val="005DA2"/>
        <w:sz w:val="40"/>
        <w:szCs w:val="40"/>
      </w:rPr>
    </w:pPr>
    <w:r>
      <w:tab/>
    </w:r>
    <w:r>
      <w:tab/>
    </w:r>
    <w:r>
      <w:tab/>
    </w:r>
    <w:r>
      <w:tab/>
    </w:r>
    <w:r>
      <w:tab/>
    </w:r>
    <w:r>
      <w:tab/>
    </w:r>
    <w:r w:rsidRPr="006717E0">
      <w:rPr>
        <w:b/>
        <w:color w:val="005DA2"/>
        <w:sz w:val="40"/>
        <w:szCs w:val="40"/>
      </w:rPr>
      <w:t>Nº 2</w:t>
    </w:r>
    <w:r>
      <w:rPr>
        <w:b/>
        <w:color w:val="005DA2"/>
        <w:sz w:val="40"/>
        <w:szCs w:val="40"/>
      </w:rPr>
      <w:t>21</w:t>
    </w:r>
  </w:p>
  <w:p w:rsidR="007B72CB" w:rsidRPr="006717E0" w:rsidRDefault="007B72CB">
    <w:pPr>
      <w:pStyle w:val="Cabealho"/>
      <w:jc w:val="right"/>
      <w:rPr>
        <w:i/>
        <w:iCs/>
        <w:color w:val="005DA2"/>
        <w:sz w:val="10"/>
        <w:szCs w:val="10"/>
      </w:rPr>
    </w:pPr>
  </w:p>
  <w:p w:rsidR="007B72CB" w:rsidRPr="006717E0" w:rsidRDefault="007B72CB" w:rsidP="009A16E8">
    <w:pPr>
      <w:pStyle w:val="Cabealho"/>
      <w:jc w:val="right"/>
      <w:rPr>
        <w:i/>
        <w:iCs/>
        <w:color w:val="005DA2"/>
      </w:rPr>
    </w:pPr>
    <w:r w:rsidRPr="006717E0">
      <w:rPr>
        <w:i/>
        <w:iCs/>
        <w:color w:val="005DA2"/>
      </w:rPr>
      <w:t xml:space="preserve">Período: </w:t>
    </w:r>
    <w:r>
      <w:rPr>
        <w:i/>
        <w:iCs/>
        <w:color w:val="005DA2"/>
      </w:rPr>
      <w:t xml:space="preserve">15 a 30 </w:t>
    </w:r>
    <w:r w:rsidRPr="006717E0">
      <w:rPr>
        <w:i/>
        <w:iCs/>
        <w:color w:val="005DA2"/>
      </w:rPr>
      <w:t>de</w:t>
    </w:r>
    <w:r>
      <w:rPr>
        <w:i/>
        <w:iCs/>
        <w:color w:val="005DA2"/>
      </w:rPr>
      <w:t xml:space="preserve"> junho de 2020</w:t>
    </w:r>
  </w:p>
  <w:p w:rsidR="007B72CB" w:rsidRDefault="007B72CB" w:rsidP="009A16E8">
    <w:pPr>
      <w:pStyle w:val="Cabealho"/>
      <w:jc w:val="right"/>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7AE740C9"/>
    <w:multiLevelType w:val="hybridMultilevel"/>
    <w:tmpl w:val="B9D22EE6"/>
    <w:lvl w:ilvl="0" w:tplc="93941AA8">
      <w:start w:val="1"/>
      <w:numFmt w:val="upperRoman"/>
      <w:lvlText w:val="%1."/>
      <w:lvlJc w:val="left"/>
      <w:pPr>
        <w:ind w:left="5256" w:hanging="720"/>
      </w:pPr>
      <w:rPr>
        <w:rFonts w:cs="Times New Roman" w:hint="default"/>
        <w:b/>
      </w:rPr>
    </w:lvl>
    <w:lvl w:ilvl="1" w:tplc="04160019" w:tentative="1">
      <w:start w:val="1"/>
      <w:numFmt w:val="lowerLetter"/>
      <w:lvlText w:val="%2."/>
      <w:lvlJc w:val="left"/>
      <w:pPr>
        <w:ind w:left="5616" w:hanging="360"/>
      </w:pPr>
      <w:rPr>
        <w:rFonts w:cs="Times New Roman"/>
      </w:rPr>
    </w:lvl>
    <w:lvl w:ilvl="2" w:tplc="0416001B" w:tentative="1">
      <w:start w:val="1"/>
      <w:numFmt w:val="lowerRoman"/>
      <w:lvlText w:val="%3."/>
      <w:lvlJc w:val="right"/>
      <w:pPr>
        <w:ind w:left="6336" w:hanging="180"/>
      </w:pPr>
      <w:rPr>
        <w:rFonts w:cs="Times New Roman"/>
      </w:rPr>
    </w:lvl>
    <w:lvl w:ilvl="3" w:tplc="0416000F" w:tentative="1">
      <w:start w:val="1"/>
      <w:numFmt w:val="decimal"/>
      <w:lvlText w:val="%4."/>
      <w:lvlJc w:val="left"/>
      <w:pPr>
        <w:ind w:left="7056" w:hanging="360"/>
      </w:pPr>
      <w:rPr>
        <w:rFonts w:cs="Times New Roman"/>
      </w:rPr>
    </w:lvl>
    <w:lvl w:ilvl="4" w:tplc="04160019" w:tentative="1">
      <w:start w:val="1"/>
      <w:numFmt w:val="lowerLetter"/>
      <w:lvlText w:val="%5."/>
      <w:lvlJc w:val="left"/>
      <w:pPr>
        <w:ind w:left="7776" w:hanging="360"/>
      </w:pPr>
      <w:rPr>
        <w:rFonts w:cs="Times New Roman"/>
      </w:rPr>
    </w:lvl>
    <w:lvl w:ilvl="5" w:tplc="0416001B" w:tentative="1">
      <w:start w:val="1"/>
      <w:numFmt w:val="lowerRoman"/>
      <w:lvlText w:val="%6."/>
      <w:lvlJc w:val="right"/>
      <w:pPr>
        <w:ind w:left="8496" w:hanging="180"/>
      </w:pPr>
      <w:rPr>
        <w:rFonts w:cs="Times New Roman"/>
      </w:rPr>
    </w:lvl>
    <w:lvl w:ilvl="6" w:tplc="0416000F" w:tentative="1">
      <w:start w:val="1"/>
      <w:numFmt w:val="decimal"/>
      <w:lvlText w:val="%7."/>
      <w:lvlJc w:val="left"/>
      <w:pPr>
        <w:ind w:left="9216" w:hanging="360"/>
      </w:pPr>
      <w:rPr>
        <w:rFonts w:cs="Times New Roman"/>
      </w:rPr>
    </w:lvl>
    <w:lvl w:ilvl="7" w:tplc="04160019" w:tentative="1">
      <w:start w:val="1"/>
      <w:numFmt w:val="lowerLetter"/>
      <w:lvlText w:val="%8."/>
      <w:lvlJc w:val="left"/>
      <w:pPr>
        <w:ind w:left="9936" w:hanging="360"/>
      </w:pPr>
      <w:rPr>
        <w:rFonts w:cs="Times New Roman"/>
      </w:rPr>
    </w:lvl>
    <w:lvl w:ilvl="8" w:tplc="0416001B" w:tentative="1">
      <w:start w:val="1"/>
      <w:numFmt w:val="lowerRoman"/>
      <w:lvlText w:val="%9."/>
      <w:lvlJc w:val="right"/>
      <w:pPr>
        <w:ind w:left="10656"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6625"/>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FE"/>
    <w:rsid w:val="00004C36"/>
    <w:rsid w:val="00004EF8"/>
    <w:rsid w:val="000132A3"/>
    <w:rsid w:val="0001790D"/>
    <w:rsid w:val="00020CD0"/>
    <w:rsid w:val="00021967"/>
    <w:rsid w:val="000228E6"/>
    <w:rsid w:val="000249BA"/>
    <w:rsid w:val="00024CE9"/>
    <w:rsid w:val="000303C3"/>
    <w:rsid w:val="00032056"/>
    <w:rsid w:val="000322FB"/>
    <w:rsid w:val="000332F1"/>
    <w:rsid w:val="00034034"/>
    <w:rsid w:val="00040BBC"/>
    <w:rsid w:val="000425FC"/>
    <w:rsid w:val="00047F3C"/>
    <w:rsid w:val="00050E85"/>
    <w:rsid w:val="0005125E"/>
    <w:rsid w:val="00052550"/>
    <w:rsid w:val="00055A9D"/>
    <w:rsid w:val="00056752"/>
    <w:rsid w:val="0005765E"/>
    <w:rsid w:val="00057B87"/>
    <w:rsid w:val="0006020E"/>
    <w:rsid w:val="00063834"/>
    <w:rsid w:val="00064486"/>
    <w:rsid w:val="00065048"/>
    <w:rsid w:val="000665D5"/>
    <w:rsid w:val="000733B4"/>
    <w:rsid w:val="00073643"/>
    <w:rsid w:val="00073880"/>
    <w:rsid w:val="00075BDB"/>
    <w:rsid w:val="00076E4F"/>
    <w:rsid w:val="00077A5F"/>
    <w:rsid w:val="00077EAD"/>
    <w:rsid w:val="00080C40"/>
    <w:rsid w:val="00080F10"/>
    <w:rsid w:val="000816C5"/>
    <w:rsid w:val="000858FB"/>
    <w:rsid w:val="0009237D"/>
    <w:rsid w:val="00093AE9"/>
    <w:rsid w:val="00093BA8"/>
    <w:rsid w:val="00094103"/>
    <w:rsid w:val="00095471"/>
    <w:rsid w:val="000A04E6"/>
    <w:rsid w:val="000A2745"/>
    <w:rsid w:val="000A4C94"/>
    <w:rsid w:val="000A6DDE"/>
    <w:rsid w:val="000B2973"/>
    <w:rsid w:val="000B4D41"/>
    <w:rsid w:val="000B67DF"/>
    <w:rsid w:val="000B7CDE"/>
    <w:rsid w:val="000C3022"/>
    <w:rsid w:val="000C38FA"/>
    <w:rsid w:val="000C58F4"/>
    <w:rsid w:val="000C5AC6"/>
    <w:rsid w:val="000C672B"/>
    <w:rsid w:val="000C6790"/>
    <w:rsid w:val="000E0A91"/>
    <w:rsid w:val="000E1DC1"/>
    <w:rsid w:val="000E5C57"/>
    <w:rsid w:val="000E7CBE"/>
    <w:rsid w:val="000F01F9"/>
    <w:rsid w:val="000F0A8E"/>
    <w:rsid w:val="000F260C"/>
    <w:rsid w:val="00106A93"/>
    <w:rsid w:val="001144F9"/>
    <w:rsid w:val="0011575C"/>
    <w:rsid w:val="0011692E"/>
    <w:rsid w:val="00122C2A"/>
    <w:rsid w:val="001257D7"/>
    <w:rsid w:val="001365EE"/>
    <w:rsid w:val="00136E86"/>
    <w:rsid w:val="00137564"/>
    <w:rsid w:val="00137DC1"/>
    <w:rsid w:val="00141630"/>
    <w:rsid w:val="00142C28"/>
    <w:rsid w:val="001444DA"/>
    <w:rsid w:val="00152238"/>
    <w:rsid w:val="0015612D"/>
    <w:rsid w:val="00161CDE"/>
    <w:rsid w:val="00161E91"/>
    <w:rsid w:val="00163142"/>
    <w:rsid w:val="001648F5"/>
    <w:rsid w:val="00167E80"/>
    <w:rsid w:val="00176D15"/>
    <w:rsid w:val="0018296E"/>
    <w:rsid w:val="00183803"/>
    <w:rsid w:val="00184590"/>
    <w:rsid w:val="0018640B"/>
    <w:rsid w:val="00187A37"/>
    <w:rsid w:val="00187BEF"/>
    <w:rsid w:val="0019151D"/>
    <w:rsid w:val="001920CD"/>
    <w:rsid w:val="00192C9D"/>
    <w:rsid w:val="00193208"/>
    <w:rsid w:val="001932B7"/>
    <w:rsid w:val="00194264"/>
    <w:rsid w:val="00197B15"/>
    <w:rsid w:val="001B025A"/>
    <w:rsid w:val="001B2C08"/>
    <w:rsid w:val="001C04D2"/>
    <w:rsid w:val="001C21FB"/>
    <w:rsid w:val="001C271F"/>
    <w:rsid w:val="001C3281"/>
    <w:rsid w:val="001C5885"/>
    <w:rsid w:val="001C6C93"/>
    <w:rsid w:val="001D4CF9"/>
    <w:rsid w:val="001D4E17"/>
    <w:rsid w:val="001D550B"/>
    <w:rsid w:val="001D5AB0"/>
    <w:rsid w:val="001D6AC9"/>
    <w:rsid w:val="001D757D"/>
    <w:rsid w:val="001E14A9"/>
    <w:rsid w:val="001E14BB"/>
    <w:rsid w:val="001E3B29"/>
    <w:rsid w:val="001E4B57"/>
    <w:rsid w:val="001E5BD1"/>
    <w:rsid w:val="001E6C64"/>
    <w:rsid w:val="001E713B"/>
    <w:rsid w:val="001E79B4"/>
    <w:rsid w:val="001F030F"/>
    <w:rsid w:val="001F2F34"/>
    <w:rsid w:val="001F3CD3"/>
    <w:rsid w:val="001F45E0"/>
    <w:rsid w:val="001F58BD"/>
    <w:rsid w:val="001F689A"/>
    <w:rsid w:val="00200A8C"/>
    <w:rsid w:val="002017D2"/>
    <w:rsid w:val="00204C97"/>
    <w:rsid w:val="00206810"/>
    <w:rsid w:val="00207D1D"/>
    <w:rsid w:val="002156DC"/>
    <w:rsid w:val="002168DE"/>
    <w:rsid w:val="00220B10"/>
    <w:rsid w:val="00222CF6"/>
    <w:rsid w:val="00223F6E"/>
    <w:rsid w:val="00224AC2"/>
    <w:rsid w:val="00227004"/>
    <w:rsid w:val="00230183"/>
    <w:rsid w:val="0023559D"/>
    <w:rsid w:val="00237380"/>
    <w:rsid w:val="002402B0"/>
    <w:rsid w:val="00242069"/>
    <w:rsid w:val="002449F9"/>
    <w:rsid w:val="00245199"/>
    <w:rsid w:val="00255732"/>
    <w:rsid w:val="00257B4A"/>
    <w:rsid w:val="00260B37"/>
    <w:rsid w:val="002635ED"/>
    <w:rsid w:val="002662BA"/>
    <w:rsid w:val="00266A22"/>
    <w:rsid w:val="00266D49"/>
    <w:rsid w:val="00271C5C"/>
    <w:rsid w:val="00271E67"/>
    <w:rsid w:val="002730B5"/>
    <w:rsid w:val="00276468"/>
    <w:rsid w:val="0027659F"/>
    <w:rsid w:val="002766D5"/>
    <w:rsid w:val="0027684A"/>
    <w:rsid w:val="00276EA0"/>
    <w:rsid w:val="00280594"/>
    <w:rsid w:val="00282620"/>
    <w:rsid w:val="002834D2"/>
    <w:rsid w:val="00285064"/>
    <w:rsid w:val="00287917"/>
    <w:rsid w:val="00287D4A"/>
    <w:rsid w:val="002900D2"/>
    <w:rsid w:val="002930E4"/>
    <w:rsid w:val="002A219D"/>
    <w:rsid w:val="002A22C6"/>
    <w:rsid w:val="002A521A"/>
    <w:rsid w:val="002A546D"/>
    <w:rsid w:val="002B0750"/>
    <w:rsid w:val="002B4738"/>
    <w:rsid w:val="002B6377"/>
    <w:rsid w:val="002C2904"/>
    <w:rsid w:val="002C6261"/>
    <w:rsid w:val="002E3B9F"/>
    <w:rsid w:val="002E78CB"/>
    <w:rsid w:val="002F28E5"/>
    <w:rsid w:val="002F71BF"/>
    <w:rsid w:val="003070C9"/>
    <w:rsid w:val="003074FC"/>
    <w:rsid w:val="0031207D"/>
    <w:rsid w:val="003137EF"/>
    <w:rsid w:val="003200A0"/>
    <w:rsid w:val="00322F7A"/>
    <w:rsid w:val="0033397A"/>
    <w:rsid w:val="003339E9"/>
    <w:rsid w:val="00340D16"/>
    <w:rsid w:val="00340E8D"/>
    <w:rsid w:val="00342846"/>
    <w:rsid w:val="003503FC"/>
    <w:rsid w:val="00350ED0"/>
    <w:rsid w:val="00352B27"/>
    <w:rsid w:val="0035374D"/>
    <w:rsid w:val="00355A95"/>
    <w:rsid w:val="00363255"/>
    <w:rsid w:val="0036325E"/>
    <w:rsid w:val="003671FE"/>
    <w:rsid w:val="0037018B"/>
    <w:rsid w:val="003708FD"/>
    <w:rsid w:val="003726D1"/>
    <w:rsid w:val="003745DE"/>
    <w:rsid w:val="0037667D"/>
    <w:rsid w:val="00377D5F"/>
    <w:rsid w:val="00380212"/>
    <w:rsid w:val="00383A89"/>
    <w:rsid w:val="00384075"/>
    <w:rsid w:val="00384531"/>
    <w:rsid w:val="003908C5"/>
    <w:rsid w:val="00393131"/>
    <w:rsid w:val="0039326C"/>
    <w:rsid w:val="00396053"/>
    <w:rsid w:val="003971B2"/>
    <w:rsid w:val="003A0E52"/>
    <w:rsid w:val="003A1335"/>
    <w:rsid w:val="003A1F0A"/>
    <w:rsid w:val="003A4086"/>
    <w:rsid w:val="003A5E5B"/>
    <w:rsid w:val="003B045C"/>
    <w:rsid w:val="003B0538"/>
    <w:rsid w:val="003B0A59"/>
    <w:rsid w:val="003B3EB5"/>
    <w:rsid w:val="003B4E23"/>
    <w:rsid w:val="003B6246"/>
    <w:rsid w:val="003B6B09"/>
    <w:rsid w:val="003B767E"/>
    <w:rsid w:val="003C01E8"/>
    <w:rsid w:val="003C0554"/>
    <w:rsid w:val="003C1AB7"/>
    <w:rsid w:val="003C6FE7"/>
    <w:rsid w:val="003D032E"/>
    <w:rsid w:val="003D4205"/>
    <w:rsid w:val="003E1C53"/>
    <w:rsid w:val="003E3694"/>
    <w:rsid w:val="003F2078"/>
    <w:rsid w:val="003F5EA7"/>
    <w:rsid w:val="004034A8"/>
    <w:rsid w:val="0040506F"/>
    <w:rsid w:val="0041011C"/>
    <w:rsid w:val="0041353C"/>
    <w:rsid w:val="004163E7"/>
    <w:rsid w:val="004166C3"/>
    <w:rsid w:val="00416D9A"/>
    <w:rsid w:val="00420228"/>
    <w:rsid w:val="00423641"/>
    <w:rsid w:val="00426AA4"/>
    <w:rsid w:val="0042772A"/>
    <w:rsid w:val="004323B0"/>
    <w:rsid w:val="00437995"/>
    <w:rsid w:val="0044014F"/>
    <w:rsid w:val="00444E88"/>
    <w:rsid w:val="004477EC"/>
    <w:rsid w:val="00450BAD"/>
    <w:rsid w:val="00454078"/>
    <w:rsid w:val="00454245"/>
    <w:rsid w:val="0045657C"/>
    <w:rsid w:val="00456B0F"/>
    <w:rsid w:val="00457A40"/>
    <w:rsid w:val="004655CC"/>
    <w:rsid w:val="004669B8"/>
    <w:rsid w:val="00466DB9"/>
    <w:rsid w:val="004672FC"/>
    <w:rsid w:val="0047004F"/>
    <w:rsid w:val="00470EF8"/>
    <w:rsid w:val="00472851"/>
    <w:rsid w:val="004731B7"/>
    <w:rsid w:val="0047749E"/>
    <w:rsid w:val="00486521"/>
    <w:rsid w:val="00486DFC"/>
    <w:rsid w:val="00490CFC"/>
    <w:rsid w:val="004922D6"/>
    <w:rsid w:val="00494DD1"/>
    <w:rsid w:val="004A094C"/>
    <w:rsid w:val="004A1432"/>
    <w:rsid w:val="004A14FC"/>
    <w:rsid w:val="004A2500"/>
    <w:rsid w:val="004A5264"/>
    <w:rsid w:val="004A5908"/>
    <w:rsid w:val="004A7C59"/>
    <w:rsid w:val="004B21AD"/>
    <w:rsid w:val="004B3120"/>
    <w:rsid w:val="004B63FB"/>
    <w:rsid w:val="004C011C"/>
    <w:rsid w:val="004C14EA"/>
    <w:rsid w:val="004C2118"/>
    <w:rsid w:val="004C2612"/>
    <w:rsid w:val="004C749C"/>
    <w:rsid w:val="004C759F"/>
    <w:rsid w:val="004D6000"/>
    <w:rsid w:val="004D60CD"/>
    <w:rsid w:val="004D6415"/>
    <w:rsid w:val="004D697F"/>
    <w:rsid w:val="004D71E8"/>
    <w:rsid w:val="004E393E"/>
    <w:rsid w:val="004E39DA"/>
    <w:rsid w:val="004E4507"/>
    <w:rsid w:val="004E4619"/>
    <w:rsid w:val="004F0A7D"/>
    <w:rsid w:val="004F5040"/>
    <w:rsid w:val="00503095"/>
    <w:rsid w:val="005059F5"/>
    <w:rsid w:val="00512D1B"/>
    <w:rsid w:val="00513789"/>
    <w:rsid w:val="0051538E"/>
    <w:rsid w:val="00517E01"/>
    <w:rsid w:val="005208C8"/>
    <w:rsid w:val="00521EEC"/>
    <w:rsid w:val="00530B90"/>
    <w:rsid w:val="00530FA0"/>
    <w:rsid w:val="00536EDA"/>
    <w:rsid w:val="005405E7"/>
    <w:rsid w:val="00543122"/>
    <w:rsid w:val="00543B94"/>
    <w:rsid w:val="005460BD"/>
    <w:rsid w:val="005521C8"/>
    <w:rsid w:val="00552D4A"/>
    <w:rsid w:val="00553197"/>
    <w:rsid w:val="0055409E"/>
    <w:rsid w:val="00554139"/>
    <w:rsid w:val="005543D8"/>
    <w:rsid w:val="00556367"/>
    <w:rsid w:val="00556B35"/>
    <w:rsid w:val="005703D6"/>
    <w:rsid w:val="00572803"/>
    <w:rsid w:val="00573E13"/>
    <w:rsid w:val="005767AA"/>
    <w:rsid w:val="005811A4"/>
    <w:rsid w:val="00584496"/>
    <w:rsid w:val="005848D7"/>
    <w:rsid w:val="00584F82"/>
    <w:rsid w:val="00591DFA"/>
    <w:rsid w:val="00597DB2"/>
    <w:rsid w:val="005A30AA"/>
    <w:rsid w:val="005A4ED6"/>
    <w:rsid w:val="005A5695"/>
    <w:rsid w:val="005B031E"/>
    <w:rsid w:val="005B0A1C"/>
    <w:rsid w:val="005B22CE"/>
    <w:rsid w:val="005B2F00"/>
    <w:rsid w:val="005B3792"/>
    <w:rsid w:val="005B523B"/>
    <w:rsid w:val="005B57DE"/>
    <w:rsid w:val="005B6F6A"/>
    <w:rsid w:val="005C12EE"/>
    <w:rsid w:val="005C1886"/>
    <w:rsid w:val="005C761E"/>
    <w:rsid w:val="005D0E5F"/>
    <w:rsid w:val="005D1DE4"/>
    <w:rsid w:val="005E18BC"/>
    <w:rsid w:val="005E1BDB"/>
    <w:rsid w:val="005E2A3F"/>
    <w:rsid w:val="005E35BD"/>
    <w:rsid w:val="005E3D4D"/>
    <w:rsid w:val="005E3F64"/>
    <w:rsid w:val="005E60E9"/>
    <w:rsid w:val="005E7FD1"/>
    <w:rsid w:val="005F0522"/>
    <w:rsid w:val="005F0545"/>
    <w:rsid w:val="005F2858"/>
    <w:rsid w:val="005F52AB"/>
    <w:rsid w:val="006002E3"/>
    <w:rsid w:val="00602FF7"/>
    <w:rsid w:val="0060683F"/>
    <w:rsid w:val="006145AC"/>
    <w:rsid w:val="00615F98"/>
    <w:rsid w:val="006207F5"/>
    <w:rsid w:val="00621CAC"/>
    <w:rsid w:val="00621F9C"/>
    <w:rsid w:val="00623D44"/>
    <w:rsid w:val="00631166"/>
    <w:rsid w:val="00631F1C"/>
    <w:rsid w:val="00636289"/>
    <w:rsid w:val="006366A4"/>
    <w:rsid w:val="00640D6E"/>
    <w:rsid w:val="006425DD"/>
    <w:rsid w:val="00643B60"/>
    <w:rsid w:val="006456B1"/>
    <w:rsid w:val="00654B75"/>
    <w:rsid w:val="006564EC"/>
    <w:rsid w:val="0066084C"/>
    <w:rsid w:val="00661B23"/>
    <w:rsid w:val="006628FD"/>
    <w:rsid w:val="00665956"/>
    <w:rsid w:val="00665CCF"/>
    <w:rsid w:val="006717E0"/>
    <w:rsid w:val="00672CF9"/>
    <w:rsid w:val="00672E11"/>
    <w:rsid w:val="0068273B"/>
    <w:rsid w:val="006847A0"/>
    <w:rsid w:val="00691234"/>
    <w:rsid w:val="00692202"/>
    <w:rsid w:val="006931CC"/>
    <w:rsid w:val="006947F2"/>
    <w:rsid w:val="00696523"/>
    <w:rsid w:val="00697919"/>
    <w:rsid w:val="006B145C"/>
    <w:rsid w:val="006B3FCF"/>
    <w:rsid w:val="006B46CA"/>
    <w:rsid w:val="006B549E"/>
    <w:rsid w:val="006B54A7"/>
    <w:rsid w:val="006C0391"/>
    <w:rsid w:val="006C28B3"/>
    <w:rsid w:val="006D0B48"/>
    <w:rsid w:val="006D1F66"/>
    <w:rsid w:val="006D306E"/>
    <w:rsid w:val="006D4497"/>
    <w:rsid w:val="006D7C49"/>
    <w:rsid w:val="006E1A9C"/>
    <w:rsid w:val="006E3B5C"/>
    <w:rsid w:val="006E5D21"/>
    <w:rsid w:val="006F1AAE"/>
    <w:rsid w:val="006F62EB"/>
    <w:rsid w:val="006F6C15"/>
    <w:rsid w:val="00700B1B"/>
    <w:rsid w:val="007023BC"/>
    <w:rsid w:val="007029CF"/>
    <w:rsid w:val="00707022"/>
    <w:rsid w:val="0070727E"/>
    <w:rsid w:val="007101D6"/>
    <w:rsid w:val="00710D3A"/>
    <w:rsid w:val="0071315F"/>
    <w:rsid w:val="007159C7"/>
    <w:rsid w:val="00720057"/>
    <w:rsid w:val="00721942"/>
    <w:rsid w:val="00722BE7"/>
    <w:rsid w:val="00723134"/>
    <w:rsid w:val="00730CC7"/>
    <w:rsid w:val="00732DF2"/>
    <w:rsid w:val="0073442D"/>
    <w:rsid w:val="00735B8F"/>
    <w:rsid w:val="007403B3"/>
    <w:rsid w:val="00750B85"/>
    <w:rsid w:val="00752730"/>
    <w:rsid w:val="007568FD"/>
    <w:rsid w:val="007614F1"/>
    <w:rsid w:val="007618C5"/>
    <w:rsid w:val="00764066"/>
    <w:rsid w:val="00764D55"/>
    <w:rsid w:val="00766B7B"/>
    <w:rsid w:val="0077600F"/>
    <w:rsid w:val="007760AE"/>
    <w:rsid w:val="00776118"/>
    <w:rsid w:val="00781C77"/>
    <w:rsid w:val="00787495"/>
    <w:rsid w:val="00790F13"/>
    <w:rsid w:val="00793A1C"/>
    <w:rsid w:val="00796745"/>
    <w:rsid w:val="007A28FF"/>
    <w:rsid w:val="007A4009"/>
    <w:rsid w:val="007A4F78"/>
    <w:rsid w:val="007A52F4"/>
    <w:rsid w:val="007A6AF4"/>
    <w:rsid w:val="007A7125"/>
    <w:rsid w:val="007B0F83"/>
    <w:rsid w:val="007B5D65"/>
    <w:rsid w:val="007B72CB"/>
    <w:rsid w:val="007C0A4F"/>
    <w:rsid w:val="007D0081"/>
    <w:rsid w:val="007D19FC"/>
    <w:rsid w:val="007D29A1"/>
    <w:rsid w:val="007D2B4E"/>
    <w:rsid w:val="007D2DB0"/>
    <w:rsid w:val="007D2EE9"/>
    <w:rsid w:val="007D469A"/>
    <w:rsid w:val="007D61D0"/>
    <w:rsid w:val="007D6D94"/>
    <w:rsid w:val="007D6F8C"/>
    <w:rsid w:val="007E069C"/>
    <w:rsid w:val="007E094E"/>
    <w:rsid w:val="007E0EA7"/>
    <w:rsid w:val="007E26A1"/>
    <w:rsid w:val="007E37B1"/>
    <w:rsid w:val="007E3F23"/>
    <w:rsid w:val="007E53A4"/>
    <w:rsid w:val="007F02D5"/>
    <w:rsid w:val="007F142E"/>
    <w:rsid w:val="007F289C"/>
    <w:rsid w:val="007F2BBE"/>
    <w:rsid w:val="007F3CEB"/>
    <w:rsid w:val="007F66BC"/>
    <w:rsid w:val="007F7B5E"/>
    <w:rsid w:val="00800B97"/>
    <w:rsid w:val="00801246"/>
    <w:rsid w:val="00801F11"/>
    <w:rsid w:val="00802B1A"/>
    <w:rsid w:val="00805CD2"/>
    <w:rsid w:val="0080615C"/>
    <w:rsid w:val="0081027F"/>
    <w:rsid w:val="00815622"/>
    <w:rsid w:val="0081742D"/>
    <w:rsid w:val="00817AB1"/>
    <w:rsid w:val="00820419"/>
    <w:rsid w:val="00820817"/>
    <w:rsid w:val="00821F4D"/>
    <w:rsid w:val="00823906"/>
    <w:rsid w:val="00823E24"/>
    <w:rsid w:val="00836AC2"/>
    <w:rsid w:val="008409D3"/>
    <w:rsid w:val="008420B2"/>
    <w:rsid w:val="0084319F"/>
    <w:rsid w:val="00843F5F"/>
    <w:rsid w:val="00844374"/>
    <w:rsid w:val="00844FEB"/>
    <w:rsid w:val="00845559"/>
    <w:rsid w:val="0084797B"/>
    <w:rsid w:val="00852ABC"/>
    <w:rsid w:val="008532E4"/>
    <w:rsid w:val="00854DB8"/>
    <w:rsid w:val="00854EF2"/>
    <w:rsid w:val="00855623"/>
    <w:rsid w:val="00855D99"/>
    <w:rsid w:val="0086211B"/>
    <w:rsid w:val="008622CF"/>
    <w:rsid w:val="008627C6"/>
    <w:rsid w:val="0086308A"/>
    <w:rsid w:val="00863B86"/>
    <w:rsid w:val="008652A2"/>
    <w:rsid w:val="008706CD"/>
    <w:rsid w:val="00871F69"/>
    <w:rsid w:val="008722F9"/>
    <w:rsid w:val="00876ACE"/>
    <w:rsid w:val="008813FA"/>
    <w:rsid w:val="00883391"/>
    <w:rsid w:val="008842D0"/>
    <w:rsid w:val="00884AC4"/>
    <w:rsid w:val="0088579D"/>
    <w:rsid w:val="00892883"/>
    <w:rsid w:val="008942D5"/>
    <w:rsid w:val="0089707B"/>
    <w:rsid w:val="008A1A58"/>
    <w:rsid w:val="008A4233"/>
    <w:rsid w:val="008A49DF"/>
    <w:rsid w:val="008A4AFF"/>
    <w:rsid w:val="008A5FA7"/>
    <w:rsid w:val="008A68E7"/>
    <w:rsid w:val="008A7953"/>
    <w:rsid w:val="008B1828"/>
    <w:rsid w:val="008B3081"/>
    <w:rsid w:val="008B32D4"/>
    <w:rsid w:val="008C7AD0"/>
    <w:rsid w:val="008D0020"/>
    <w:rsid w:val="008D3C38"/>
    <w:rsid w:val="008D3C4B"/>
    <w:rsid w:val="008D6A05"/>
    <w:rsid w:val="008E12B6"/>
    <w:rsid w:val="008E2184"/>
    <w:rsid w:val="008E2AE5"/>
    <w:rsid w:val="008E3CCE"/>
    <w:rsid w:val="008E3F89"/>
    <w:rsid w:val="008E5117"/>
    <w:rsid w:val="008E7D58"/>
    <w:rsid w:val="008F26CB"/>
    <w:rsid w:val="008F36EC"/>
    <w:rsid w:val="008F3D95"/>
    <w:rsid w:val="008F6509"/>
    <w:rsid w:val="008F65B6"/>
    <w:rsid w:val="008F79D9"/>
    <w:rsid w:val="009027C8"/>
    <w:rsid w:val="00910EEF"/>
    <w:rsid w:val="00920B0C"/>
    <w:rsid w:val="00922D1B"/>
    <w:rsid w:val="00930461"/>
    <w:rsid w:val="0093467A"/>
    <w:rsid w:val="009353F1"/>
    <w:rsid w:val="009376D6"/>
    <w:rsid w:val="0094155C"/>
    <w:rsid w:val="00951531"/>
    <w:rsid w:val="00953B29"/>
    <w:rsid w:val="0095741E"/>
    <w:rsid w:val="009609CB"/>
    <w:rsid w:val="00960A3B"/>
    <w:rsid w:val="0096375C"/>
    <w:rsid w:val="00963D6F"/>
    <w:rsid w:val="00967DE0"/>
    <w:rsid w:val="00971E07"/>
    <w:rsid w:val="00971E5F"/>
    <w:rsid w:val="00971F6D"/>
    <w:rsid w:val="009802D2"/>
    <w:rsid w:val="00980944"/>
    <w:rsid w:val="009815A9"/>
    <w:rsid w:val="00986D77"/>
    <w:rsid w:val="00993A6E"/>
    <w:rsid w:val="009943EC"/>
    <w:rsid w:val="009A16E8"/>
    <w:rsid w:val="009A1BAD"/>
    <w:rsid w:val="009A32D5"/>
    <w:rsid w:val="009A541D"/>
    <w:rsid w:val="009A5D37"/>
    <w:rsid w:val="009A610E"/>
    <w:rsid w:val="009A6BD9"/>
    <w:rsid w:val="009A76A2"/>
    <w:rsid w:val="009B289E"/>
    <w:rsid w:val="009B320F"/>
    <w:rsid w:val="009B41F7"/>
    <w:rsid w:val="009B479C"/>
    <w:rsid w:val="009B6012"/>
    <w:rsid w:val="009B6455"/>
    <w:rsid w:val="009C0EBA"/>
    <w:rsid w:val="009C102D"/>
    <w:rsid w:val="009C2A4F"/>
    <w:rsid w:val="009C4834"/>
    <w:rsid w:val="009D10FB"/>
    <w:rsid w:val="009D1BDE"/>
    <w:rsid w:val="009D232F"/>
    <w:rsid w:val="009D2FB1"/>
    <w:rsid w:val="009D312C"/>
    <w:rsid w:val="009D4C59"/>
    <w:rsid w:val="009D7F91"/>
    <w:rsid w:val="009E20EF"/>
    <w:rsid w:val="009E26EE"/>
    <w:rsid w:val="009E312E"/>
    <w:rsid w:val="009E534D"/>
    <w:rsid w:val="009E6646"/>
    <w:rsid w:val="009F1C7B"/>
    <w:rsid w:val="009F21A2"/>
    <w:rsid w:val="00A00D70"/>
    <w:rsid w:val="00A00DEE"/>
    <w:rsid w:val="00A01E4F"/>
    <w:rsid w:val="00A02580"/>
    <w:rsid w:val="00A0468E"/>
    <w:rsid w:val="00A201D9"/>
    <w:rsid w:val="00A27889"/>
    <w:rsid w:val="00A32D95"/>
    <w:rsid w:val="00A32FBF"/>
    <w:rsid w:val="00A3307E"/>
    <w:rsid w:val="00A407EA"/>
    <w:rsid w:val="00A40D9C"/>
    <w:rsid w:val="00A51749"/>
    <w:rsid w:val="00A521B6"/>
    <w:rsid w:val="00A56962"/>
    <w:rsid w:val="00A62DD3"/>
    <w:rsid w:val="00A6382F"/>
    <w:rsid w:val="00A63855"/>
    <w:rsid w:val="00A6412C"/>
    <w:rsid w:val="00A72FAF"/>
    <w:rsid w:val="00A75419"/>
    <w:rsid w:val="00A76661"/>
    <w:rsid w:val="00A76D2A"/>
    <w:rsid w:val="00A81F5B"/>
    <w:rsid w:val="00A82081"/>
    <w:rsid w:val="00A8557E"/>
    <w:rsid w:val="00A87756"/>
    <w:rsid w:val="00A903E4"/>
    <w:rsid w:val="00A91181"/>
    <w:rsid w:val="00A935AC"/>
    <w:rsid w:val="00A96424"/>
    <w:rsid w:val="00AA06DA"/>
    <w:rsid w:val="00AA3D5D"/>
    <w:rsid w:val="00AA3DE0"/>
    <w:rsid w:val="00AB04BD"/>
    <w:rsid w:val="00AB299E"/>
    <w:rsid w:val="00AB3847"/>
    <w:rsid w:val="00AB395A"/>
    <w:rsid w:val="00AB507C"/>
    <w:rsid w:val="00AB606E"/>
    <w:rsid w:val="00AB7B50"/>
    <w:rsid w:val="00AC096E"/>
    <w:rsid w:val="00AC4F6C"/>
    <w:rsid w:val="00AD0ED3"/>
    <w:rsid w:val="00AD1400"/>
    <w:rsid w:val="00AD2BB0"/>
    <w:rsid w:val="00AD6E76"/>
    <w:rsid w:val="00AE3EAA"/>
    <w:rsid w:val="00AE5EDF"/>
    <w:rsid w:val="00AE758A"/>
    <w:rsid w:val="00AF77DF"/>
    <w:rsid w:val="00B03BC8"/>
    <w:rsid w:val="00B06261"/>
    <w:rsid w:val="00B06914"/>
    <w:rsid w:val="00B0754F"/>
    <w:rsid w:val="00B108BA"/>
    <w:rsid w:val="00B108E6"/>
    <w:rsid w:val="00B12273"/>
    <w:rsid w:val="00B13F59"/>
    <w:rsid w:val="00B14F7F"/>
    <w:rsid w:val="00B15004"/>
    <w:rsid w:val="00B16EB9"/>
    <w:rsid w:val="00B22F24"/>
    <w:rsid w:val="00B22F53"/>
    <w:rsid w:val="00B23538"/>
    <w:rsid w:val="00B24DBE"/>
    <w:rsid w:val="00B335D5"/>
    <w:rsid w:val="00B34EB2"/>
    <w:rsid w:val="00B408DE"/>
    <w:rsid w:val="00B4728A"/>
    <w:rsid w:val="00B517C3"/>
    <w:rsid w:val="00B518B2"/>
    <w:rsid w:val="00B526EA"/>
    <w:rsid w:val="00B5311A"/>
    <w:rsid w:val="00B536FE"/>
    <w:rsid w:val="00B55AB4"/>
    <w:rsid w:val="00B60670"/>
    <w:rsid w:val="00B645E4"/>
    <w:rsid w:val="00B73FFA"/>
    <w:rsid w:val="00B74A6E"/>
    <w:rsid w:val="00B82CC4"/>
    <w:rsid w:val="00B838C3"/>
    <w:rsid w:val="00B85AF5"/>
    <w:rsid w:val="00B86218"/>
    <w:rsid w:val="00B874F1"/>
    <w:rsid w:val="00B877E0"/>
    <w:rsid w:val="00B91001"/>
    <w:rsid w:val="00B95963"/>
    <w:rsid w:val="00B974FB"/>
    <w:rsid w:val="00BA4636"/>
    <w:rsid w:val="00BB3D37"/>
    <w:rsid w:val="00BC1DE7"/>
    <w:rsid w:val="00BC1FE2"/>
    <w:rsid w:val="00BC209E"/>
    <w:rsid w:val="00BC292A"/>
    <w:rsid w:val="00BC2C67"/>
    <w:rsid w:val="00BC54BC"/>
    <w:rsid w:val="00BC5AEE"/>
    <w:rsid w:val="00BD2A95"/>
    <w:rsid w:val="00BD2CA9"/>
    <w:rsid w:val="00BD6029"/>
    <w:rsid w:val="00BD75B0"/>
    <w:rsid w:val="00BE0541"/>
    <w:rsid w:val="00BE1ADB"/>
    <w:rsid w:val="00BE3152"/>
    <w:rsid w:val="00BE555C"/>
    <w:rsid w:val="00BF0693"/>
    <w:rsid w:val="00BF0867"/>
    <w:rsid w:val="00BF6308"/>
    <w:rsid w:val="00C028BC"/>
    <w:rsid w:val="00C070DE"/>
    <w:rsid w:val="00C071F9"/>
    <w:rsid w:val="00C07598"/>
    <w:rsid w:val="00C15175"/>
    <w:rsid w:val="00C15EC0"/>
    <w:rsid w:val="00C1742B"/>
    <w:rsid w:val="00C20810"/>
    <w:rsid w:val="00C216BD"/>
    <w:rsid w:val="00C230F3"/>
    <w:rsid w:val="00C232C2"/>
    <w:rsid w:val="00C239E0"/>
    <w:rsid w:val="00C26DFB"/>
    <w:rsid w:val="00C273FA"/>
    <w:rsid w:val="00C30D06"/>
    <w:rsid w:val="00C37916"/>
    <w:rsid w:val="00C42067"/>
    <w:rsid w:val="00C432D0"/>
    <w:rsid w:val="00C4398E"/>
    <w:rsid w:val="00C44218"/>
    <w:rsid w:val="00C4666E"/>
    <w:rsid w:val="00C51600"/>
    <w:rsid w:val="00C54185"/>
    <w:rsid w:val="00C57E92"/>
    <w:rsid w:val="00C60B4A"/>
    <w:rsid w:val="00C61DAD"/>
    <w:rsid w:val="00C64A29"/>
    <w:rsid w:val="00C65BDB"/>
    <w:rsid w:val="00C66C95"/>
    <w:rsid w:val="00C6738C"/>
    <w:rsid w:val="00C71A3B"/>
    <w:rsid w:val="00C757CC"/>
    <w:rsid w:val="00C75ED0"/>
    <w:rsid w:val="00C76CFA"/>
    <w:rsid w:val="00C819C8"/>
    <w:rsid w:val="00C84A53"/>
    <w:rsid w:val="00C850F8"/>
    <w:rsid w:val="00C8747B"/>
    <w:rsid w:val="00C87D5B"/>
    <w:rsid w:val="00C92A5A"/>
    <w:rsid w:val="00C94FF6"/>
    <w:rsid w:val="00C963F8"/>
    <w:rsid w:val="00C96BB1"/>
    <w:rsid w:val="00C970C8"/>
    <w:rsid w:val="00CA2F80"/>
    <w:rsid w:val="00CA3ECF"/>
    <w:rsid w:val="00CA4AE6"/>
    <w:rsid w:val="00CB0C2A"/>
    <w:rsid w:val="00CB3B98"/>
    <w:rsid w:val="00CB7D7E"/>
    <w:rsid w:val="00CC22E1"/>
    <w:rsid w:val="00CC4B2B"/>
    <w:rsid w:val="00CC51C4"/>
    <w:rsid w:val="00CC579C"/>
    <w:rsid w:val="00CC5F5F"/>
    <w:rsid w:val="00CC6BEC"/>
    <w:rsid w:val="00CC743B"/>
    <w:rsid w:val="00CD3460"/>
    <w:rsid w:val="00CD44C9"/>
    <w:rsid w:val="00CD47A7"/>
    <w:rsid w:val="00CD4B61"/>
    <w:rsid w:val="00CD5043"/>
    <w:rsid w:val="00CD59E7"/>
    <w:rsid w:val="00CE066A"/>
    <w:rsid w:val="00CE2928"/>
    <w:rsid w:val="00CE314A"/>
    <w:rsid w:val="00CE5865"/>
    <w:rsid w:val="00CE737B"/>
    <w:rsid w:val="00CE7555"/>
    <w:rsid w:val="00CF3622"/>
    <w:rsid w:val="00CF3D9D"/>
    <w:rsid w:val="00CF6B77"/>
    <w:rsid w:val="00D00018"/>
    <w:rsid w:val="00D01C50"/>
    <w:rsid w:val="00D03659"/>
    <w:rsid w:val="00D06058"/>
    <w:rsid w:val="00D11B24"/>
    <w:rsid w:val="00D11C18"/>
    <w:rsid w:val="00D12FFF"/>
    <w:rsid w:val="00D133C8"/>
    <w:rsid w:val="00D14DB8"/>
    <w:rsid w:val="00D17339"/>
    <w:rsid w:val="00D244D5"/>
    <w:rsid w:val="00D2639E"/>
    <w:rsid w:val="00D2776A"/>
    <w:rsid w:val="00D31480"/>
    <w:rsid w:val="00D4021B"/>
    <w:rsid w:val="00D4059E"/>
    <w:rsid w:val="00D413DB"/>
    <w:rsid w:val="00D41890"/>
    <w:rsid w:val="00D41D4E"/>
    <w:rsid w:val="00D420E2"/>
    <w:rsid w:val="00D42248"/>
    <w:rsid w:val="00D4459D"/>
    <w:rsid w:val="00D44B24"/>
    <w:rsid w:val="00D52863"/>
    <w:rsid w:val="00D570E4"/>
    <w:rsid w:val="00D573F9"/>
    <w:rsid w:val="00D60532"/>
    <w:rsid w:val="00D6058B"/>
    <w:rsid w:val="00D608E5"/>
    <w:rsid w:val="00D60A95"/>
    <w:rsid w:val="00D62D9E"/>
    <w:rsid w:val="00D63EC5"/>
    <w:rsid w:val="00D6459D"/>
    <w:rsid w:val="00D64BC3"/>
    <w:rsid w:val="00D66C46"/>
    <w:rsid w:val="00D708CB"/>
    <w:rsid w:val="00D72C05"/>
    <w:rsid w:val="00D73575"/>
    <w:rsid w:val="00D735BF"/>
    <w:rsid w:val="00D737B6"/>
    <w:rsid w:val="00D77672"/>
    <w:rsid w:val="00D779F0"/>
    <w:rsid w:val="00D80222"/>
    <w:rsid w:val="00D847CF"/>
    <w:rsid w:val="00D87489"/>
    <w:rsid w:val="00D93BE8"/>
    <w:rsid w:val="00D9627B"/>
    <w:rsid w:val="00DA015E"/>
    <w:rsid w:val="00DA0A99"/>
    <w:rsid w:val="00DA0A9D"/>
    <w:rsid w:val="00DA54D4"/>
    <w:rsid w:val="00DA7603"/>
    <w:rsid w:val="00DA7E39"/>
    <w:rsid w:val="00DA7EDE"/>
    <w:rsid w:val="00DB0223"/>
    <w:rsid w:val="00DB047C"/>
    <w:rsid w:val="00DB5028"/>
    <w:rsid w:val="00DC0AB5"/>
    <w:rsid w:val="00DC30DD"/>
    <w:rsid w:val="00DC3451"/>
    <w:rsid w:val="00DC50EB"/>
    <w:rsid w:val="00DC67B2"/>
    <w:rsid w:val="00DC7F71"/>
    <w:rsid w:val="00DD19F4"/>
    <w:rsid w:val="00DD3FA0"/>
    <w:rsid w:val="00DE24D5"/>
    <w:rsid w:val="00DE2CC9"/>
    <w:rsid w:val="00DE411D"/>
    <w:rsid w:val="00DE5B2D"/>
    <w:rsid w:val="00DE5C3E"/>
    <w:rsid w:val="00DE5CE9"/>
    <w:rsid w:val="00DF3036"/>
    <w:rsid w:val="00DF45BB"/>
    <w:rsid w:val="00DF71EE"/>
    <w:rsid w:val="00DF729A"/>
    <w:rsid w:val="00E006DC"/>
    <w:rsid w:val="00E03064"/>
    <w:rsid w:val="00E03F9C"/>
    <w:rsid w:val="00E04BD5"/>
    <w:rsid w:val="00E070D2"/>
    <w:rsid w:val="00E100F5"/>
    <w:rsid w:val="00E1139A"/>
    <w:rsid w:val="00E126EB"/>
    <w:rsid w:val="00E1539C"/>
    <w:rsid w:val="00E162B6"/>
    <w:rsid w:val="00E16E01"/>
    <w:rsid w:val="00E20FC8"/>
    <w:rsid w:val="00E220DD"/>
    <w:rsid w:val="00E24A50"/>
    <w:rsid w:val="00E25A69"/>
    <w:rsid w:val="00E31469"/>
    <w:rsid w:val="00E3296A"/>
    <w:rsid w:val="00E35639"/>
    <w:rsid w:val="00E361AB"/>
    <w:rsid w:val="00E3622E"/>
    <w:rsid w:val="00E402E1"/>
    <w:rsid w:val="00E4188A"/>
    <w:rsid w:val="00E420AA"/>
    <w:rsid w:val="00E428CA"/>
    <w:rsid w:val="00E42D22"/>
    <w:rsid w:val="00E432CC"/>
    <w:rsid w:val="00E47FF2"/>
    <w:rsid w:val="00E50711"/>
    <w:rsid w:val="00E52522"/>
    <w:rsid w:val="00E531C9"/>
    <w:rsid w:val="00E60AD3"/>
    <w:rsid w:val="00E60EDA"/>
    <w:rsid w:val="00E62BBC"/>
    <w:rsid w:val="00E6577A"/>
    <w:rsid w:val="00E67BAE"/>
    <w:rsid w:val="00E711AE"/>
    <w:rsid w:val="00E716F3"/>
    <w:rsid w:val="00E76789"/>
    <w:rsid w:val="00E774F6"/>
    <w:rsid w:val="00E931FF"/>
    <w:rsid w:val="00E9503C"/>
    <w:rsid w:val="00E956D9"/>
    <w:rsid w:val="00EA10DA"/>
    <w:rsid w:val="00EA1958"/>
    <w:rsid w:val="00EA29F5"/>
    <w:rsid w:val="00EA482D"/>
    <w:rsid w:val="00EA4C55"/>
    <w:rsid w:val="00EA52B3"/>
    <w:rsid w:val="00EA6938"/>
    <w:rsid w:val="00EB5FE6"/>
    <w:rsid w:val="00EB61A5"/>
    <w:rsid w:val="00EB6C1B"/>
    <w:rsid w:val="00EB7A09"/>
    <w:rsid w:val="00EC04A5"/>
    <w:rsid w:val="00EC0EDC"/>
    <w:rsid w:val="00EC5AF4"/>
    <w:rsid w:val="00EC6FA8"/>
    <w:rsid w:val="00EC7E0B"/>
    <w:rsid w:val="00ED2A67"/>
    <w:rsid w:val="00ED4508"/>
    <w:rsid w:val="00ED661C"/>
    <w:rsid w:val="00ED7FB5"/>
    <w:rsid w:val="00EE1D6C"/>
    <w:rsid w:val="00EE41B5"/>
    <w:rsid w:val="00EE66C9"/>
    <w:rsid w:val="00EF10DB"/>
    <w:rsid w:val="00EF11A9"/>
    <w:rsid w:val="00EF38E1"/>
    <w:rsid w:val="00EF749A"/>
    <w:rsid w:val="00EF771E"/>
    <w:rsid w:val="00F012E0"/>
    <w:rsid w:val="00F02565"/>
    <w:rsid w:val="00F026EC"/>
    <w:rsid w:val="00F05542"/>
    <w:rsid w:val="00F060BB"/>
    <w:rsid w:val="00F06855"/>
    <w:rsid w:val="00F13A96"/>
    <w:rsid w:val="00F16245"/>
    <w:rsid w:val="00F16D0F"/>
    <w:rsid w:val="00F17A2C"/>
    <w:rsid w:val="00F17E86"/>
    <w:rsid w:val="00F21A70"/>
    <w:rsid w:val="00F23254"/>
    <w:rsid w:val="00F26708"/>
    <w:rsid w:val="00F30FF2"/>
    <w:rsid w:val="00F32CEC"/>
    <w:rsid w:val="00F3463D"/>
    <w:rsid w:val="00F37F29"/>
    <w:rsid w:val="00F42243"/>
    <w:rsid w:val="00F43793"/>
    <w:rsid w:val="00F45608"/>
    <w:rsid w:val="00F47E3B"/>
    <w:rsid w:val="00F511EE"/>
    <w:rsid w:val="00F52475"/>
    <w:rsid w:val="00F53215"/>
    <w:rsid w:val="00F54576"/>
    <w:rsid w:val="00F55574"/>
    <w:rsid w:val="00F558E7"/>
    <w:rsid w:val="00F60363"/>
    <w:rsid w:val="00F62016"/>
    <w:rsid w:val="00F63F44"/>
    <w:rsid w:val="00F6401B"/>
    <w:rsid w:val="00F65243"/>
    <w:rsid w:val="00F6746D"/>
    <w:rsid w:val="00F675D5"/>
    <w:rsid w:val="00F74361"/>
    <w:rsid w:val="00F753D1"/>
    <w:rsid w:val="00F7766D"/>
    <w:rsid w:val="00F777B1"/>
    <w:rsid w:val="00F811CD"/>
    <w:rsid w:val="00F82D8F"/>
    <w:rsid w:val="00F83AC5"/>
    <w:rsid w:val="00F83F62"/>
    <w:rsid w:val="00F907EB"/>
    <w:rsid w:val="00F9711D"/>
    <w:rsid w:val="00FA011F"/>
    <w:rsid w:val="00FA1DCF"/>
    <w:rsid w:val="00FA3E3A"/>
    <w:rsid w:val="00FA7544"/>
    <w:rsid w:val="00FA75E0"/>
    <w:rsid w:val="00FA7771"/>
    <w:rsid w:val="00FB0AFB"/>
    <w:rsid w:val="00FB0C06"/>
    <w:rsid w:val="00FB0DC9"/>
    <w:rsid w:val="00FB20B1"/>
    <w:rsid w:val="00FB27AA"/>
    <w:rsid w:val="00FB3AB4"/>
    <w:rsid w:val="00FB6188"/>
    <w:rsid w:val="00FB78D2"/>
    <w:rsid w:val="00FC35EC"/>
    <w:rsid w:val="00FC56A4"/>
    <w:rsid w:val="00FC6872"/>
    <w:rsid w:val="00FD029A"/>
    <w:rsid w:val="00FD3D06"/>
    <w:rsid w:val="00FD5662"/>
    <w:rsid w:val="00FD642E"/>
    <w:rsid w:val="00FD72B6"/>
    <w:rsid w:val="00FE00AD"/>
    <w:rsid w:val="00FE206E"/>
    <w:rsid w:val="00FE421F"/>
    <w:rsid w:val="00FE499F"/>
    <w:rsid w:val="00FE4BA5"/>
    <w:rsid w:val="00FF03DC"/>
    <w:rsid w:val="00FF6DEE"/>
    <w:rsid w:val="00FF70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link w:val="EmentaChar1"/>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link w:val="IdentificaoChar"/>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qFormat/>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 w:type="character" w:customStyle="1" w:styleId="InternetLink">
    <w:name w:val="Internet Link"/>
    <w:uiPriority w:val="99"/>
    <w:rsid w:val="002834D2"/>
    <w:rPr>
      <w:rFonts w:ascii="Times New Roman" w:eastAsia="Times New Roman" w:hAnsi="Times New Roman" w:cs="Times New Roman" w:hint="default"/>
      <w:color w:val="0000FF"/>
      <w:u w:val="single"/>
    </w:rPr>
  </w:style>
  <w:style w:type="character" w:customStyle="1" w:styleId="IdentificaoChar">
    <w:name w:val="Identificação Char"/>
    <w:link w:val="Identificao"/>
    <w:uiPriority w:val="99"/>
    <w:locked/>
    <w:rsid w:val="00106A93"/>
    <w:rPr>
      <w:rFonts w:ascii="Courier New" w:hAnsi="Courier New" w:cs="Courier New"/>
      <w:color w:val="000000"/>
      <w:sz w:val="24"/>
      <w:szCs w:val="24"/>
      <w:lang w:val="en-US"/>
    </w:rPr>
  </w:style>
  <w:style w:type="character" w:customStyle="1" w:styleId="EmentaChar1">
    <w:name w:val="Ementa Char1"/>
    <w:link w:val="Ementa"/>
    <w:uiPriority w:val="99"/>
    <w:locked/>
    <w:rsid w:val="00CA4AE6"/>
    <w:rPr>
      <w:rFonts w:ascii="Courier New" w:hAnsi="Courier New" w:cs="Courier New"/>
      <w:color w:val="808000"/>
      <w:sz w:val="24"/>
      <w:szCs w:val="24"/>
      <w:lang w:val="en-US"/>
    </w:rPr>
  </w:style>
  <w:style w:type="paragraph" w:customStyle="1" w:styleId="corpo1">
    <w:name w:val="corpo"/>
    <w:basedOn w:val="Normal"/>
    <w:rsid w:val="000132A3"/>
    <w:pPr>
      <w:autoSpaceDE/>
      <w:autoSpaceDN/>
      <w:spacing w:before="100" w:beforeAutospacing="1" w:after="100" w:afterAutospacing="1"/>
    </w:pPr>
    <w:rPr>
      <w:rFonts w:eastAsiaTheme="minorEastAsia"/>
      <w:sz w:val="24"/>
      <w:szCs w:val="24"/>
    </w:rPr>
  </w:style>
  <w:style w:type="paragraph" w:styleId="SemEspaamento">
    <w:name w:val="No Spacing"/>
    <w:uiPriority w:val="1"/>
    <w:qFormat/>
    <w:rsid w:val="00E931FF"/>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link w:val="EmentaChar1"/>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link w:val="IdentificaoChar"/>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qFormat/>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 w:type="character" w:customStyle="1" w:styleId="InternetLink">
    <w:name w:val="Internet Link"/>
    <w:uiPriority w:val="99"/>
    <w:rsid w:val="002834D2"/>
    <w:rPr>
      <w:rFonts w:ascii="Times New Roman" w:eastAsia="Times New Roman" w:hAnsi="Times New Roman" w:cs="Times New Roman" w:hint="default"/>
      <w:color w:val="0000FF"/>
      <w:u w:val="single"/>
    </w:rPr>
  </w:style>
  <w:style w:type="character" w:customStyle="1" w:styleId="IdentificaoChar">
    <w:name w:val="Identificação Char"/>
    <w:link w:val="Identificao"/>
    <w:uiPriority w:val="99"/>
    <w:locked/>
    <w:rsid w:val="00106A93"/>
    <w:rPr>
      <w:rFonts w:ascii="Courier New" w:hAnsi="Courier New" w:cs="Courier New"/>
      <w:color w:val="000000"/>
      <w:sz w:val="24"/>
      <w:szCs w:val="24"/>
      <w:lang w:val="en-US"/>
    </w:rPr>
  </w:style>
  <w:style w:type="character" w:customStyle="1" w:styleId="EmentaChar1">
    <w:name w:val="Ementa Char1"/>
    <w:link w:val="Ementa"/>
    <w:uiPriority w:val="99"/>
    <w:locked/>
    <w:rsid w:val="00CA4AE6"/>
    <w:rPr>
      <w:rFonts w:ascii="Courier New" w:hAnsi="Courier New" w:cs="Courier New"/>
      <w:color w:val="808000"/>
      <w:sz w:val="24"/>
      <w:szCs w:val="24"/>
      <w:lang w:val="en-US"/>
    </w:rPr>
  </w:style>
  <w:style w:type="paragraph" w:customStyle="1" w:styleId="corpo1">
    <w:name w:val="corpo"/>
    <w:basedOn w:val="Normal"/>
    <w:rsid w:val="000132A3"/>
    <w:pPr>
      <w:autoSpaceDE/>
      <w:autoSpaceDN/>
      <w:spacing w:before="100" w:beforeAutospacing="1" w:after="100" w:afterAutospacing="1"/>
    </w:pPr>
    <w:rPr>
      <w:rFonts w:eastAsiaTheme="minorEastAsia"/>
      <w:sz w:val="24"/>
      <w:szCs w:val="24"/>
    </w:rPr>
  </w:style>
  <w:style w:type="paragraph" w:styleId="SemEspaamento">
    <w:name w:val="No Spacing"/>
    <w:uiPriority w:val="1"/>
    <w:qFormat/>
    <w:rsid w:val="00E931F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1864">
      <w:bodyDiv w:val="1"/>
      <w:marLeft w:val="0"/>
      <w:marRight w:val="0"/>
      <w:marTop w:val="0"/>
      <w:marBottom w:val="0"/>
      <w:divBdr>
        <w:top w:val="none" w:sz="0" w:space="0" w:color="auto"/>
        <w:left w:val="none" w:sz="0" w:space="0" w:color="auto"/>
        <w:bottom w:val="none" w:sz="0" w:space="0" w:color="auto"/>
        <w:right w:val="none" w:sz="0" w:space="0" w:color="auto"/>
      </w:divBdr>
    </w:div>
    <w:div w:id="58720479">
      <w:bodyDiv w:val="1"/>
      <w:marLeft w:val="0"/>
      <w:marRight w:val="0"/>
      <w:marTop w:val="0"/>
      <w:marBottom w:val="0"/>
      <w:divBdr>
        <w:top w:val="none" w:sz="0" w:space="0" w:color="auto"/>
        <w:left w:val="none" w:sz="0" w:space="0" w:color="auto"/>
        <w:bottom w:val="none" w:sz="0" w:space="0" w:color="auto"/>
        <w:right w:val="none" w:sz="0" w:space="0" w:color="auto"/>
      </w:divBdr>
    </w:div>
    <w:div w:id="71777616">
      <w:bodyDiv w:val="1"/>
      <w:marLeft w:val="0"/>
      <w:marRight w:val="0"/>
      <w:marTop w:val="0"/>
      <w:marBottom w:val="0"/>
      <w:divBdr>
        <w:top w:val="none" w:sz="0" w:space="0" w:color="auto"/>
        <w:left w:val="none" w:sz="0" w:space="0" w:color="auto"/>
        <w:bottom w:val="none" w:sz="0" w:space="0" w:color="auto"/>
        <w:right w:val="none" w:sz="0" w:space="0" w:color="auto"/>
      </w:divBdr>
    </w:div>
    <w:div w:id="94636870">
      <w:bodyDiv w:val="1"/>
      <w:marLeft w:val="0"/>
      <w:marRight w:val="0"/>
      <w:marTop w:val="0"/>
      <w:marBottom w:val="0"/>
      <w:divBdr>
        <w:top w:val="none" w:sz="0" w:space="0" w:color="auto"/>
        <w:left w:val="none" w:sz="0" w:space="0" w:color="auto"/>
        <w:bottom w:val="none" w:sz="0" w:space="0" w:color="auto"/>
        <w:right w:val="none" w:sz="0" w:space="0" w:color="auto"/>
      </w:divBdr>
    </w:div>
    <w:div w:id="110829565">
      <w:bodyDiv w:val="1"/>
      <w:marLeft w:val="0"/>
      <w:marRight w:val="0"/>
      <w:marTop w:val="0"/>
      <w:marBottom w:val="0"/>
      <w:divBdr>
        <w:top w:val="none" w:sz="0" w:space="0" w:color="auto"/>
        <w:left w:val="none" w:sz="0" w:space="0" w:color="auto"/>
        <w:bottom w:val="none" w:sz="0" w:space="0" w:color="auto"/>
        <w:right w:val="none" w:sz="0" w:space="0" w:color="auto"/>
      </w:divBdr>
    </w:div>
    <w:div w:id="134493279">
      <w:bodyDiv w:val="1"/>
      <w:marLeft w:val="0"/>
      <w:marRight w:val="0"/>
      <w:marTop w:val="0"/>
      <w:marBottom w:val="0"/>
      <w:divBdr>
        <w:top w:val="none" w:sz="0" w:space="0" w:color="auto"/>
        <w:left w:val="none" w:sz="0" w:space="0" w:color="auto"/>
        <w:bottom w:val="none" w:sz="0" w:space="0" w:color="auto"/>
        <w:right w:val="none" w:sz="0" w:space="0" w:color="auto"/>
      </w:divBdr>
    </w:div>
    <w:div w:id="251092764">
      <w:bodyDiv w:val="1"/>
      <w:marLeft w:val="0"/>
      <w:marRight w:val="0"/>
      <w:marTop w:val="0"/>
      <w:marBottom w:val="0"/>
      <w:divBdr>
        <w:top w:val="none" w:sz="0" w:space="0" w:color="auto"/>
        <w:left w:val="none" w:sz="0" w:space="0" w:color="auto"/>
        <w:bottom w:val="none" w:sz="0" w:space="0" w:color="auto"/>
        <w:right w:val="none" w:sz="0" w:space="0" w:color="auto"/>
      </w:divBdr>
    </w:div>
    <w:div w:id="339935789">
      <w:bodyDiv w:val="1"/>
      <w:marLeft w:val="0"/>
      <w:marRight w:val="0"/>
      <w:marTop w:val="0"/>
      <w:marBottom w:val="0"/>
      <w:divBdr>
        <w:top w:val="none" w:sz="0" w:space="0" w:color="auto"/>
        <w:left w:val="none" w:sz="0" w:space="0" w:color="auto"/>
        <w:bottom w:val="none" w:sz="0" w:space="0" w:color="auto"/>
        <w:right w:val="none" w:sz="0" w:space="0" w:color="auto"/>
      </w:divBdr>
    </w:div>
    <w:div w:id="440610443">
      <w:bodyDiv w:val="1"/>
      <w:marLeft w:val="0"/>
      <w:marRight w:val="0"/>
      <w:marTop w:val="0"/>
      <w:marBottom w:val="0"/>
      <w:divBdr>
        <w:top w:val="none" w:sz="0" w:space="0" w:color="auto"/>
        <w:left w:val="none" w:sz="0" w:space="0" w:color="auto"/>
        <w:bottom w:val="none" w:sz="0" w:space="0" w:color="auto"/>
        <w:right w:val="none" w:sz="0" w:space="0" w:color="auto"/>
      </w:divBdr>
    </w:div>
    <w:div w:id="455611774">
      <w:bodyDiv w:val="1"/>
      <w:marLeft w:val="0"/>
      <w:marRight w:val="0"/>
      <w:marTop w:val="0"/>
      <w:marBottom w:val="0"/>
      <w:divBdr>
        <w:top w:val="none" w:sz="0" w:space="0" w:color="auto"/>
        <w:left w:val="none" w:sz="0" w:space="0" w:color="auto"/>
        <w:bottom w:val="none" w:sz="0" w:space="0" w:color="auto"/>
        <w:right w:val="none" w:sz="0" w:space="0" w:color="auto"/>
      </w:divBdr>
    </w:div>
    <w:div w:id="489447207">
      <w:bodyDiv w:val="1"/>
      <w:marLeft w:val="0"/>
      <w:marRight w:val="0"/>
      <w:marTop w:val="0"/>
      <w:marBottom w:val="0"/>
      <w:divBdr>
        <w:top w:val="none" w:sz="0" w:space="0" w:color="auto"/>
        <w:left w:val="none" w:sz="0" w:space="0" w:color="auto"/>
        <w:bottom w:val="none" w:sz="0" w:space="0" w:color="auto"/>
        <w:right w:val="none" w:sz="0" w:space="0" w:color="auto"/>
      </w:divBdr>
    </w:div>
    <w:div w:id="738020269">
      <w:bodyDiv w:val="1"/>
      <w:marLeft w:val="0"/>
      <w:marRight w:val="0"/>
      <w:marTop w:val="0"/>
      <w:marBottom w:val="0"/>
      <w:divBdr>
        <w:top w:val="none" w:sz="0" w:space="0" w:color="auto"/>
        <w:left w:val="none" w:sz="0" w:space="0" w:color="auto"/>
        <w:bottom w:val="none" w:sz="0" w:space="0" w:color="auto"/>
        <w:right w:val="none" w:sz="0" w:space="0" w:color="auto"/>
      </w:divBdr>
    </w:div>
    <w:div w:id="837768374">
      <w:bodyDiv w:val="1"/>
      <w:marLeft w:val="0"/>
      <w:marRight w:val="0"/>
      <w:marTop w:val="0"/>
      <w:marBottom w:val="0"/>
      <w:divBdr>
        <w:top w:val="none" w:sz="0" w:space="0" w:color="auto"/>
        <w:left w:val="none" w:sz="0" w:space="0" w:color="auto"/>
        <w:bottom w:val="none" w:sz="0" w:space="0" w:color="auto"/>
        <w:right w:val="none" w:sz="0" w:space="0" w:color="auto"/>
      </w:divBdr>
    </w:div>
    <w:div w:id="945189398">
      <w:bodyDiv w:val="1"/>
      <w:marLeft w:val="0"/>
      <w:marRight w:val="0"/>
      <w:marTop w:val="0"/>
      <w:marBottom w:val="0"/>
      <w:divBdr>
        <w:top w:val="none" w:sz="0" w:space="0" w:color="auto"/>
        <w:left w:val="none" w:sz="0" w:space="0" w:color="auto"/>
        <w:bottom w:val="none" w:sz="0" w:space="0" w:color="auto"/>
        <w:right w:val="none" w:sz="0" w:space="0" w:color="auto"/>
      </w:divBdr>
    </w:div>
    <w:div w:id="1031953862">
      <w:bodyDiv w:val="1"/>
      <w:marLeft w:val="0"/>
      <w:marRight w:val="0"/>
      <w:marTop w:val="0"/>
      <w:marBottom w:val="0"/>
      <w:divBdr>
        <w:top w:val="none" w:sz="0" w:space="0" w:color="auto"/>
        <w:left w:val="none" w:sz="0" w:space="0" w:color="auto"/>
        <w:bottom w:val="none" w:sz="0" w:space="0" w:color="auto"/>
        <w:right w:val="none" w:sz="0" w:space="0" w:color="auto"/>
      </w:divBdr>
    </w:div>
    <w:div w:id="1206989215">
      <w:bodyDiv w:val="1"/>
      <w:marLeft w:val="0"/>
      <w:marRight w:val="0"/>
      <w:marTop w:val="0"/>
      <w:marBottom w:val="0"/>
      <w:divBdr>
        <w:top w:val="none" w:sz="0" w:space="0" w:color="auto"/>
        <w:left w:val="none" w:sz="0" w:space="0" w:color="auto"/>
        <w:bottom w:val="none" w:sz="0" w:space="0" w:color="auto"/>
        <w:right w:val="none" w:sz="0" w:space="0" w:color="auto"/>
      </w:divBdr>
    </w:div>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 w:id="1358892431">
      <w:bodyDiv w:val="1"/>
      <w:marLeft w:val="0"/>
      <w:marRight w:val="0"/>
      <w:marTop w:val="0"/>
      <w:marBottom w:val="0"/>
      <w:divBdr>
        <w:top w:val="none" w:sz="0" w:space="0" w:color="auto"/>
        <w:left w:val="none" w:sz="0" w:space="0" w:color="auto"/>
        <w:bottom w:val="none" w:sz="0" w:space="0" w:color="auto"/>
        <w:right w:val="none" w:sz="0" w:space="0" w:color="auto"/>
      </w:divBdr>
    </w:div>
    <w:div w:id="1367564408">
      <w:bodyDiv w:val="1"/>
      <w:marLeft w:val="0"/>
      <w:marRight w:val="0"/>
      <w:marTop w:val="0"/>
      <w:marBottom w:val="0"/>
      <w:divBdr>
        <w:top w:val="none" w:sz="0" w:space="0" w:color="auto"/>
        <w:left w:val="none" w:sz="0" w:space="0" w:color="auto"/>
        <w:bottom w:val="none" w:sz="0" w:space="0" w:color="auto"/>
        <w:right w:val="none" w:sz="0" w:space="0" w:color="auto"/>
      </w:divBdr>
    </w:div>
    <w:div w:id="1368262234">
      <w:bodyDiv w:val="1"/>
      <w:marLeft w:val="0"/>
      <w:marRight w:val="0"/>
      <w:marTop w:val="0"/>
      <w:marBottom w:val="0"/>
      <w:divBdr>
        <w:top w:val="none" w:sz="0" w:space="0" w:color="auto"/>
        <w:left w:val="none" w:sz="0" w:space="0" w:color="auto"/>
        <w:bottom w:val="none" w:sz="0" w:space="0" w:color="auto"/>
        <w:right w:val="none" w:sz="0" w:space="0" w:color="auto"/>
      </w:divBdr>
    </w:div>
    <w:div w:id="1576278430">
      <w:bodyDiv w:val="1"/>
      <w:marLeft w:val="0"/>
      <w:marRight w:val="0"/>
      <w:marTop w:val="0"/>
      <w:marBottom w:val="0"/>
      <w:divBdr>
        <w:top w:val="none" w:sz="0" w:space="0" w:color="auto"/>
        <w:left w:val="none" w:sz="0" w:space="0" w:color="auto"/>
        <w:bottom w:val="none" w:sz="0" w:space="0" w:color="auto"/>
        <w:right w:val="none" w:sz="0" w:space="0" w:color="auto"/>
      </w:divBdr>
    </w:div>
    <w:div w:id="1710454681">
      <w:bodyDiv w:val="1"/>
      <w:marLeft w:val="0"/>
      <w:marRight w:val="0"/>
      <w:marTop w:val="0"/>
      <w:marBottom w:val="0"/>
      <w:divBdr>
        <w:top w:val="none" w:sz="0" w:space="0" w:color="auto"/>
        <w:left w:val="none" w:sz="0" w:space="0" w:color="auto"/>
        <w:bottom w:val="none" w:sz="0" w:space="0" w:color="auto"/>
        <w:right w:val="none" w:sz="0" w:space="0" w:color="auto"/>
      </w:divBdr>
    </w:div>
    <w:div w:id="1857307909">
      <w:bodyDiv w:val="1"/>
      <w:marLeft w:val="0"/>
      <w:marRight w:val="0"/>
      <w:marTop w:val="0"/>
      <w:marBottom w:val="0"/>
      <w:divBdr>
        <w:top w:val="none" w:sz="0" w:space="0" w:color="auto"/>
        <w:left w:val="none" w:sz="0" w:space="0" w:color="auto"/>
        <w:bottom w:val="none" w:sz="0" w:space="0" w:color="auto"/>
        <w:right w:val="none" w:sz="0" w:space="0" w:color="auto"/>
      </w:divBdr>
    </w:div>
    <w:div w:id="1893346766">
      <w:bodyDiv w:val="1"/>
      <w:marLeft w:val="0"/>
      <w:marRight w:val="0"/>
      <w:marTop w:val="0"/>
      <w:marBottom w:val="0"/>
      <w:divBdr>
        <w:top w:val="none" w:sz="0" w:space="0" w:color="auto"/>
        <w:left w:val="none" w:sz="0" w:space="0" w:color="auto"/>
        <w:bottom w:val="none" w:sz="0" w:space="0" w:color="auto"/>
        <w:right w:val="none" w:sz="0" w:space="0" w:color="auto"/>
      </w:divBdr>
    </w:div>
    <w:div w:id="1906602736">
      <w:bodyDiv w:val="1"/>
      <w:marLeft w:val="0"/>
      <w:marRight w:val="0"/>
      <w:marTop w:val="0"/>
      <w:marBottom w:val="0"/>
      <w:divBdr>
        <w:top w:val="none" w:sz="0" w:space="0" w:color="auto"/>
        <w:left w:val="none" w:sz="0" w:space="0" w:color="auto"/>
        <w:bottom w:val="none" w:sz="0" w:space="0" w:color="auto"/>
        <w:right w:val="none" w:sz="0" w:space="0" w:color="auto"/>
      </w:divBdr>
    </w:div>
    <w:div w:id="1942714517">
      <w:bodyDiv w:val="1"/>
      <w:marLeft w:val="0"/>
      <w:marRight w:val="0"/>
      <w:marTop w:val="0"/>
      <w:marBottom w:val="0"/>
      <w:divBdr>
        <w:top w:val="none" w:sz="0" w:space="0" w:color="auto"/>
        <w:left w:val="none" w:sz="0" w:space="0" w:color="auto"/>
        <w:bottom w:val="none" w:sz="0" w:space="0" w:color="auto"/>
        <w:right w:val="none" w:sz="0" w:space="0" w:color="auto"/>
      </w:divBdr>
    </w:div>
    <w:div w:id="1996297681">
      <w:bodyDiv w:val="1"/>
      <w:marLeft w:val="0"/>
      <w:marRight w:val="0"/>
      <w:marTop w:val="0"/>
      <w:marBottom w:val="0"/>
      <w:divBdr>
        <w:top w:val="none" w:sz="0" w:space="0" w:color="auto"/>
        <w:left w:val="none" w:sz="0" w:space="0" w:color="auto"/>
        <w:bottom w:val="none" w:sz="0" w:space="0" w:color="auto"/>
        <w:right w:val="none" w:sz="0" w:space="0" w:color="auto"/>
      </w:divBdr>
    </w:div>
    <w:div w:id="20715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licacao4.tst.jus.br/consultaProcessual/consultaTstNumUnica.do?consulta=Consultar&amp;conscsjt=&amp;numeroTst=107&amp;digitoTst=24&amp;anoTst=2016&amp;orgaoTst=5&amp;tribunalTst=23&amp;varaTst=0000&amp;submit=Consultar" TargetMode="External"/><Relationship Id="rId18" Type="http://schemas.openxmlformats.org/officeDocument/2006/relationships/hyperlink" Target="http://aplicacao4.tst.jus.br/consultaProcessual/resumoForm.do?consulta=1&amp;numeroInt=184800&amp;anoInt=201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aplicacao4.tst.jus.br/consultaProcessual/consultaTstNumUnica.do?consulta=Consultar&amp;conscsjt=&amp;numeroTst=26&amp;digitoTst=10&amp;anoTst=2017&amp;orgaoTst=5&amp;tribunalTst=02&amp;varaTst=" TargetMode="External"/><Relationship Id="rId7" Type="http://schemas.openxmlformats.org/officeDocument/2006/relationships/footnotes" Target="footnotes.xml"/><Relationship Id="rId12" Type="http://schemas.openxmlformats.org/officeDocument/2006/relationships/hyperlink" Target="http://aplicacao4.tst.jus.br/consultaProcessual/resumoForm.do?consulta=1&amp;numeroInt=166379&amp;anoInt=2013" TargetMode="External"/><Relationship Id="rId17" Type="http://schemas.openxmlformats.org/officeDocument/2006/relationships/hyperlink" Target="http://aplicacao4.tst.jus.br/consultaProcessual/consultaTstNumUnica.do?consulta=Consultar&amp;conscsjt=&amp;numeroTst=10537&amp;digitoTst=56&amp;anoTst=2016&amp;orgaoTst=5&amp;tribunalTst=03&amp;varaTst=0173&amp;submit=Consultar" TargetMode="External"/><Relationship Id="rId25" Type="http://schemas.openxmlformats.org/officeDocument/2006/relationships/hyperlink" Target="http://www.tst.jus.br/push" TargetMode="External"/><Relationship Id="rId2" Type="http://schemas.openxmlformats.org/officeDocument/2006/relationships/numbering" Target="numbering.xml"/><Relationship Id="rId16" Type="http://schemas.openxmlformats.org/officeDocument/2006/relationships/hyperlink" Target="http://aplicacao4.tst.jus.br/consultaProcessual/consultaTstNumUnica.do?consulta=Consultar&amp;conscsjt=&amp;numeroTst=1347&amp;digitoTst=42&amp;anoTst=2014&amp;orgaoTst=5&amp;tribunalTst=&amp;varaTst=" TargetMode="External"/><Relationship Id="rId20" Type="http://schemas.openxmlformats.org/officeDocument/2006/relationships/hyperlink" Target="http://aplicacao4.tst.jus.br/consultaProcessual/consultaTstNumUnica.do?consulta=Consultar&amp;conscsjt=&amp;numeroTst=1776&amp;digitoTst=46&amp;anoTst=2012&amp;orgaoTst=5&amp;tribunalTst=03&amp;varaTst=0021&amp;submit=Consulta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licacao4.tst.jus.br/consultaProcessual/consultaTstNumUnica.do?consulta=Consultar&amp;conscsjt=&amp;numeroTst=11421&amp;digitoTst=44&amp;anoTst=2015&amp;orgaoTst=5&amp;tribunalTst=01&amp;varaTst=0022&amp;submit=Consultar" TargetMode="External"/><Relationship Id="rId24" Type="http://schemas.openxmlformats.org/officeDocument/2006/relationships/hyperlink" Target="http://www.tst.jus.br/web/guest/informativo-tst" TargetMode="External"/><Relationship Id="rId5" Type="http://schemas.openxmlformats.org/officeDocument/2006/relationships/settings" Target="settings.xml"/><Relationship Id="rId15" Type="http://schemas.openxmlformats.org/officeDocument/2006/relationships/hyperlink" Target="http://aplicacao4.tst.jus.br/consultaProcessual/consultaTstNumUnica.do?consulta=Consultar&amp;conscsjt=&amp;numeroTst=10537&amp;digitoTst=56&amp;anoTst=2016&amp;orgaoTst=5&amp;tribunalTst=03&amp;varaTst=0173&amp;submit=Consultar" TargetMode="External"/><Relationship Id="rId23" Type="http://schemas.openxmlformats.org/officeDocument/2006/relationships/hyperlink" Target="mailto:cjur@tst.jus.br" TargetMode="External"/><Relationship Id="rId28" Type="http://schemas.openxmlformats.org/officeDocument/2006/relationships/header" Target="header2.xml"/><Relationship Id="rId10" Type="http://schemas.openxmlformats.org/officeDocument/2006/relationships/hyperlink" Target="http://aplicacao4.tst.jus.br/consultaProcessual/consultaTstNumUnica.do?consulta=Consultar&amp;conscsjt=&amp;numeroTst=11105&amp;digitoTst=22&amp;anoTst=2015&amp;orgaoTst=5&amp;tribunalTst=03&amp;varaTst=" TargetMode="External"/><Relationship Id="rId19" Type="http://schemas.openxmlformats.org/officeDocument/2006/relationships/hyperlink" Target="http://aplicacao4.tst.jus.br/consultaProcessual/consultaTstNumUnica.do?consulta=Consultar&amp;conscsjt=&amp;numeroTst=544&amp;digitoTst=68&amp;anoTst=2014&amp;orgaoTst=5&amp;tribunalTst=06&amp;varaTst=0013&amp;submit=Consultar"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je.tst.jus.br/consultaprocessual/detalhe-processo/1000623-61.2019.5.00.0000" TargetMode="External"/><Relationship Id="rId14" Type="http://schemas.openxmlformats.org/officeDocument/2006/relationships/hyperlink" Target="http://aplicacao4.tst.jus.br/consultaProcessual/consultaTstNumUnica.do?consulta=Consultar&amp;conscsjt=&amp;numeroTst=1789&amp;digitoTst=71&amp;anoTst=2016&amp;orgaoTst=5&amp;tribunalTst=&amp;varaTst=" TargetMode="External"/><Relationship Id="rId22" Type="http://schemas.openxmlformats.org/officeDocument/2006/relationships/hyperlink" Target="http://aplicacao4.tst.jus.br/consultaProcessual/consultaTstNumUnica.do?consulta=Consultar&amp;conscsjt=&amp;numeroTst=8000&amp;digitoTst=27&amp;anoTst=2008&amp;orgaoTst=5&amp;tribunalTst=05&amp;varaTst=0492&amp;submit=Consultar"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DA3D3-859F-436E-A490-3F6E24DB8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Pages>
  <Words>5391</Words>
  <Characters>33131</Characters>
  <Application>Microsoft Office Word</Application>
  <DocSecurity>0</DocSecurity>
  <Lines>276</Lines>
  <Paragraphs>76</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38446</CharactersWithSpaces>
  <SharedDoc>false</SharedDoc>
  <HLinks>
    <vt:vector size="42" baseType="variant">
      <vt:variant>
        <vt:i4>6422567</vt:i4>
      </vt:variant>
      <vt:variant>
        <vt:i4>18</vt:i4>
      </vt:variant>
      <vt:variant>
        <vt:i4>0</vt:i4>
      </vt:variant>
      <vt:variant>
        <vt:i4>5</vt:i4>
      </vt:variant>
      <vt:variant>
        <vt:lpwstr>http://www.tst.jus.br/push</vt:lpwstr>
      </vt:variant>
      <vt:variant>
        <vt:lpwstr/>
      </vt:variant>
      <vt:variant>
        <vt:i4>6422590</vt:i4>
      </vt:variant>
      <vt:variant>
        <vt:i4>15</vt:i4>
      </vt:variant>
      <vt:variant>
        <vt:i4>0</vt:i4>
      </vt:variant>
      <vt:variant>
        <vt:i4>5</vt:i4>
      </vt:variant>
      <vt:variant>
        <vt:lpwstr>http://www.tst.jus.br/informativos</vt:lpwstr>
      </vt:variant>
      <vt:variant>
        <vt:lpwstr/>
      </vt:variant>
      <vt:variant>
        <vt:i4>4194345</vt:i4>
      </vt:variant>
      <vt:variant>
        <vt:i4>12</vt:i4>
      </vt:variant>
      <vt:variant>
        <vt:i4>0</vt:i4>
      </vt:variant>
      <vt:variant>
        <vt:i4>5</vt:i4>
      </vt:variant>
      <vt:variant>
        <vt:lpwstr>mailto:cjur@tst.jus.br</vt:lpwstr>
      </vt:variant>
      <vt:variant>
        <vt:lpwstr/>
      </vt:variant>
      <vt:variant>
        <vt:i4>6357040</vt:i4>
      </vt:variant>
      <vt:variant>
        <vt:i4>9</vt:i4>
      </vt:variant>
      <vt:variant>
        <vt:i4>0</vt:i4>
      </vt:variant>
      <vt:variant>
        <vt:i4>5</vt:i4>
      </vt:variant>
      <vt:variant>
        <vt:lpwstr>http://aplicacao4.tst.jus.br/consultaProcessual/consultaTstNumUnica.do?consulta=Consultar&amp;conscsjt=&amp;numeroTst=293&amp;digitoTst=31&amp;anoTst=2016&amp;orgaoTst=5&amp;tribunalTst=&amp;varaTst=</vt:lpwstr>
      </vt:variant>
      <vt:variant>
        <vt:lpwstr/>
      </vt:variant>
      <vt:variant>
        <vt:i4>1048646</vt:i4>
      </vt:variant>
      <vt:variant>
        <vt:i4>6</vt:i4>
      </vt:variant>
      <vt:variant>
        <vt:i4>0</vt:i4>
      </vt:variant>
      <vt:variant>
        <vt:i4>5</vt:i4>
      </vt:variant>
      <vt:variant>
        <vt:lpwstr>http://aplicacao4.tst.jus.br/consultaProcessual/consultaTstNumUnica.do?consulta=Consultar&amp;conscsjt=&amp;numeroTst=74&amp;digitoTst=70&amp;anoTst=2014&amp;orgaoTst=5&amp;tribunalTst=17&amp;varaTst=0000</vt:lpwstr>
      </vt:variant>
      <vt:variant>
        <vt:lpwstr/>
      </vt:variant>
      <vt:variant>
        <vt:i4>6684729</vt:i4>
      </vt:variant>
      <vt:variant>
        <vt:i4>3</vt:i4>
      </vt:variant>
      <vt:variant>
        <vt:i4>0</vt:i4>
      </vt:variant>
      <vt:variant>
        <vt:i4>5</vt:i4>
      </vt:variant>
      <vt:variant>
        <vt:lpwstr>http://aplicacao4.tst.jus.br/consultaProcessual/consultaTstNumUnica.do?consulta=Consultar&amp;conscsjt=&amp;numeroTst=162&amp;digitoTst=89&amp;anoTst=2016&amp;orgaoTst=5&amp;tribunalTst=&amp;varaTst=</vt:lpwstr>
      </vt:variant>
      <vt:variant>
        <vt:lpwstr/>
      </vt:variant>
      <vt:variant>
        <vt:i4>1245256</vt:i4>
      </vt:variant>
      <vt:variant>
        <vt:i4>0</vt:i4>
      </vt:variant>
      <vt:variant>
        <vt:i4>0</vt:i4>
      </vt:variant>
      <vt:variant>
        <vt:i4>5</vt:i4>
      </vt:variant>
      <vt:variant>
        <vt:lpwstr>http://aplicacao4.tst.jus.br/consultaProcessual/consultaTstNumUnica.do?consulta=Consultar&amp;conscsjt=&amp;numeroTst=1384&amp;digitoTst=61&amp;anoTst=2012&amp;orgaoTst=5&amp;tribunalTst=&amp;varaTst=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creator>C037163</dc:creator>
  <cp:lastModifiedBy>Aline Tacira De Araujo Cherulli Edreira</cp:lastModifiedBy>
  <cp:revision>39</cp:revision>
  <cp:lastPrinted>2019-10-29T20:50:00Z</cp:lastPrinted>
  <dcterms:created xsi:type="dcterms:W3CDTF">2019-11-06T21:32:00Z</dcterms:created>
  <dcterms:modified xsi:type="dcterms:W3CDTF">2020-07-06T21:10:00Z</dcterms:modified>
</cp:coreProperties>
</file>