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4B3120" w:rsidTr="00E3622E">
        <w:trPr>
          <w:trHeight w:val="537"/>
        </w:trPr>
        <w:tc>
          <w:tcPr>
            <w:tcW w:w="9538" w:type="dxa"/>
            <w:tcBorders>
              <w:top w:val="single" w:sz="4" w:space="0" w:color="auto"/>
            </w:tcBorders>
          </w:tcPr>
          <w:p w:rsidR="00E3622E" w:rsidRPr="004B3120" w:rsidRDefault="00C26DFB" w:rsidP="00DC50EB">
            <w:pPr>
              <w:pStyle w:val="Cabealho"/>
              <w:tabs>
                <w:tab w:val="clear" w:pos="4419"/>
                <w:tab w:val="clear" w:pos="8838"/>
              </w:tabs>
              <w:jc w:val="both"/>
            </w:pPr>
            <w:r w:rsidRPr="004B3120">
              <w:t>Este Informativo, elaborado a partir de notas tomadas nas sessões de julgamento, contém resumos não</w:t>
            </w:r>
            <w:r w:rsidR="00DC50EB" w:rsidRPr="004B3120">
              <w:t xml:space="preserve"> </w:t>
            </w:r>
            <w:r w:rsidRPr="004B3120">
              <w:t>oficiais de decisões proferidas pelo Tribunal. A fidelidade dos resumos ao conteúdo efetivo das decisões, embora seja uma das metas perseguidas neste trabalho, somente poderá ser aferida após a sua publicação no Diário</w:t>
            </w:r>
            <w:r w:rsidR="00980944" w:rsidRPr="004B3120">
              <w:t xml:space="preserve"> Eletrônico </w:t>
            </w:r>
            <w:r w:rsidRPr="004B3120">
              <w:t>da Justiça</w:t>
            </w:r>
            <w:r w:rsidR="00980944" w:rsidRPr="004B3120">
              <w:t xml:space="preserve"> do Trabalho</w:t>
            </w:r>
            <w:r w:rsidRPr="004B3120">
              <w:t>.</w:t>
            </w:r>
          </w:p>
          <w:p w:rsidR="00730CC7" w:rsidRPr="004B3120" w:rsidRDefault="00730CC7" w:rsidP="00DC50EB">
            <w:pPr>
              <w:pStyle w:val="Cabealho"/>
              <w:tabs>
                <w:tab w:val="clear" w:pos="4419"/>
                <w:tab w:val="clear" w:pos="8838"/>
              </w:tabs>
              <w:jc w:val="both"/>
              <w:rPr>
                <w:sz w:val="10"/>
                <w:szCs w:val="10"/>
              </w:rPr>
            </w:pPr>
          </w:p>
        </w:tc>
      </w:tr>
    </w:tbl>
    <w:p w:rsidR="005848D7" w:rsidRPr="005848D7" w:rsidRDefault="005848D7" w:rsidP="00F53215">
      <w:pPr>
        <w:jc w:val="both"/>
        <w:rPr>
          <w:u w:val="single"/>
        </w:rPr>
      </w:pPr>
    </w:p>
    <w:p w:rsidR="009A76A2" w:rsidRPr="006717E0"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TURMAS</w:t>
      </w:r>
    </w:p>
    <w:p w:rsidR="009A76A2" w:rsidRPr="004B3120" w:rsidRDefault="009A76A2" w:rsidP="009A76A2">
      <w:pPr>
        <w:pStyle w:val="Cabealho"/>
        <w:tabs>
          <w:tab w:val="clear" w:pos="4419"/>
          <w:tab w:val="clear" w:pos="8838"/>
        </w:tabs>
        <w:jc w:val="center"/>
        <w:rPr>
          <w:i/>
        </w:rPr>
      </w:pPr>
      <w:r w:rsidRPr="004B3120">
        <w:rPr>
          <w:i/>
        </w:rPr>
        <w:t xml:space="preserve">Transcrição de ementas selecionadas </w:t>
      </w:r>
      <w:r w:rsidR="009D2FB1" w:rsidRPr="004B3120">
        <w:rPr>
          <w:i/>
        </w:rPr>
        <w:t>n</w:t>
      </w:r>
      <w:r w:rsidRPr="004B3120">
        <w:rPr>
          <w:i/>
        </w:rPr>
        <w:t>as sessões de julgamento das Turmas do TST.</w:t>
      </w:r>
    </w:p>
    <w:p w:rsidR="004B3120" w:rsidRPr="007B4C52" w:rsidRDefault="004B3120" w:rsidP="004B3120">
      <w:pPr>
        <w:jc w:val="both"/>
        <w:outlineLvl w:val="0"/>
        <w:rPr>
          <w:rFonts w:eastAsiaTheme="minorEastAsia"/>
          <w:i/>
          <w:color w:val="000000"/>
        </w:rPr>
      </w:pPr>
      <w:bookmarkStart w:id="0" w:name="Ementa"/>
      <w:bookmarkStart w:id="1" w:name="tempEmenta"/>
    </w:p>
    <w:bookmarkEnd w:id="0"/>
    <w:bookmarkEnd w:id="1"/>
    <w:p w:rsidR="007B4C52" w:rsidRPr="007B4C52" w:rsidRDefault="007B4C52" w:rsidP="007B4C52">
      <w:pPr>
        <w:pStyle w:val="Ementa"/>
        <w:ind w:left="0"/>
        <w:rPr>
          <w:rFonts w:ascii="Courier" w:hAnsi="Courier" w:cs="Courier"/>
          <w:color w:val="auto"/>
          <w:lang w:val="pt-BR"/>
        </w:rPr>
      </w:pPr>
      <w:r w:rsidRPr="007B4C52">
        <w:rPr>
          <w:rFonts w:ascii="Times New Roman" w:hAnsi="Times New Roman" w:cs="Times New Roman"/>
          <w:bCs/>
          <w:i/>
          <w:color w:val="auto"/>
          <w:lang w:val="pt-BR"/>
        </w:rPr>
        <w:t xml:space="preserve">“RECURSO DE REVISTA. REGIDO LEI </w:t>
      </w:r>
      <w:r w:rsidRPr="007B4C52">
        <w:rPr>
          <w:rFonts w:ascii="Times New Roman" w:hAnsi="Times New Roman" w:cs="Times New Roman"/>
          <w:i/>
          <w:color w:val="auto"/>
          <w:lang w:val="pt-BR"/>
        </w:rPr>
        <w:t>13.467/2017</w:t>
      </w:r>
      <w:r w:rsidRPr="007B4C52">
        <w:rPr>
          <w:rFonts w:ascii="Times New Roman" w:hAnsi="Times New Roman" w:cs="Times New Roman"/>
          <w:bCs/>
          <w:i/>
          <w:color w:val="auto"/>
          <w:lang w:val="pt-BR"/>
        </w:rPr>
        <w:t xml:space="preserve">. </w:t>
      </w:r>
      <w:r w:rsidRPr="007B4C52">
        <w:rPr>
          <w:rFonts w:ascii="Times New Roman" w:hAnsi="Times New Roman" w:cs="Times New Roman"/>
          <w:i/>
          <w:color w:val="auto"/>
          <w:lang w:val="pt-BR"/>
        </w:rPr>
        <w:t>ESTABILIDADE PROVISÓRIA. GESTANTE. CERTIDÃO DE NASCIMENTO DA CRIANÇA</w:t>
      </w:r>
      <w:r w:rsidRPr="007B4C52">
        <w:rPr>
          <w:rFonts w:ascii="Times New Roman" w:hAnsi="Times New Roman" w:cs="Times New Roman"/>
          <w:bCs/>
          <w:i/>
          <w:color w:val="auto"/>
          <w:lang w:val="pt-BR"/>
        </w:rPr>
        <w:t>. DESNECESSIDADE.</w:t>
      </w:r>
      <w:r w:rsidRPr="007B4C52">
        <w:rPr>
          <w:rFonts w:ascii="Times New Roman" w:hAnsi="Times New Roman" w:cs="Times New Roman"/>
          <w:i/>
          <w:color w:val="auto"/>
          <w:lang w:val="pt-BR"/>
        </w:rPr>
        <w:t xml:space="preserve"> TRANSCENDÊNCIA POLÍTICA CARACTERIZADA </w:t>
      </w:r>
      <w:proofErr w:type="gramStart"/>
      <w:r w:rsidRPr="007B4C52">
        <w:rPr>
          <w:rFonts w:ascii="Times New Roman" w:hAnsi="Times New Roman" w:cs="Times New Roman"/>
          <w:i/>
          <w:color w:val="auto"/>
          <w:lang w:val="pt-BR"/>
        </w:rPr>
        <w:t>1</w:t>
      </w:r>
      <w:proofErr w:type="gramEnd"/>
      <w:r w:rsidRPr="007B4C52">
        <w:rPr>
          <w:rFonts w:ascii="Times New Roman" w:hAnsi="Times New Roman" w:cs="Times New Roman"/>
          <w:i/>
          <w:color w:val="auto"/>
          <w:lang w:val="pt-BR"/>
        </w:rPr>
        <w:t>. De acordo com o artigo 896-A da CLT, o Tribunal Superior do Trabalho, no recurso de revista, deve examinar previamente se a causa oferece transcendência com relação aos reflexos gerais de natureza econômica, política, social ou jurídica. 2. No Presente caso o Tribunal Regional consignou que a Autora encontrava-se grávida por ocasião da rescisão contratual, contudo, manteve o indeferimento da estabilidade gestante, ao fundamento de que não houve apresentação da certidão de nascimento da criança.</w:t>
      </w:r>
      <w:r w:rsidRPr="007B4C52">
        <w:rPr>
          <w:rFonts w:ascii="Times New Roman" w:hAnsi="Times New Roman" w:cs="Times New Roman"/>
          <w:b/>
          <w:i/>
          <w:color w:val="auto"/>
          <w:lang w:val="pt-BR"/>
        </w:rPr>
        <w:t xml:space="preserve"> </w:t>
      </w:r>
      <w:r w:rsidRPr="007B4C52">
        <w:rPr>
          <w:rFonts w:ascii="Times New Roman" w:hAnsi="Times New Roman" w:cs="Times New Roman"/>
          <w:i/>
          <w:color w:val="auto"/>
          <w:lang w:val="pt-BR"/>
        </w:rPr>
        <w:t>A estabilidade conferida à gestante pela Constituição Federal objetiva amparar o nascituro, a partir da preservação das condições econômicas mínimas necessárias à tutela de sua saúde e de seu bem-estar. Essa proteção constitui garantia constitucional a todas as trabalhadoras que mantêm vínculo de emprego, sendo certo que os dispositivos que a asseguram - artigos 7º, XVIII, da Constituição Federal e 10, II, b, do ADCT - estabelecem como único requisito ao direito à estabilidade que a empregada esteja gestante no momento da dispensa imotivada. Logo, é inexigível a juntada da certidão de nascimento da criança para fins de concessão da estabilidade da empregada doméstica. Julgados.</w:t>
      </w:r>
      <w:r w:rsidRPr="007B4C52">
        <w:rPr>
          <w:rFonts w:ascii="Times New Roman" w:hAnsi="Times New Roman" w:cs="Times New Roman"/>
          <w:b/>
          <w:i/>
          <w:color w:val="auto"/>
          <w:lang w:val="pt-BR"/>
        </w:rPr>
        <w:t xml:space="preserve"> </w:t>
      </w:r>
      <w:r w:rsidRPr="007B4C52">
        <w:rPr>
          <w:rFonts w:ascii="Times New Roman" w:hAnsi="Times New Roman" w:cs="Times New Roman"/>
          <w:i/>
          <w:color w:val="auto"/>
          <w:lang w:val="pt-BR"/>
        </w:rPr>
        <w:t>Nesse cenário, a decisão regional no sentido de condicionar a estabilidade gestante à comprovação do nascimento da criança, mostra-se em dissonância com a atual e notória jurisprudência desta Corte Superior, bem como evidencia violação ao artigo 10, II, “b”, do ADCT, restando, consequentemente, divisada a transcendência política do debate proposto.</w:t>
      </w:r>
      <w:r w:rsidRPr="007B4C52">
        <w:rPr>
          <w:rFonts w:ascii="Times New Roman" w:hAnsi="Times New Roman" w:cs="Times New Roman"/>
          <w:b/>
          <w:i/>
          <w:color w:val="auto"/>
          <w:lang w:val="pt-BR"/>
        </w:rPr>
        <w:t xml:space="preserve"> </w:t>
      </w:r>
      <w:r w:rsidRPr="007B4C52">
        <w:rPr>
          <w:rFonts w:ascii="Times New Roman" w:hAnsi="Times New Roman" w:cs="Times New Roman"/>
          <w:i/>
          <w:color w:val="auto"/>
          <w:lang w:val="pt-BR"/>
        </w:rPr>
        <w:t xml:space="preserve">Recurso de revista conhecido e provido.” </w:t>
      </w:r>
      <w:r w:rsidRPr="007B4C52">
        <w:rPr>
          <w:rFonts w:ascii="Times New Roman" w:hAnsi="Times New Roman" w:cs="Times New Roman"/>
          <w:color w:val="auto"/>
          <w:lang w:val="pt-BR"/>
        </w:rPr>
        <w:t>(</w:t>
      </w:r>
      <w:hyperlink r:id="rId9" w:history="1">
        <w:r w:rsidRPr="007B4C52">
          <w:rPr>
            <w:rStyle w:val="Hyperlink"/>
            <w:rFonts w:ascii="Times New Roman" w:hAnsi="Times New Roman"/>
            <w:lang w:val="pt-BR"/>
          </w:rPr>
          <w:t>TST-RR-100896-</w:t>
        </w:r>
        <w:r w:rsidRPr="007B4C52">
          <w:rPr>
            <w:rStyle w:val="Hyperlink"/>
            <w:rFonts w:ascii="Times New Roman" w:hAnsi="Times New Roman"/>
            <w:lang w:val="pt-BR"/>
          </w:rPr>
          <w:t>7</w:t>
        </w:r>
        <w:r w:rsidRPr="007B4C52">
          <w:rPr>
            <w:rStyle w:val="Hyperlink"/>
            <w:rFonts w:ascii="Times New Roman" w:hAnsi="Times New Roman"/>
            <w:lang w:val="pt-BR"/>
          </w:rPr>
          <w:t>0.2016.5.01.0282</w:t>
        </w:r>
      </w:hyperlink>
      <w:r w:rsidRPr="007B4C52">
        <w:rPr>
          <w:rFonts w:ascii="Times New Roman" w:hAnsi="Times New Roman" w:cs="Times New Roman"/>
          <w:color w:val="auto"/>
          <w:lang w:val="pt-BR"/>
        </w:rPr>
        <w:t>, 5ª Turma, rel. Min. Douglas Alencar Rodrigues, julgado em 1º/4/2020.</w:t>
      </w:r>
      <w:proofErr w:type="gramStart"/>
      <w:r w:rsidRPr="007B4C52">
        <w:rPr>
          <w:rFonts w:ascii="Times New Roman" w:hAnsi="Times New Roman" w:cs="Times New Roman"/>
          <w:color w:val="auto"/>
          <w:lang w:val="pt-BR"/>
        </w:rPr>
        <w:t>)</w:t>
      </w:r>
      <w:proofErr w:type="gramEnd"/>
    </w:p>
    <w:p w:rsidR="007B4C52" w:rsidRPr="007B4C52" w:rsidRDefault="007B4C52" w:rsidP="007B4C52">
      <w:pPr>
        <w:jc w:val="both"/>
        <w:outlineLvl w:val="0"/>
      </w:pPr>
    </w:p>
    <w:p w:rsidR="007B4C52" w:rsidRPr="002B7FF9" w:rsidRDefault="007B4C52" w:rsidP="007B4C52">
      <w:pPr>
        <w:jc w:val="both"/>
        <w:outlineLvl w:val="0"/>
        <w:rPr>
          <w:sz w:val="24"/>
          <w:szCs w:val="24"/>
        </w:rPr>
      </w:pPr>
      <w:r w:rsidRPr="002B7FF9">
        <w:rPr>
          <w:i/>
          <w:sz w:val="24"/>
          <w:szCs w:val="24"/>
        </w:rPr>
        <w:t>“</w:t>
      </w:r>
      <w:r w:rsidRPr="007B4C52">
        <w:rPr>
          <w:i/>
          <w:sz w:val="24"/>
          <w:szCs w:val="24"/>
        </w:rPr>
        <w:t xml:space="preserve">RECURSO DE REVISTA. ACÓRDÃO REGIONAL PUBLICADO NA VIGÊNCIA DA LEI Nº 13.015/2014. </w:t>
      </w:r>
      <w:proofErr w:type="gramStart"/>
      <w:r w:rsidRPr="007B4C52">
        <w:rPr>
          <w:i/>
          <w:sz w:val="24"/>
          <w:szCs w:val="24"/>
        </w:rPr>
        <w:t>1</w:t>
      </w:r>
      <w:proofErr w:type="gramEnd"/>
      <w:r w:rsidRPr="007B4C52">
        <w:rPr>
          <w:i/>
          <w:sz w:val="24"/>
          <w:szCs w:val="24"/>
        </w:rPr>
        <w:t>. TERCEIRIZAÇÃO LÍCITA. EMPREITEIROS. RESPONSABILIDADE SOLIDÁRIA PREVISTA EM NORMA COLETIVA. NÃO CONHECIMENTO.</w:t>
      </w:r>
      <w:r w:rsidRPr="002B7FF9">
        <w:rPr>
          <w:i/>
          <w:sz w:val="24"/>
          <w:szCs w:val="24"/>
        </w:rPr>
        <w:t xml:space="preserve"> I. Consta do acórdão de origem que há norma coletiva válida aplicável </w:t>
      </w:r>
      <w:r w:rsidRPr="0086611E">
        <w:rPr>
          <w:i/>
          <w:sz w:val="24"/>
          <w:szCs w:val="24"/>
        </w:rPr>
        <w:t xml:space="preserve">ao casso </w:t>
      </w:r>
      <w:r w:rsidRPr="0086611E">
        <w:rPr>
          <w:sz w:val="24"/>
          <w:szCs w:val="24"/>
        </w:rPr>
        <w:t xml:space="preserve">[sic] </w:t>
      </w:r>
      <w:r>
        <w:rPr>
          <w:i/>
          <w:sz w:val="24"/>
          <w:szCs w:val="24"/>
        </w:rPr>
        <w:t>e que prevê que ‘</w:t>
      </w:r>
      <w:r w:rsidRPr="0086611E">
        <w:rPr>
          <w:i/>
          <w:sz w:val="24"/>
          <w:szCs w:val="24"/>
        </w:rPr>
        <w:t>em quaisquer hipóteses, responderão principal e solidariamente pelas obrigações trabalhistas e previdenciárias dos empregados, inclusive pelo cumprimento da presente Convenção Coletiva de Trabalho</w:t>
      </w:r>
      <w:r>
        <w:rPr>
          <w:i/>
          <w:sz w:val="24"/>
          <w:szCs w:val="24"/>
        </w:rPr>
        <w:t>’</w:t>
      </w:r>
      <w:r w:rsidRPr="0086611E">
        <w:rPr>
          <w:i/>
          <w:sz w:val="24"/>
          <w:szCs w:val="24"/>
        </w:rPr>
        <w:t>. II. Não se verifica afronta ao art. 455 da CLT, nem contrariedade à Súmula n° 331, IV, desta Corte, pois a controvérsia foi solucionada à luz das normas coletivas firmadas entre as partes. III. Ressalte-se que, no caso, não há quaisquer discussões acerca da validade da referida norma coletiva. IV. Recurso de revista de que não se conhece.”</w:t>
      </w:r>
      <w:r w:rsidRPr="0086611E">
        <w:rPr>
          <w:sz w:val="24"/>
          <w:szCs w:val="24"/>
        </w:rPr>
        <w:t xml:space="preserve"> (</w:t>
      </w:r>
      <w:hyperlink r:id="rId10" w:history="1">
        <w:r w:rsidRPr="0086611E">
          <w:rPr>
            <w:rStyle w:val="Hyperlink"/>
            <w:sz w:val="24"/>
            <w:szCs w:val="24"/>
          </w:rPr>
          <w:t>RR 1001857-31.20</w:t>
        </w:r>
        <w:r w:rsidRPr="0086611E">
          <w:rPr>
            <w:rStyle w:val="Hyperlink"/>
            <w:sz w:val="24"/>
            <w:szCs w:val="24"/>
          </w:rPr>
          <w:t>1</w:t>
        </w:r>
        <w:r w:rsidRPr="0086611E">
          <w:rPr>
            <w:rStyle w:val="Hyperlink"/>
            <w:sz w:val="24"/>
            <w:szCs w:val="24"/>
          </w:rPr>
          <w:t>7.5.02.0085</w:t>
        </w:r>
      </w:hyperlink>
      <w:r w:rsidRPr="0086611E">
        <w:rPr>
          <w:sz w:val="24"/>
          <w:szCs w:val="24"/>
        </w:rPr>
        <w:t>, 4ª Turma, rel. Min. Alexandre Luiz Ramos, julgado em 1º/4/2020.)</w:t>
      </w:r>
    </w:p>
    <w:p w:rsidR="007B4C52" w:rsidRPr="007B4C52" w:rsidRDefault="007B4C52" w:rsidP="007B4C52">
      <w:pPr>
        <w:jc w:val="both"/>
        <w:outlineLvl w:val="0"/>
      </w:pPr>
    </w:p>
    <w:p w:rsidR="007B4C52" w:rsidRDefault="007B4C52" w:rsidP="007B4C52">
      <w:pPr>
        <w:jc w:val="both"/>
        <w:outlineLvl w:val="0"/>
        <w:rPr>
          <w:rFonts w:eastAsiaTheme="minorEastAsia"/>
          <w:b/>
          <w:i/>
          <w:color w:val="000000"/>
          <w:sz w:val="24"/>
          <w:szCs w:val="24"/>
        </w:rPr>
      </w:pPr>
      <w:r>
        <w:rPr>
          <w:i/>
          <w:sz w:val="24"/>
          <w:szCs w:val="24"/>
        </w:rPr>
        <w:lastRenderedPageBreak/>
        <w:t>“</w:t>
      </w:r>
      <w:r w:rsidRPr="007B4C52">
        <w:rPr>
          <w:i/>
          <w:sz w:val="24"/>
          <w:szCs w:val="24"/>
        </w:rPr>
        <w:t>RECURSO DE REVISTA. LEI Nº 13.015/2014. CPC/2015. INSTRUÇÃO NORMATIVA Nº 40 DO TST. LEI 13.467/2017. ADMINISTRAÇÃO PÚBLICA DIRETA. MUNICÍPIO. CONTRATAÇÃO DE EMPREGADO PARA CARGO EM COMISSÃO DE LIVRE NOMEAÇÃO E EXONERAÇÃO. RELAÇÃO REGIDA PELA CLT. COMPETÊNCIA DA JUSTIÇA DO TRABALHO. TRANSCENDÊNCIA JURÍDICA CONSTATADA.</w:t>
      </w:r>
      <w:r>
        <w:rPr>
          <w:i/>
          <w:sz w:val="24"/>
          <w:szCs w:val="24"/>
        </w:rPr>
        <w:t xml:space="preserve"> O Supremo Tribunal Federal, por ocasião do julgamento da ADI nº 3.395/DF, firmou entendimento de que se insere na competência da Justiça Comum o exame da existência, validade e eficácia das relações entre servidores e o poder público fundadas em vínculo jurídico-administrativo. Não se pode olvidar, contudo, que a Excelsa Corte no referido julgamento se restringiu à análise de típica relação de ordem estatutária, ou seja, de caráter jurídico-administrativo, que se </w:t>
      </w:r>
      <w:proofErr w:type="gramStart"/>
      <w:r>
        <w:rPr>
          <w:i/>
          <w:sz w:val="24"/>
          <w:szCs w:val="24"/>
        </w:rPr>
        <w:t>estabelece</w:t>
      </w:r>
      <w:proofErr w:type="gramEnd"/>
      <w:r>
        <w:rPr>
          <w:i/>
          <w:sz w:val="24"/>
          <w:szCs w:val="24"/>
        </w:rPr>
        <w:t xml:space="preserve"> entre os entes da Administração Pública Direta, suas autarquias e fundações públicas e seus respectivos servidores. Tal pronunciamento, portanto, não abrange a situação delineada nestes autos, em que a parte autora foi nomeada para o exercício do cargo em comissão de diretor do departamento de cultura do município, sob o regime da CLT, como disposto na Lei Municipal n.º 731/90. Recurso de revista conhecido e provido..”</w:t>
      </w:r>
      <w:r>
        <w:rPr>
          <w:sz w:val="24"/>
          <w:szCs w:val="24"/>
        </w:rPr>
        <w:t xml:space="preserve"> (</w:t>
      </w:r>
      <w:hyperlink r:id="rId11" w:history="1">
        <w:r w:rsidRPr="0086611E">
          <w:rPr>
            <w:rStyle w:val="Hyperlink"/>
            <w:sz w:val="24"/>
            <w:szCs w:val="24"/>
          </w:rPr>
          <w:t>TST-RR-201-78.2018</w:t>
        </w:r>
        <w:r w:rsidRPr="0086611E">
          <w:rPr>
            <w:rStyle w:val="Hyperlink"/>
            <w:sz w:val="24"/>
            <w:szCs w:val="24"/>
          </w:rPr>
          <w:t>.</w:t>
        </w:r>
        <w:r w:rsidRPr="0086611E">
          <w:rPr>
            <w:rStyle w:val="Hyperlink"/>
            <w:sz w:val="24"/>
            <w:szCs w:val="24"/>
          </w:rPr>
          <w:t>5.12.0041</w:t>
        </w:r>
      </w:hyperlink>
      <w:r>
        <w:rPr>
          <w:sz w:val="24"/>
          <w:szCs w:val="24"/>
        </w:rPr>
        <w:t>, 7ª Turma, rel. Min. Cláudio Mascarenhas Brandão, julgado em 15/4/2020.)</w:t>
      </w:r>
    </w:p>
    <w:p w:rsidR="007B4C52" w:rsidRPr="007B4C52" w:rsidRDefault="007B4C52" w:rsidP="007B4C52">
      <w:pPr>
        <w:jc w:val="both"/>
        <w:outlineLvl w:val="0"/>
      </w:pPr>
    </w:p>
    <w:p w:rsidR="007B4C52" w:rsidRPr="007B4C52" w:rsidRDefault="007B4C52" w:rsidP="007B4C52">
      <w:pPr>
        <w:pStyle w:val="Ementa"/>
        <w:ind w:left="0"/>
        <w:rPr>
          <w:rFonts w:ascii="Times New Roman" w:hAnsi="Times New Roman" w:cs="Times New Roman"/>
          <w:color w:val="auto"/>
          <w:lang w:val="pt-BR"/>
        </w:rPr>
      </w:pPr>
      <w:r w:rsidRPr="007B4C52">
        <w:rPr>
          <w:rFonts w:ascii="Times New Roman" w:hAnsi="Times New Roman" w:cs="Times New Roman"/>
          <w:i/>
          <w:color w:val="auto"/>
          <w:lang w:val="pt-BR"/>
        </w:rPr>
        <w:t>“</w:t>
      </w:r>
      <w:r w:rsidRPr="007B4C52">
        <w:rPr>
          <w:rFonts w:ascii="Times New Roman" w:hAnsi="Times New Roman" w:cs="Times New Roman"/>
          <w:color w:val="auto"/>
          <w:lang w:val="pt-BR"/>
        </w:rPr>
        <w:t>[...]</w:t>
      </w:r>
      <w:r w:rsidRPr="007B4C52">
        <w:rPr>
          <w:rFonts w:ascii="Times New Roman" w:hAnsi="Times New Roman" w:cs="Times New Roman"/>
          <w:b/>
          <w:color w:val="auto"/>
          <w:lang w:val="pt-BR"/>
        </w:rPr>
        <w:t xml:space="preserve"> </w:t>
      </w:r>
      <w:r w:rsidRPr="007B4C52">
        <w:rPr>
          <w:rFonts w:ascii="Times New Roman" w:hAnsi="Times New Roman" w:cs="Times New Roman"/>
          <w:i/>
          <w:color w:val="auto"/>
          <w:lang w:val="pt-BR"/>
        </w:rPr>
        <w:t>II - RECURSO DE REVISTA. LEI Nº 13.467/2017. LEI Nº 13.015/2014. INSTRUÇÃO NORMATIVA Nº 40 DO TST. JULGAMENTO ‘EXTRA PETITA’. RECONVENÇÃO. PEDIDO EXPRESSO NA CONCLUSÃO DA CONTESTAÇÃO. 1 - Extrai-se dos excertos que o Tribunal Regional entendeu prejudicada a análise da reconvenção apresentada pela reclamada por ausência de pedido expresso ao fim da contestação, no tocante ao reconhecimento do pedido de demissão ou dispensa por justa causa. 2 - Com efeito, a partir da vigência do CPC/15, admite-se a apresentação de reconvenção em peça única, juntamente à própria contestação. Por outro lado, em clara tendência adotada pelo novo diploma processual civil, há uma desvalorização do excessivo rigor formal para maior prestígio da apreciação do mérito da questão litigiosa, destacando-se como tal o disposto no art. 322, que possibilita ao magistrado apreciar o teor da petição inicial (e da reconvenção, por consectário) levando em conta o conjunto argumentativo juntamente ao princípio da boa-fé. 3 - Opor à parte litigante óbice à análise do pedido reconvencional por mera ausência de repetição de forma expressa ao fim da peça processual se apresenta como conduta não mais admitida no âmbito das regras processuais hoje em vigor. 4 - Nesse aspecto, destaque-se, inclusive, que o princípio da informalidade é adotado há mais tempo no processo do trabalho, no qual se aplica a regra do art. 840, § 1º, da CLT, em que se exige que a petição inicial apresente o pedido e uma breve exposição dos fatos de que resulte o dissídio, sem maiores rigores formais. 5 – Recurso de revista conhecido e provido.”</w:t>
      </w:r>
      <w:r w:rsidRPr="007B4C52">
        <w:rPr>
          <w:rFonts w:ascii="Times New Roman" w:hAnsi="Times New Roman" w:cs="Times New Roman"/>
          <w:color w:val="auto"/>
          <w:lang w:val="pt-BR"/>
        </w:rPr>
        <w:t xml:space="preserve"> (</w:t>
      </w:r>
      <w:hyperlink r:id="rId12" w:history="1">
        <w:r w:rsidRPr="007B4C52">
          <w:rPr>
            <w:rStyle w:val="Hyperlink"/>
            <w:rFonts w:ascii="Times New Roman" w:hAnsi="Times New Roman"/>
            <w:lang w:val="pt-BR"/>
          </w:rPr>
          <w:t>TST-RR-716-17.2017.</w:t>
        </w:r>
        <w:r w:rsidRPr="007B4C52">
          <w:rPr>
            <w:rStyle w:val="Hyperlink"/>
            <w:rFonts w:ascii="Times New Roman" w:hAnsi="Times New Roman"/>
            <w:lang w:val="pt-BR"/>
          </w:rPr>
          <w:t>5</w:t>
        </w:r>
        <w:r w:rsidRPr="007B4C52">
          <w:rPr>
            <w:rStyle w:val="Hyperlink"/>
            <w:rFonts w:ascii="Times New Roman" w:hAnsi="Times New Roman"/>
            <w:lang w:val="pt-BR"/>
          </w:rPr>
          <w:t>.14.0131</w:t>
        </w:r>
      </w:hyperlink>
      <w:r w:rsidRPr="007B4C52">
        <w:rPr>
          <w:rFonts w:ascii="Times New Roman" w:hAnsi="Times New Roman" w:cs="Times New Roman"/>
          <w:color w:val="auto"/>
          <w:lang w:val="pt-BR"/>
        </w:rPr>
        <w:t>, 6ª Turma, rel. Min. Kátia Magalhães Arruda, julgado em 22/4/2020.</w:t>
      </w:r>
      <w:proofErr w:type="gramStart"/>
      <w:r w:rsidRPr="007B4C52">
        <w:rPr>
          <w:rFonts w:ascii="Times New Roman" w:hAnsi="Times New Roman" w:cs="Times New Roman"/>
          <w:color w:val="auto"/>
          <w:lang w:val="pt-BR"/>
        </w:rPr>
        <w:t>)</w:t>
      </w:r>
      <w:proofErr w:type="gramEnd"/>
      <w:r w:rsidRPr="007B4C52">
        <w:rPr>
          <w:rFonts w:ascii="Times New Roman" w:hAnsi="Times New Roman" w:cs="Times New Roman"/>
          <w:color w:val="auto"/>
          <w:lang w:val="pt-BR"/>
        </w:rPr>
        <w:t xml:space="preserve"> </w:t>
      </w:r>
    </w:p>
    <w:p w:rsidR="007B4C52" w:rsidRPr="007B4C52" w:rsidRDefault="007B4C52" w:rsidP="007B4C52">
      <w:pPr>
        <w:pStyle w:val="Ementa"/>
        <w:ind w:left="0"/>
        <w:rPr>
          <w:rFonts w:ascii="Times New Roman" w:hAnsi="Times New Roman" w:cs="Times New Roman"/>
          <w:sz w:val="20"/>
          <w:szCs w:val="20"/>
          <w:lang w:val="pt-BR"/>
        </w:rPr>
      </w:pPr>
    </w:p>
    <w:p w:rsidR="007B4C52" w:rsidRPr="00290596" w:rsidRDefault="007B4C52" w:rsidP="007B4C52">
      <w:pPr>
        <w:jc w:val="both"/>
        <w:outlineLvl w:val="0"/>
        <w:rPr>
          <w:i/>
          <w:sz w:val="24"/>
          <w:szCs w:val="24"/>
        </w:rPr>
      </w:pPr>
      <w:r w:rsidRPr="00422A3B">
        <w:rPr>
          <w:i/>
          <w:sz w:val="24"/>
          <w:szCs w:val="24"/>
        </w:rPr>
        <w:t>“</w:t>
      </w:r>
      <w:r w:rsidRPr="007B4C52">
        <w:rPr>
          <w:i/>
          <w:sz w:val="24"/>
          <w:szCs w:val="24"/>
        </w:rPr>
        <w:t>RECURSO DE REVISTA DO SINDICATO-AUTOR. LEI 13.467/2017. LEGITIMIDADE ATIVA DO SINDICATO DA CATEGORIA PROFISSIONAL. SUBSTITUIÇÃO PROCESSUAL. DIREITOS INDIVIDUAIS. TRANSCENDÊNCIA POLÍTICA CONSTATADA.</w:t>
      </w:r>
      <w:r w:rsidRPr="00290596">
        <w:rPr>
          <w:i/>
          <w:sz w:val="24"/>
          <w:szCs w:val="24"/>
        </w:rPr>
        <w:t xml:space="preserve"> O reconhecimento da legitimidade ativa do sindicato da categoria profissional para pleitear direitos individuais homogêneos guarda sintonia com a jurisprudência desta Corte Superior e do Supremo Tribunal Federal. O artigo 8º, inciso III, da Constituição Federal assegura aos sindicatos a possibilidade de substituição processual ampla e irrestrita para agir no interesse de toda a categoria. </w:t>
      </w:r>
      <w:proofErr w:type="gramStart"/>
      <w:r w:rsidRPr="00290596">
        <w:rPr>
          <w:i/>
          <w:sz w:val="24"/>
          <w:szCs w:val="24"/>
        </w:rPr>
        <w:t>A presente</w:t>
      </w:r>
      <w:proofErr w:type="gramEnd"/>
      <w:r w:rsidRPr="00290596">
        <w:rPr>
          <w:i/>
          <w:sz w:val="24"/>
          <w:szCs w:val="24"/>
        </w:rPr>
        <w:t xml:space="preserve"> demanda é originada de direito de natureza individual homogênea, definido no art. 81, parágrafo único, III, do CDC (Lei nº 8.078/90), pois decorrente de origem comum (Plano de Cargos e Salários do banco reclamado), hipótese em que é autorizada a defesa coletiva em Juízo. A existência de eventual distinção entre as atribuições previstas para as funções ocupadas pelos substituídos, em relação às quais se questiona o enquadramento no artigo 224, § 2º, da CLT, não é suficiente para afastar a legitimidade do sindicato, considerando a possibilidade de procedência parcial, caso se constate a fidúcia especial apenas em 1 ou 2 delas, e não nas demais. Não há, </w:t>
      </w:r>
      <w:r w:rsidRPr="00290596">
        <w:rPr>
          <w:i/>
          <w:sz w:val="24"/>
          <w:szCs w:val="24"/>
        </w:rPr>
        <w:lastRenderedPageBreak/>
        <w:t>portanto, a necessidade de que haja homogeneidade entre todos os substituídos, tampouco se exige que a decisão seja uniforme para todas as funções. Recurso de revista conhecido e provido.</w:t>
      </w:r>
      <w:r>
        <w:rPr>
          <w:i/>
          <w:sz w:val="24"/>
          <w:szCs w:val="24"/>
        </w:rPr>
        <w:t>”</w:t>
      </w:r>
      <w:r>
        <w:rPr>
          <w:sz w:val="24"/>
          <w:szCs w:val="24"/>
        </w:rPr>
        <w:t xml:space="preserve"> (</w:t>
      </w:r>
      <w:hyperlink r:id="rId13" w:history="1">
        <w:r w:rsidRPr="00013072">
          <w:rPr>
            <w:rStyle w:val="Hyperlink"/>
            <w:sz w:val="24"/>
            <w:szCs w:val="24"/>
          </w:rPr>
          <w:t>TST-RR-1878-59.2014.5</w:t>
        </w:r>
        <w:r w:rsidRPr="00013072">
          <w:rPr>
            <w:rStyle w:val="Hyperlink"/>
            <w:sz w:val="24"/>
            <w:szCs w:val="24"/>
          </w:rPr>
          <w:t>.</w:t>
        </w:r>
        <w:r w:rsidRPr="00013072">
          <w:rPr>
            <w:rStyle w:val="Hyperlink"/>
            <w:sz w:val="24"/>
            <w:szCs w:val="24"/>
          </w:rPr>
          <w:t>10.0003</w:t>
        </w:r>
      </w:hyperlink>
      <w:r>
        <w:rPr>
          <w:sz w:val="24"/>
          <w:szCs w:val="24"/>
        </w:rPr>
        <w:t>, 7ª Turma, rel. Min.</w:t>
      </w:r>
      <w:r w:rsidRPr="00290596">
        <w:t xml:space="preserve"> </w:t>
      </w:r>
      <w:r w:rsidRPr="00290596">
        <w:rPr>
          <w:sz w:val="24"/>
          <w:szCs w:val="24"/>
        </w:rPr>
        <w:t>Cláudio Mascarenhas Brandão</w:t>
      </w:r>
      <w:r>
        <w:rPr>
          <w:sz w:val="24"/>
          <w:szCs w:val="24"/>
        </w:rPr>
        <w:t>, julgado em 22/4/2020.)</w:t>
      </w:r>
    </w:p>
    <w:p w:rsidR="007B4C52" w:rsidRPr="007B4C52" w:rsidRDefault="007B4C52" w:rsidP="007B4C52">
      <w:pPr>
        <w:jc w:val="both"/>
        <w:outlineLvl w:val="0"/>
      </w:pPr>
    </w:p>
    <w:p w:rsidR="007B4C52" w:rsidRDefault="007B4C52" w:rsidP="007B4C52">
      <w:pPr>
        <w:pStyle w:val="Ementa"/>
        <w:ind w:left="0"/>
        <w:outlineLvl w:val="0"/>
        <w:rPr>
          <w:rFonts w:ascii="Times New Roman" w:eastAsiaTheme="minorHAnsi" w:hAnsi="Times New Roman" w:cs="Times New Roman"/>
          <w:i/>
          <w:color w:val="auto"/>
          <w:lang w:eastAsia="en-US"/>
        </w:rPr>
      </w:pPr>
      <w:r w:rsidRPr="007B4C52">
        <w:rPr>
          <w:rFonts w:ascii="Times New Roman" w:eastAsiaTheme="minorHAnsi" w:hAnsi="Times New Roman" w:cs="Times New Roman"/>
          <w:i/>
          <w:color w:val="auto"/>
          <w:lang w:eastAsia="en-US"/>
        </w:rPr>
        <w:t>“</w:t>
      </w:r>
      <w:r w:rsidRPr="007B4C52">
        <w:rPr>
          <w:rFonts w:ascii="Times New Roman" w:eastAsiaTheme="minorHAnsi" w:hAnsi="Times New Roman" w:cs="Times New Roman"/>
          <w:color w:val="auto"/>
          <w:lang w:eastAsia="en-US"/>
        </w:rPr>
        <w:t xml:space="preserve">[...] </w:t>
      </w:r>
      <w:r w:rsidRPr="007B4C52">
        <w:rPr>
          <w:rFonts w:ascii="Times New Roman" w:eastAsiaTheme="minorHAnsi" w:hAnsi="Times New Roman" w:cs="Times New Roman"/>
          <w:i/>
          <w:color w:val="auto"/>
          <w:lang w:eastAsia="en-US"/>
        </w:rPr>
        <w:t xml:space="preserve">III - RECURSO DE REVISTA. </w:t>
      </w:r>
      <w:r w:rsidRPr="007B4C52">
        <w:rPr>
          <w:rFonts w:ascii="Times New Roman" w:eastAsiaTheme="minorHAnsi" w:hAnsi="Times New Roman" w:cs="Times New Roman"/>
          <w:i/>
          <w:color w:val="auto"/>
          <w:lang w:val="pt-BR" w:eastAsia="en-US"/>
        </w:rPr>
        <w:t xml:space="preserve">LEI 13.015/2014. RECURSO ORDINÁRIO PRINCIPAL E ADESIVO. INVERSÃO NA ORDEM DE JULGAMENTO. 1. O Tribunal de origem inverteu a ordem de apreciação dos recursos interpostos, decidindo analisar primeiro o recurso adesivo do sindicato reclamado, e dando-lhe provimento para afastar a isenção das custas ao sindicato autor, sem examinar o inconformismo veiculado no recurso ordinário principal. 2. Nos termos do inciso III do art. 500 do CPC/73, o recurso adesivo ‘não será conhecido, se houver desistência do recurso principal, ou se for ele declarado inadmissível ou deserto’. Segundo a jurisprudência sedimentada nesta Corte, o não conhecimento do recurso principal, nos termos do art. 500, III, do CPC/73, ainda que pela apreciação de seus pressupostos intrínsecos, não autoriza o conhecimento do recurso adesivo. 3. Assim, em face da inviabilidade legal do conhecimento do recurso ordinário adesivo do sindicato reclamado, independentemente do conhecimento do recurso principal do sindicato autor, fica determinado o retorno dos autos à Corte de origem para que, primeiramente, efetue o exame do recurso ordinário principal, como entender de direito, e após, se for o caso, que se examine o recurso adesivo. </w:t>
      </w:r>
      <w:proofErr w:type="gramStart"/>
      <w:r w:rsidRPr="007B4C52">
        <w:rPr>
          <w:rFonts w:ascii="Times New Roman" w:eastAsiaTheme="minorHAnsi" w:hAnsi="Times New Roman" w:cs="Times New Roman"/>
          <w:i/>
          <w:color w:val="auto"/>
          <w:lang w:val="pt-BR" w:eastAsia="en-US"/>
        </w:rPr>
        <w:t>Recurso de revista conhecido e provido.”</w:t>
      </w:r>
      <w:proofErr w:type="gramEnd"/>
      <w:r w:rsidRPr="007B4C52">
        <w:rPr>
          <w:rFonts w:ascii="Times New Roman" w:eastAsiaTheme="minorHAnsi" w:hAnsi="Times New Roman" w:cs="Times New Roman"/>
          <w:i/>
          <w:color w:val="auto"/>
          <w:lang w:val="pt-BR" w:eastAsia="en-US"/>
        </w:rPr>
        <w:t xml:space="preserve"> </w:t>
      </w:r>
      <w:r w:rsidRPr="007B4C52">
        <w:rPr>
          <w:rFonts w:ascii="Times New Roman" w:hAnsi="Times New Roman" w:cs="Times New Roman"/>
          <w:lang w:val="pt-BR"/>
        </w:rPr>
        <w:t>(</w:t>
      </w:r>
      <w:hyperlink r:id="rId14" w:history="1">
        <w:r w:rsidRPr="007B4C52">
          <w:rPr>
            <w:rStyle w:val="Hyperlink"/>
            <w:rFonts w:ascii="Times New Roman" w:eastAsiaTheme="minorHAnsi" w:hAnsi="Times New Roman"/>
            <w:lang w:val="pt-BR" w:eastAsia="en-US"/>
          </w:rPr>
          <w:t>TST-RR-23</w:t>
        </w:r>
        <w:r w:rsidRPr="007B4C52">
          <w:rPr>
            <w:rStyle w:val="Hyperlink"/>
            <w:rFonts w:ascii="Times New Roman" w:eastAsiaTheme="minorHAnsi" w:hAnsi="Times New Roman"/>
            <w:lang w:val="pt-BR" w:eastAsia="en-US"/>
          </w:rPr>
          <w:t>8</w:t>
        </w:r>
        <w:r w:rsidRPr="007B4C52">
          <w:rPr>
            <w:rStyle w:val="Hyperlink"/>
            <w:rFonts w:ascii="Times New Roman" w:eastAsiaTheme="minorHAnsi" w:hAnsi="Times New Roman"/>
            <w:lang w:val="pt-BR" w:eastAsia="en-US"/>
          </w:rPr>
          <w:t>1-20.2012.5.18.0006</w:t>
        </w:r>
      </w:hyperlink>
      <w:r w:rsidRPr="007B4C52">
        <w:rPr>
          <w:rFonts w:ascii="Times New Roman" w:hAnsi="Times New Roman" w:cs="Times New Roman"/>
          <w:color w:val="auto"/>
          <w:lang w:val="pt-BR"/>
        </w:rPr>
        <w:t xml:space="preserve">, 2ª Turma, rel. </w:t>
      </w:r>
      <w:r w:rsidRPr="007B4C52">
        <w:rPr>
          <w:rFonts w:ascii="Times New Roman" w:hAnsi="Times New Roman" w:cs="Times New Roman"/>
          <w:color w:val="auto"/>
        </w:rPr>
        <w:t xml:space="preserve">Min. </w:t>
      </w:r>
      <w:proofErr w:type="spellStart"/>
      <w:r w:rsidRPr="007B4C52">
        <w:rPr>
          <w:rFonts w:ascii="Times New Roman" w:hAnsi="Times New Roman" w:cs="Times New Roman"/>
          <w:color w:val="auto"/>
        </w:rPr>
        <w:t>Delaíde</w:t>
      </w:r>
      <w:proofErr w:type="spellEnd"/>
      <w:r w:rsidRPr="007B4C52">
        <w:rPr>
          <w:rFonts w:ascii="Times New Roman" w:hAnsi="Times New Roman" w:cs="Times New Roman"/>
          <w:color w:val="auto"/>
        </w:rPr>
        <w:t xml:space="preserve"> Miranda </w:t>
      </w:r>
      <w:proofErr w:type="spellStart"/>
      <w:r w:rsidRPr="007B4C52">
        <w:rPr>
          <w:rFonts w:ascii="Times New Roman" w:hAnsi="Times New Roman" w:cs="Times New Roman"/>
          <w:color w:val="auto"/>
        </w:rPr>
        <w:t>Arantes</w:t>
      </w:r>
      <w:proofErr w:type="spellEnd"/>
      <w:r w:rsidRPr="007B4C52">
        <w:rPr>
          <w:rFonts w:ascii="Times New Roman" w:hAnsi="Times New Roman" w:cs="Times New Roman"/>
          <w:color w:val="auto"/>
        </w:rPr>
        <w:t xml:space="preserve">, </w:t>
      </w:r>
      <w:proofErr w:type="spellStart"/>
      <w:r w:rsidRPr="007B4C52">
        <w:rPr>
          <w:rFonts w:ascii="Times New Roman" w:hAnsi="Times New Roman" w:cs="Times New Roman"/>
          <w:color w:val="auto"/>
        </w:rPr>
        <w:t>julgado</w:t>
      </w:r>
      <w:proofErr w:type="spellEnd"/>
      <w:r w:rsidRPr="007B4C52">
        <w:rPr>
          <w:rFonts w:ascii="Times New Roman" w:hAnsi="Times New Roman" w:cs="Times New Roman"/>
          <w:color w:val="auto"/>
        </w:rPr>
        <w:t xml:space="preserve"> </w:t>
      </w:r>
      <w:proofErr w:type="spellStart"/>
      <w:r w:rsidRPr="007B4C52">
        <w:rPr>
          <w:rFonts w:ascii="Times New Roman" w:hAnsi="Times New Roman" w:cs="Times New Roman"/>
          <w:color w:val="auto"/>
        </w:rPr>
        <w:t>em</w:t>
      </w:r>
      <w:proofErr w:type="spellEnd"/>
      <w:r w:rsidRPr="007B4C52">
        <w:rPr>
          <w:rFonts w:ascii="Times New Roman" w:hAnsi="Times New Roman" w:cs="Times New Roman"/>
          <w:color w:val="auto"/>
        </w:rPr>
        <w:t xml:space="preserve"> 28/4/2020.)</w:t>
      </w:r>
    </w:p>
    <w:p w:rsidR="007B4C52" w:rsidRDefault="007B4C52" w:rsidP="007B4C52"/>
    <w:p w:rsidR="007B4C52" w:rsidRPr="002100CA" w:rsidRDefault="007B4C52" w:rsidP="007B4C52">
      <w:pPr>
        <w:jc w:val="both"/>
        <w:outlineLvl w:val="0"/>
        <w:rPr>
          <w:rFonts w:eastAsiaTheme="minorEastAsia"/>
          <w:b/>
          <w:i/>
          <w:color w:val="000000"/>
          <w:sz w:val="24"/>
          <w:szCs w:val="24"/>
        </w:rPr>
      </w:pPr>
      <w:r w:rsidRPr="007B4C52">
        <w:rPr>
          <w:i/>
          <w:sz w:val="24"/>
          <w:szCs w:val="24"/>
        </w:rPr>
        <w:t>“</w:t>
      </w:r>
      <w:r w:rsidRPr="007B4C52">
        <w:rPr>
          <w:sz w:val="24"/>
          <w:szCs w:val="24"/>
        </w:rPr>
        <w:t xml:space="preserve">[...] </w:t>
      </w:r>
      <w:r w:rsidRPr="007B4C52">
        <w:rPr>
          <w:i/>
          <w:sz w:val="24"/>
          <w:szCs w:val="24"/>
        </w:rPr>
        <w:t>II- RECURSO DE REVISTA SOB A ÉGIDE DA LEI 13.015/2014. REQUISITOS DO ART. 896, §1ª-A, DA CLT, ATENDIDOS. AÇÃO CIVIL PÚBLICA. OBRIGATORIEDADE NA EMISSÃO DA COMUNICAÇÃO DE ACIDENTE DO TRABALHO (CAT) POR PARTE DO EMPREGADOR.</w:t>
      </w:r>
      <w:r w:rsidRPr="002100CA">
        <w:rPr>
          <w:i/>
          <w:sz w:val="24"/>
          <w:szCs w:val="24"/>
        </w:rPr>
        <w:t xml:space="preserve"> A correta interpretação do disposto no art. 22 da Lei 8.213/91 é no sentido de que, ocorrendo o acidente de trabalho, independentemente de afastamento ou não, é obrigatória a emissão da CAT por parte do empregador, sob pena de aplicação de multa. Inclusive, o próprio art. 169 da CLT é explícito ao dispor que </w:t>
      </w:r>
      <w:r w:rsidR="00B120EB">
        <w:rPr>
          <w:i/>
          <w:sz w:val="24"/>
          <w:szCs w:val="24"/>
        </w:rPr>
        <w:t>‘</w:t>
      </w:r>
      <w:r w:rsidRPr="002100CA">
        <w:rPr>
          <w:i/>
          <w:sz w:val="24"/>
          <w:szCs w:val="24"/>
        </w:rPr>
        <w:t>será obrigatória a notificação das doenças profissionais e das produzidas em virtude de condições especiais de trabalho, comprovadas ou objeto de suspeita, de conformidade com as instruções expedidas pelo Ministério do Trabalho</w:t>
      </w:r>
      <w:r w:rsidR="00B120EB">
        <w:rPr>
          <w:i/>
          <w:sz w:val="24"/>
          <w:szCs w:val="24"/>
        </w:rPr>
        <w:t>’</w:t>
      </w:r>
      <w:bookmarkStart w:id="2" w:name="_GoBack"/>
      <w:bookmarkEnd w:id="2"/>
      <w:r w:rsidRPr="002100CA">
        <w:rPr>
          <w:i/>
          <w:sz w:val="24"/>
          <w:szCs w:val="24"/>
        </w:rPr>
        <w:t>. A emissão da CAT destina-se ao controle estatístico e epidemiológico junto aos órgãos competentes e tem por desiderato, principalmente, a garantia de assistência acidentária ao empregado junto ao INSS. Irrelevante, portanto, a circunstância de não ter havido o afastamento do obreiro ou se este foi inferior a quinze dias. Assim, ficou incontroverso nos autos o comportamento sistemático da reclamada consistente na ausência de emissão da CAT, sob a justificativa de analisar previamente se os acidentes apresentados pelos empregados constituíam, de fato, acidente de trabalho, nos termos da lei, conduta esta que não encontra qualquer amparo à luz da legislação aplicável à espécie. Precedentes. Recurso de revista conhecido e provido.”</w:t>
      </w:r>
      <w:r w:rsidRPr="002100CA">
        <w:rPr>
          <w:sz w:val="24"/>
          <w:szCs w:val="24"/>
        </w:rPr>
        <w:t xml:space="preserve"> (</w:t>
      </w:r>
      <w:hyperlink r:id="rId15" w:history="1">
        <w:r w:rsidRPr="002100CA">
          <w:rPr>
            <w:rStyle w:val="Hyperlink"/>
            <w:sz w:val="24"/>
            <w:szCs w:val="24"/>
          </w:rPr>
          <w:t>TST-RR-</w:t>
        </w:r>
        <w:r w:rsidRPr="002100CA">
          <w:rPr>
            <w:rStyle w:val="Hyperlink"/>
            <w:sz w:val="24"/>
            <w:szCs w:val="24"/>
          </w:rPr>
          <w:t>1</w:t>
        </w:r>
        <w:r w:rsidRPr="002100CA">
          <w:rPr>
            <w:rStyle w:val="Hyperlink"/>
            <w:sz w:val="24"/>
            <w:szCs w:val="24"/>
          </w:rPr>
          <w:t>0645-07.2015.5.03.0081</w:t>
        </w:r>
      </w:hyperlink>
      <w:r w:rsidRPr="002100CA">
        <w:rPr>
          <w:sz w:val="24"/>
          <w:szCs w:val="24"/>
        </w:rPr>
        <w:t>, 6ª Turma, rel. Min. Augusto César Leite de Carvalho, julgado em 29/4/2020</w:t>
      </w:r>
      <w:r>
        <w:rPr>
          <w:sz w:val="24"/>
          <w:szCs w:val="24"/>
        </w:rPr>
        <w:t>.</w:t>
      </w:r>
      <w:proofErr w:type="gramStart"/>
      <w:r w:rsidRPr="002100CA">
        <w:rPr>
          <w:sz w:val="24"/>
          <w:szCs w:val="24"/>
        </w:rPr>
        <w:t>)</w:t>
      </w:r>
      <w:proofErr w:type="gramEnd"/>
    </w:p>
    <w:p w:rsidR="007B4C52" w:rsidRDefault="007B4C52" w:rsidP="007B4C52"/>
    <w:p w:rsidR="007B4C52" w:rsidRDefault="007B4C52" w:rsidP="007B4C52">
      <w:pPr>
        <w:jc w:val="both"/>
        <w:outlineLvl w:val="0"/>
        <w:rPr>
          <w:sz w:val="24"/>
          <w:szCs w:val="24"/>
        </w:rPr>
      </w:pPr>
      <w:r>
        <w:rPr>
          <w:i/>
          <w:sz w:val="24"/>
          <w:szCs w:val="24"/>
        </w:rPr>
        <w:t>“</w:t>
      </w:r>
      <w:r w:rsidRPr="007B4C52">
        <w:rPr>
          <w:i/>
          <w:sz w:val="24"/>
          <w:szCs w:val="24"/>
        </w:rPr>
        <w:t xml:space="preserve">AGRAVO. RECURSO DE REVISTA. ACÓRDÃO PUBLICADO NA VIGÊNCIA DA LEI Nº 13.015/2014. NULIDADE DA SENTENÇA. DESISTÊNCIA DO RECLAMANTE LOGO APÓS A JUNTADA DA CONTESTAÇÃO NO </w:t>
      </w:r>
      <w:proofErr w:type="spellStart"/>
      <w:proofErr w:type="gramStart"/>
      <w:r w:rsidRPr="007B4C52">
        <w:rPr>
          <w:i/>
          <w:sz w:val="24"/>
          <w:szCs w:val="24"/>
        </w:rPr>
        <w:t>PJe</w:t>
      </w:r>
      <w:proofErr w:type="spellEnd"/>
      <w:proofErr w:type="gramEnd"/>
      <w:r w:rsidRPr="008C5CF0">
        <w:rPr>
          <w:i/>
          <w:sz w:val="24"/>
          <w:szCs w:val="24"/>
        </w:rPr>
        <w:t xml:space="preserve">. Constou da decisão agravada que, nos termos da interpretação sistemática das normas inseridas nos </w:t>
      </w:r>
      <w:proofErr w:type="spellStart"/>
      <w:r w:rsidRPr="008C5CF0">
        <w:rPr>
          <w:i/>
          <w:sz w:val="24"/>
          <w:szCs w:val="24"/>
        </w:rPr>
        <w:t>arts</w:t>
      </w:r>
      <w:proofErr w:type="spellEnd"/>
      <w:r w:rsidRPr="008C5CF0">
        <w:rPr>
          <w:i/>
          <w:sz w:val="24"/>
          <w:szCs w:val="24"/>
        </w:rPr>
        <w:t xml:space="preserve">.  267, §4º, do CPC/73, 485, § 4º, do atual CPC, 847, caput, da CLT, o momento de apresentação da defesa é aquele que sucede à tentativa de acordo, sendo certo que a inserção da contestação no sistema eletrônico, de forma antecipada, não se presta à finalidade pretendida pela reclamada, até porque a aludida desistência foi apresentada antes do referido momento processual. Acrescente-se que ficara registrado no acórdão regional que a tese da reclamada, no sentido de que o reclamante teria prévio conhecimento do conteúdo da contestação, não fora provado nos autos, motivo pelo qual não se poderia presumir tal alegação e impor ao reclamante o prejuízo do não exercício do seu direito de desistência da ação, sob o jugo </w:t>
      </w:r>
      <w:r w:rsidRPr="008C5CF0">
        <w:rPr>
          <w:i/>
          <w:sz w:val="24"/>
          <w:szCs w:val="24"/>
        </w:rPr>
        <w:lastRenderedPageBreak/>
        <w:t>da concordância da reclamada. Além disso, ressaltou que o desentranhamento da defesa foi determinado de plano pelo magistrado em audiência que homologou o pedido de desistência independentemente da anuência da parte reclamada. Nesse contexto, para se chegar a conclusão contrária, como insiste a agravante, necessário seria o reexame do contexto fático probatório dos autos, procedimento este vedado em sede de recurso de revista por conta do que estabelece a Súmula 126 do TST. Considerando a improcedência do recurso, aplica-se à parte agravante a multa prevista no art. 1.021, § 4º, do CPC. Agravo não provido, com aplicação de multa.</w:t>
      </w:r>
      <w:r w:rsidRPr="001A52B8">
        <w:rPr>
          <w:i/>
          <w:sz w:val="24"/>
          <w:szCs w:val="24"/>
        </w:rPr>
        <w:t>”</w:t>
      </w:r>
      <w:r w:rsidRPr="001A52B8">
        <w:rPr>
          <w:sz w:val="24"/>
          <w:szCs w:val="24"/>
        </w:rPr>
        <w:t xml:space="preserve"> (</w:t>
      </w:r>
      <w:hyperlink r:id="rId16" w:history="1">
        <w:r w:rsidRPr="0086611E">
          <w:rPr>
            <w:rStyle w:val="Hyperlink"/>
            <w:sz w:val="24"/>
            <w:szCs w:val="24"/>
          </w:rPr>
          <w:t>TST-Ag-RR-1120-71.2013.5.07.0012</w:t>
        </w:r>
      </w:hyperlink>
      <w:r w:rsidRPr="001A52B8">
        <w:rPr>
          <w:sz w:val="24"/>
          <w:szCs w:val="24"/>
        </w:rPr>
        <w:t xml:space="preserve">, </w:t>
      </w:r>
      <w:r>
        <w:rPr>
          <w:sz w:val="24"/>
          <w:szCs w:val="24"/>
        </w:rPr>
        <w:t>5</w:t>
      </w:r>
      <w:r w:rsidRPr="001A52B8">
        <w:rPr>
          <w:sz w:val="24"/>
          <w:szCs w:val="24"/>
        </w:rPr>
        <w:t xml:space="preserve">ª Turma, rel. Min. </w:t>
      </w:r>
      <w:r>
        <w:rPr>
          <w:sz w:val="24"/>
          <w:szCs w:val="24"/>
        </w:rPr>
        <w:t>Breno Medeiros</w:t>
      </w:r>
      <w:r w:rsidRPr="001A52B8">
        <w:rPr>
          <w:sz w:val="24"/>
          <w:szCs w:val="24"/>
        </w:rPr>
        <w:t xml:space="preserve">, julgado em </w:t>
      </w:r>
      <w:r>
        <w:rPr>
          <w:sz w:val="24"/>
          <w:szCs w:val="24"/>
        </w:rPr>
        <w:t>30/4/2020.</w:t>
      </w:r>
      <w:r w:rsidRPr="001A52B8">
        <w:rPr>
          <w:sz w:val="24"/>
          <w:szCs w:val="24"/>
        </w:rPr>
        <w:t>)</w:t>
      </w:r>
    </w:p>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E3622E" w:rsidRPr="004B3120" w:rsidRDefault="00E3622E" w:rsidP="00C6738C">
      <w:pPr>
        <w:rPr>
          <w:sz w:val="10"/>
          <w:szCs w:val="10"/>
        </w:rPr>
      </w:pPr>
    </w:p>
    <w:p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4B3120">
        <w:rPr>
          <w:b w:val="0"/>
          <w:bCs w:val="0"/>
          <w:snapToGrid w:val="0"/>
          <w:sz w:val="25"/>
          <w:szCs w:val="25"/>
        </w:rPr>
        <w:t xml:space="preserve">Informativo TST é mantido pela </w:t>
      </w:r>
    </w:p>
    <w:p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4B3120">
        <w:rPr>
          <w:b w:val="0"/>
          <w:bCs w:val="0"/>
          <w:snapToGrid w:val="0"/>
          <w:sz w:val="25"/>
          <w:szCs w:val="25"/>
        </w:rPr>
        <w:t>Coordenadoria de Jurisprudência – CJUR</w:t>
      </w:r>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Pr="004B312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Informações/Sugestões/Críticas: (61)3043</w:t>
      </w:r>
      <w:r w:rsidR="00352B27" w:rsidRPr="004B3120">
        <w:rPr>
          <w:snapToGrid w:val="0"/>
          <w:sz w:val="25"/>
          <w:szCs w:val="25"/>
        </w:rPr>
        <w:t>-</w:t>
      </w:r>
      <w:r w:rsidRPr="004B3120">
        <w:rPr>
          <w:snapToGrid w:val="0"/>
          <w:sz w:val="25"/>
          <w:szCs w:val="25"/>
        </w:rPr>
        <w:t>4</w:t>
      </w:r>
      <w:r w:rsidR="000303C3" w:rsidRPr="004B3120">
        <w:rPr>
          <w:snapToGrid w:val="0"/>
          <w:sz w:val="25"/>
          <w:szCs w:val="25"/>
        </w:rPr>
        <w:t>612</w:t>
      </w:r>
      <w:r w:rsidR="007F02D5" w:rsidRPr="004B3120">
        <w:rPr>
          <w:snapToGrid w:val="0"/>
          <w:sz w:val="25"/>
          <w:szCs w:val="25"/>
        </w:rPr>
        <w:t xml:space="preserve"> ou </w:t>
      </w:r>
      <w:hyperlink r:id="rId17" w:history="1">
        <w:r w:rsidR="005F0522" w:rsidRPr="004B3120">
          <w:rPr>
            <w:rStyle w:val="Hyperlink"/>
            <w:snapToGrid w:val="0"/>
            <w:sz w:val="25"/>
            <w:szCs w:val="25"/>
          </w:rPr>
          <w:t>cjur@tst.jus.br</w:t>
        </w:r>
      </w:hyperlink>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B15004"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acessar todas as edições: </w:t>
      </w:r>
      <w:hyperlink r:id="rId18" w:history="1">
        <w:r w:rsidR="00B15004" w:rsidRPr="004B3120">
          <w:rPr>
            <w:rStyle w:val="Hyperlink"/>
            <w:snapToGrid w:val="0"/>
            <w:sz w:val="25"/>
            <w:szCs w:val="25"/>
          </w:rPr>
          <w:t>http://www.tst.jus.br/web/guest/informativo-tst</w:t>
        </w:r>
      </w:hyperlink>
    </w:p>
    <w:p w:rsidR="00B15004" w:rsidRPr="004B3120" w:rsidRDefault="00B15004"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receber via </w:t>
      </w:r>
      <w:r w:rsidRPr="004B3120">
        <w:rPr>
          <w:i/>
          <w:snapToGrid w:val="0"/>
          <w:sz w:val="25"/>
          <w:szCs w:val="25"/>
        </w:rPr>
        <w:t>e-mail</w:t>
      </w:r>
      <w:r w:rsidRPr="004B3120">
        <w:rPr>
          <w:snapToGrid w:val="0"/>
          <w:sz w:val="25"/>
          <w:szCs w:val="25"/>
        </w:rPr>
        <w:t xml:space="preserve">: </w:t>
      </w:r>
      <w:hyperlink r:id="rId19" w:history="1">
        <w:r w:rsidRPr="004B3120">
          <w:rPr>
            <w:rStyle w:val="Hyperlink"/>
            <w:snapToGrid w:val="0"/>
            <w:sz w:val="25"/>
            <w:szCs w:val="25"/>
          </w:rPr>
          <w:t>http://www.tst.jus.br/push</w:t>
        </w:r>
      </w:hyperlink>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4B3120" w:rsidSect="00D11B24">
      <w:headerReference w:type="default" r:id="rId20"/>
      <w:footerReference w:type="default" r:id="rId21"/>
      <w:headerReference w:type="first" r:id="rId22"/>
      <w:footerReference w:type="first" r:id="rId23"/>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78" w:rsidRDefault="00793978">
      <w:r>
        <w:separator/>
      </w:r>
    </w:p>
  </w:endnote>
  <w:endnote w:type="continuationSeparator" w:id="0">
    <w:p w:rsidR="00793978" w:rsidRDefault="0079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78" w:rsidRDefault="00793978">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0EB">
      <w:rPr>
        <w:rStyle w:val="Nmerodepgina"/>
        <w:noProof/>
      </w:rPr>
      <w:t>3</w:t>
    </w:r>
    <w:r>
      <w:rPr>
        <w:rStyle w:val="Nmerodepgina"/>
      </w:rPr>
      <w:fldChar w:fldCharType="end"/>
    </w:r>
  </w:p>
  <w:p w:rsidR="00793978" w:rsidRDefault="00793978">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78" w:rsidRDefault="00793978">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B120EB">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78" w:rsidRDefault="00793978">
      <w:r>
        <w:separator/>
      </w:r>
    </w:p>
  </w:footnote>
  <w:footnote w:type="continuationSeparator" w:id="0">
    <w:p w:rsidR="00793978" w:rsidRDefault="0079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78" w:rsidRPr="008420B2" w:rsidRDefault="00793978">
    <w:pPr>
      <w:pStyle w:val="Corpodetexto"/>
      <w:jc w:val="right"/>
      <w:rPr>
        <w:sz w:val="24"/>
        <w:szCs w:val="24"/>
        <w14:shadow w14:blurRad="50800" w14:dist="38100" w14:dir="2700000" w14:sx="100000" w14:sy="100000" w14:kx="0" w14:ky="0" w14:algn="tl">
          <w14:srgbClr w14:val="000000">
            <w14:alpha w14:val="60000"/>
          </w14:srgbClr>
        </w14:shadow>
      </w:rPr>
    </w:pPr>
    <w:r w:rsidRPr="00BF2ED4">
      <w:rPr>
        <w:color w:val="006699"/>
      </w:rPr>
      <w:t>Informativo</w:t>
    </w:r>
    <w:r w:rsidR="007B4C52">
      <w:rPr>
        <w:color w:val="006699"/>
      </w:rPr>
      <w:t xml:space="preserve"> TST – nº 217</w:t>
    </w:r>
  </w:p>
  <w:p w:rsidR="007B4C52" w:rsidRPr="006717E0" w:rsidRDefault="00793978" w:rsidP="007B4C52">
    <w:pPr>
      <w:pStyle w:val="Cabealho"/>
      <w:jc w:val="right"/>
      <w:rPr>
        <w:i/>
        <w:iCs/>
        <w:color w:val="005DA2"/>
      </w:rPr>
    </w:pPr>
    <w:r>
      <w:rPr>
        <w:noProof/>
      </w:rPr>
      <mc:AlternateContent>
        <mc:Choice Requires="wps">
          <w:drawing>
            <wp:anchor distT="0" distB="0" distL="114300" distR="114300" simplePos="0" relativeHeight="251657216" behindDoc="0" locked="0" layoutInCell="0" allowOverlap="1" wp14:anchorId="4131B637" wp14:editId="2B283A2B">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7B4C52" w:rsidRPr="007B4C52">
      <w:rPr>
        <w:i/>
        <w:iCs/>
        <w:color w:val="005DA2"/>
      </w:rPr>
      <w:t xml:space="preserve"> </w:t>
    </w:r>
    <w:r w:rsidR="007B4C52" w:rsidRPr="006717E0">
      <w:rPr>
        <w:i/>
        <w:iCs/>
        <w:color w:val="005DA2"/>
      </w:rPr>
      <w:t xml:space="preserve">Período: </w:t>
    </w:r>
    <w:r w:rsidR="007B4C52">
      <w:rPr>
        <w:i/>
        <w:iCs/>
        <w:color w:val="005DA2"/>
      </w:rPr>
      <w:t>1º</w:t>
    </w:r>
    <w:r w:rsidR="007B4C52" w:rsidRPr="006717E0">
      <w:rPr>
        <w:i/>
        <w:iCs/>
        <w:color w:val="005DA2"/>
      </w:rPr>
      <w:t xml:space="preserve"> a </w:t>
    </w:r>
    <w:r w:rsidR="007B4C52">
      <w:rPr>
        <w:i/>
        <w:iCs/>
        <w:color w:val="005DA2"/>
      </w:rPr>
      <w:t>30</w:t>
    </w:r>
    <w:r w:rsidR="007B4C52" w:rsidRPr="006717E0">
      <w:rPr>
        <w:i/>
        <w:iCs/>
        <w:color w:val="005DA2"/>
      </w:rPr>
      <w:t xml:space="preserve"> de </w:t>
    </w:r>
    <w:r w:rsidR="007B4C52">
      <w:rPr>
        <w:i/>
        <w:iCs/>
        <w:color w:val="005DA2"/>
      </w:rPr>
      <w:t>abril de 2020</w:t>
    </w:r>
  </w:p>
  <w:p w:rsidR="00793978" w:rsidRDefault="00793978" w:rsidP="00A01E4F">
    <w:pPr>
      <w:pStyle w:val="Cabealho"/>
      <w:jc w:val="right"/>
      <w:rPr>
        <w:i/>
        <w:iCs/>
      </w:rPr>
    </w:pPr>
  </w:p>
  <w:p w:rsidR="00793978" w:rsidRPr="005D1DE4" w:rsidRDefault="00793978"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78" w:rsidRDefault="00793978">
    <w:pPr>
      <w:pStyle w:val="Cabealho"/>
    </w:pPr>
    <w:r>
      <w:rPr>
        <w:noProof/>
      </w:rPr>
      <w:drawing>
        <wp:inline distT="0" distB="0" distL="0" distR="0" wp14:anchorId="054F6448" wp14:editId="51C6D142">
          <wp:extent cx="2383790" cy="571500"/>
          <wp:effectExtent l="0" t="0" r="0" b="0"/>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1500"/>
                  </a:xfrm>
                  <a:prstGeom prst="rect">
                    <a:avLst/>
                  </a:prstGeom>
                  <a:noFill/>
                  <a:ln>
                    <a:noFill/>
                  </a:ln>
                </pic:spPr>
              </pic:pic>
            </a:graphicData>
          </a:graphic>
        </wp:inline>
      </w:drawing>
    </w:r>
  </w:p>
  <w:p w:rsidR="00793978" w:rsidRDefault="00793978">
    <w:pPr>
      <w:pStyle w:val="Cabealho"/>
    </w:pPr>
    <w:r>
      <w:rPr>
        <w:rFonts w:ascii="Bebas Neue Regular" w:hAnsi="Bebas Neue Regular"/>
        <w:noProof/>
        <w:color w:val="006699"/>
        <w:sz w:val="30"/>
      </w:rPr>
      <w:drawing>
        <wp:inline distT="0" distB="0" distL="0" distR="0" wp14:anchorId="5356A62B" wp14:editId="3E31AD9E">
          <wp:extent cx="6124575" cy="895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793978" w:rsidRDefault="00793978">
    <w:pPr>
      <w:pStyle w:val="Cabealho"/>
    </w:pPr>
  </w:p>
  <w:p w:rsidR="00793978" w:rsidRPr="006717E0" w:rsidRDefault="00793978" w:rsidP="00075BDB">
    <w:pPr>
      <w:pStyle w:val="Cabealho"/>
      <w:tabs>
        <w:tab w:val="clear" w:pos="4419"/>
        <w:tab w:val="clear" w:pos="8838"/>
        <w:tab w:val="left" w:pos="2793"/>
      </w:tabs>
      <w:jc w:val="right"/>
      <w:rPr>
        <w:b/>
        <w:color w:val="005DA2"/>
        <w:sz w:val="40"/>
        <w:szCs w:val="40"/>
      </w:rPr>
    </w:pPr>
    <w:r>
      <w:tab/>
    </w:r>
    <w:r>
      <w:tab/>
    </w:r>
    <w:r>
      <w:tab/>
    </w:r>
    <w:r>
      <w:tab/>
    </w:r>
    <w:r>
      <w:tab/>
    </w:r>
    <w:r>
      <w:tab/>
    </w:r>
    <w:r>
      <w:rPr>
        <w:b/>
        <w:color w:val="005DA2"/>
        <w:sz w:val="40"/>
        <w:szCs w:val="40"/>
      </w:rPr>
      <w:t>Nº 217</w:t>
    </w:r>
  </w:p>
  <w:p w:rsidR="00793978" w:rsidRPr="006717E0" w:rsidRDefault="00793978">
    <w:pPr>
      <w:pStyle w:val="Cabealho"/>
      <w:jc w:val="right"/>
      <w:rPr>
        <w:i/>
        <w:iCs/>
        <w:color w:val="005DA2"/>
        <w:sz w:val="10"/>
        <w:szCs w:val="10"/>
      </w:rPr>
    </w:pPr>
  </w:p>
  <w:p w:rsidR="00793978" w:rsidRPr="006717E0" w:rsidRDefault="00793978" w:rsidP="009A16E8">
    <w:pPr>
      <w:pStyle w:val="Cabealho"/>
      <w:jc w:val="right"/>
      <w:rPr>
        <w:i/>
        <w:iCs/>
        <w:color w:val="005DA2"/>
      </w:rPr>
    </w:pPr>
    <w:r w:rsidRPr="006717E0">
      <w:rPr>
        <w:i/>
        <w:iCs/>
        <w:color w:val="005DA2"/>
      </w:rPr>
      <w:t xml:space="preserve">Período: </w:t>
    </w:r>
    <w:r>
      <w:rPr>
        <w:i/>
        <w:iCs/>
        <w:color w:val="005DA2"/>
      </w:rPr>
      <w:t>1º</w:t>
    </w:r>
    <w:r w:rsidRPr="006717E0">
      <w:rPr>
        <w:i/>
        <w:iCs/>
        <w:color w:val="005DA2"/>
      </w:rPr>
      <w:t xml:space="preserve"> a </w:t>
    </w:r>
    <w:r>
      <w:rPr>
        <w:i/>
        <w:iCs/>
        <w:color w:val="005DA2"/>
      </w:rPr>
      <w:t>30</w:t>
    </w:r>
    <w:r w:rsidRPr="006717E0">
      <w:rPr>
        <w:i/>
        <w:iCs/>
        <w:color w:val="005DA2"/>
      </w:rPr>
      <w:t xml:space="preserve"> de </w:t>
    </w:r>
    <w:r>
      <w:rPr>
        <w:i/>
        <w:iCs/>
        <w:color w:val="005DA2"/>
      </w:rPr>
      <w:t>abril de 2020</w:t>
    </w:r>
  </w:p>
  <w:p w:rsidR="00793978" w:rsidRDefault="00793978"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1790D"/>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0F260C"/>
    <w:rsid w:val="00106A93"/>
    <w:rsid w:val="0011575C"/>
    <w:rsid w:val="0011692E"/>
    <w:rsid w:val="00122C2A"/>
    <w:rsid w:val="001257D7"/>
    <w:rsid w:val="001365EE"/>
    <w:rsid w:val="00136E86"/>
    <w:rsid w:val="00137564"/>
    <w:rsid w:val="00137DC1"/>
    <w:rsid w:val="00141630"/>
    <w:rsid w:val="00142C28"/>
    <w:rsid w:val="001444DA"/>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37380"/>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335"/>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0CFC"/>
    <w:rsid w:val="004922D6"/>
    <w:rsid w:val="00494DD1"/>
    <w:rsid w:val="004A094C"/>
    <w:rsid w:val="004A1432"/>
    <w:rsid w:val="004A14FC"/>
    <w:rsid w:val="004A2500"/>
    <w:rsid w:val="004A5264"/>
    <w:rsid w:val="004A5908"/>
    <w:rsid w:val="004A7C59"/>
    <w:rsid w:val="004B21AD"/>
    <w:rsid w:val="004B3120"/>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36EDA"/>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8D7"/>
    <w:rsid w:val="00584F82"/>
    <w:rsid w:val="00591DFA"/>
    <w:rsid w:val="005A30AA"/>
    <w:rsid w:val="005A4ED6"/>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28FD"/>
    <w:rsid w:val="00665956"/>
    <w:rsid w:val="00665CCF"/>
    <w:rsid w:val="006717E0"/>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159C7"/>
    <w:rsid w:val="00720057"/>
    <w:rsid w:val="00721942"/>
    <w:rsid w:val="00722BE7"/>
    <w:rsid w:val="00723134"/>
    <w:rsid w:val="00730CC7"/>
    <w:rsid w:val="00732DF2"/>
    <w:rsid w:val="0073442D"/>
    <w:rsid w:val="00735B8F"/>
    <w:rsid w:val="007403B3"/>
    <w:rsid w:val="00750B85"/>
    <w:rsid w:val="00752730"/>
    <w:rsid w:val="00752B87"/>
    <w:rsid w:val="007568FD"/>
    <w:rsid w:val="007614F1"/>
    <w:rsid w:val="007618C5"/>
    <w:rsid w:val="00764066"/>
    <w:rsid w:val="00764D55"/>
    <w:rsid w:val="00766B7B"/>
    <w:rsid w:val="0077600F"/>
    <w:rsid w:val="007760AE"/>
    <w:rsid w:val="00776118"/>
    <w:rsid w:val="00781C77"/>
    <w:rsid w:val="00790F13"/>
    <w:rsid w:val="00793978"/>
    <w:rsid w:val="00793A1C"/>
    <w:rsid w:val="00796745"/>
    <w:rsid w:val="007A28FF"/>
    <w:rsid w:val="007A4009"/>
    <w:rsid w:val="007A4F78"/>
    <w:rsid w:val="007A7125"/>
    <w:rsid w:val="007B0F83"/>
    <w:rsid w:val="007B4C52"/>
    <w:rsid w:val="007B5D65"/>
    <w:rsid w:val="007C0A4F"/>
    <w:rsid w:val="007D0081"/>
    <w:rsid w:val="007D19FC"/>
    <w:rsid w:val="007D29A1"/>
    <w:rsid w:val="007D2B4E"/>
    <w:rsid w:val="007D2DB0"/>
    <w:rsid w:val="007D2EE9"/>
    <w:rsid w:val="007D469A"/>
    <w:rsid w:val="007D6D94"/>
    <w:rsid w:val="007D6F8C"/>
    <w:rsid w:val="007E069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E7D58"/>
    <w:rsid w:val="008F26CB"/>
    <w:rsid w:val="008F36EC"/>
    <w:rsid w:val="008F3D95"/>
    <w:rsid w:val="008F6509"/>
    <w:rsid w:val="008F79D9"/>
    <w:rsid w:val="009027C8"/>
    <w:rsid w:val="00910EEF"/>
    <w:rsid w:val="00920B0C"/>
    <w:rsid w:val="00922D1B"/>
    <w:rsid w:val="00930461"/>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40D9C"/>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B7B50"/>
    <w:rsid w:val="00AC096E"/>
    <w:rsid w:val="00AC4F6C"/>
    <w:rsid w:val="00AD0ED3"/>
    <w:rsid w:val="00AD1400"/>
    <w:rsid w:val="00AD2BB0"/>
    <w:rsid w:val="00AD6E76"/>
    <w:rsid w:val="00AE3EAA"/>
    <w:rsid w:val="00AE5EDF"/>
    <w:rsid w:val="00AE758A"/>
    <w:rsid w:val="00AF77DF"/>
    <w:rsid w:val="00B03BC8"/>
    <w:rsid w:val="00B06261"/>
    <w:rsid w:val="00B06914"/>
    <w:rsid w:val="00B0754F"/>
    <w:rsid w:val="00B108BA"/>
    <w:rsid w:val="00B108E6"/>
    <w:rsid w:val="00B120EB"/>
    <w:rsid w:val="00B12273"/>
    <w:rsid w:val="00B13F59"/>
    <w:rsid w:val="00B14F7F"/>
    <w:rsid w:val="00B15004"/>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A4636"/>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E555C"/>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0A9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188A"/>
    <w:rsid w:val="00E420AA"/>
    <w:rsid w:val="00E428CA"/>
    <w:rsid w:val="00E42D22"/>
    <w:rsid w:val="00E432CC"/>
    <w:rsid w:val="00E47FF2"/>
    <w:rsid w:val="00E50711"/>
    <w:rsid w:val="00E52522"/>
    <w:rsid w:val="00E531C9"/>
    <w:rsid w:val="00E60AD3"/>
    <w:rsid w:val="00E60EDA"/>
    <w:rsid w:val="00E62BBC"/>
    <w:rsid w:val="00E67BAE"/>
    <w:rsid w:val="00E711AE"/>
    <w:rsid w:val="00E716F3"/>
    <w:rsid w:val="00E76789"/>
    <w:rsid w:val="00E774F6"/>
    <w:rsid w:val="00E931FF"/>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2A67"/>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3215"/>
    <w:rsid w:val="00F54576"/>
    <w:rsid w:val="00F55574"/>
    <w:rsid w:val="00F558E7"/>
    <w:rsid w:val="00F60363"/>
    <w:rsid w:val="00F62016"/>
    <w:rsid w:val="00F63F44"/>
    <w:rsid w:val="00F6401B"/>
    <w:rsid w:val="00F65243"/>
    <w:rsid w:val="00F6746D"/>
    <w:rsid w:val="00F675D5"/>
    <w:rsid w:val="00F74361"/>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AFB"/>
    <w:rsid w:val="00FB0C06"/>
    <w:rsid w:val="00FB0DC9"/>
    <w:rsid w:val="00FB20B1"/>
    <w:rsid w:val="00FB27AA"/>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1878&amp;digitoTst=59&amp;anoTst=2014&amp;orgaoTst=5&amp;tribunalTst=10&amp;varaTst=0003&amp;submit=Consultar" TargetMode="External"/><Relationship Id="rId18" Type="http://schemas.openxmlformats.org/officeDocument/2006/relationships/hyperlink" Target="http://www.tst.jus.br/web/guest/informativo-t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716&amp;digitoTst=17&amp;anoTst=2017&amp;orgaoTst=5&amp;tribunalTst=14&amp;varaTst=0131&amp;submit=Consultar" TargetMode="External"/><Relationship Id="rId17" Type="http://schemas.openxmlformats.org/officeDocument/2006/relationships/hyperlink" Target="mailto:cjur@tst.jus.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1120&amp;digitoTst=71&amp;anoTst=2013&amp;orgaoTst=5&amp;tribunalTst=07&amp;varaTst=0012&amp;submit=Consult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201&amp;digitoTst=78&amp;anoTst=2018&amp;orgaoTst=5&amp;tribunalTst=12&amp;varaTst=0041&amp;submit=Consulta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0645&amp;digitoTst=07&amp;anoTst=2015&amp;orgaoTst=5&amp;tribunalTst=03&amp;varaTst=0081&amp;submit=Consultar" TargetMode="External"/><Relationship Id="rId23" Type="http://schemas.openxmlformats.org/officeDocument/2006/relationships/footer" Target="footer2.xml"/><Relationship Id="rId10" Type="http://schemas.openxmlformats.org/officeDocument/2006/relationships/hyperlink" Target="http://aplicacao4.tst.jus.br/consultaProcessual/consultaTstNumUnica.do?consulta=Consultar&amp;conscsjt=&amp;numeroTst=1001857&amp;digitoTst=31&amp;anoTst=2017&amp;orgaoTst=5&amp;tribunalTst=02&amp;varaTst=85" TargetMode="External"/><Relationship Id="rId19" Type="http://schemas.openxmlformats.org/officeDocument/2006/relationships/hyperlink" Target="http://www.tst.jus.br/push"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100896&amp;digitoTst=70&amp;anoTst=2016&amp;orgaoTst=5&amp;tribunalTst=01&amp;varaTst=0282&amp;submit=Consultar" TargetMode="External"/><Relationship Id="rId14" Type="http://schemas.openxmlformats.org/officeDocument/2006/relationships/hyperlink" Target="http://aplicacao4.tst.jus.br/consultaProcessual/consultaTstNumUnica.do?consulta=Consultar&amp;conscsjt=&amp;numeroTst=2381&amp;digitoTst=20&amp;anoTst=2012&amp;orgaoTst=5&amp;tribunalTst=18&amp;varaTst=0006&amp;submit=Consulta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5101-2CFF-439A-A6FB-2D7B1ABA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1897</Words>
  <Characters>12763</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14631</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4</cp:revision>
  <cp:lastPrinted>2019-10-29T20:50:00Z</cp:lastPrinted>
  <dcterms:created xsi:type="dcterms:W3CDTF">2020-05-04T15:08:00Z</dcterms:created>
  <dcterms:modified xsi:type="dcterms:W3CDTF">2020-05-04T20:14:00Z</dcterms:modified>
</cp:coreProperties>
</file>