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513C9" w:rsidRDefault="00C26DFB" w:rsidP="00DC50EB">
            <w:pPr>
              <w:pStyle w:val="Cabealho"/>
              <w:tabs>
                <w:tab w:val="clear" w:pos="4419"/>
                <w:tab w:val="clear" w:pos="8838"/>
              </w:tabs>
              <w:jc w:val="both"/>
            </w:pPr>
            <w:r w:rsidRPr="001513C9">
              <w:t>Este Informativo, elaborado a partir de notas tomadas nas sessões de julgamentos, contém resumos não</w:t>
            </w:r>
            <w:r w:rsidR="00DC50EB" w:rsidRPr="001513C9">
              <w:t xml:space="preserve"> </w:t>
            </w:r>
            <w:r w:rsidRPr="001513C9">
              <w:t>oficiais de decisões proferidas pelo Tribunal. A fidelidade dos resumos ao conteúdo efetivo das decisões, embora seja uma das metas perseguidas neste trabalho, somente poderá ser aferida após a sua publicação no Diário</w:t>
            </w:r>
            <w:r w:rsidR="00980944" w:rsidRPr="001513C9">
              <w:t xml:space="preserve"> Eletrônico </w:t>
            </w:r>
            <w:r w:rsidRPr="001513C9">
              <w:t>da Justiça</w:t>
            </w:r>
            <w:r w:rsidR="00980944" w:rsidRPr="001513C9">
              <w:t xml:space="preserve"> do Trabalho</w:t>
            </w:r>
            <w:r w:rsidRPr="001513C9">
              <w:t>.</w:t>
            </w:r>
          </w:p>
        </w:tc>
      </w:tr>
    </w:tbl>
    <w:p w:rsidR="00EA29F5" w:rsidRPr="00A87DE6" w:rsidRDefault="00EA29F5" w:rsidP="00EA29F5">
      <w:pPr>
        <w:pStyle w:val="Corpodetexto2"/>
        <w:jc w:val="center"/>
        <w:rPr>
          <w:b/>
          <w:bCs/>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31F1C" w:rsidRPr="00A87DE6"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A87DE6">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SEÇÃO ESPECIALIZADA EM DISSÍDIOS COLETIVOS</w:t>
      </w:r>
    </w:p>
    <w:p w:rsidR="00C71A3B" w:rsidRPr="005D1DE4" w:rsidRDefault="00C71A3B" w:rsidP="00F82D8F">
      <w:pPr>
        <w:pStyle w:val="Corpo"/>
        <w:spacing w:line="240" w:lineRule="auto"/>
        <w:ind w:firstLine="0"/>
        <w:rPr>
          <w:rFonts w:ascii="Times New Roman" w:hAnsi="Times New Roman" w:cs="Times New Roman"/>
          <w:b/>
          <w:bCs/>
          <w:i/>
          <w:iCs/>
          <w:sz w:val="10"/>
          <w:szCs w:val="10"/>
          <w:lang w:val="pt-BR"/>
        </w:rPr>
      </w:pPr>
    </w:p>
    <w:p w:rsidR="004E3E8B" w:rsidRPr="001513C9" w:rsidRDefault="004E3E8B" w:rsidP="004E3E8B">
      <w:pPr>
        <w:jc w:val="both"/>
        <w:rPr>
          <w:rFonts w:eastAsia="Calibri"/>
          <w:b/>
          <w:i/>
        </w:rPr>
      </w:pPr>
    </w:p>
    <w:p w:rsidR="004E3E8B" w:rsidRDefault="004E3E8B" w:rsidP="004E3E8B">
      <w:pPr>
        <w:jc w:val="both"/>
        <w:rPr>
          <w:rFonts w:eastAsia="Calibri"/>
          <w:b/>
          <w:i/>
          <w:sz w:val="24"/>
          <w:szCs w:val="24"/>
        </w:rPr>
      </w:pPr>
      <w:r w:rsidRPr="00087FD0">
        <w:rPr>
          <w:rFonts w:eastAsia="Calibri"/>
          <w:b/>
          <w:i/>
          <w:sz w:val="24"/>
          <w:szCs w:val="24"/>
        </w:rPr>
        <w:t>Empresa Brasileira de Correios e Telégrafos – ECT. Embargos de declaração. Dissídio coletivo. Assistência médica/hospitalar e odontológica. Plano de saúde de pais e mães. Regra de transição em face da autorização para a sua extinção. Interpretação de expressões da sentença normativa.</w:t>
      </w:r>
    </w:p>
    <w:p w:rsidR="004E3E8B" w:rsidRDefault="004E3E8B" w:rsidP="004E3E8B">
      <w:pPr>
        <w:jc w:val="both"/>
        <w:rPr>
          <w:rFonts w:eastAsia="Calibri"/>
          <w:sz w:val="24"/>
          <w:szCs w:val="24"/>
          <w:u w:val="single"/>
        </w:rPr>
      </w:pPr>
      <w:r w:rsidRPr="00087FD0">
        <w:rPr>
          <w:rFonts w:eastAsia="Calibri"/>
          <w:sz w:val="24"/>
          <w:szCs w:val="24"/>
        </w:rPr>
        <w:t>A SDC, em dissídio coletivo, embora tenha indeferido a pretensão da categoria profissional</w:t>
      </w:r>
      <w:r>
        <w:rPr>
          <w:rFonts w:eastAsia="Calibri"/>
          <w:sz w:val="24"/>
          <w:szCs w:val="24"/>
        </w:rPr>
        <w:t xml:space="preserve"> quanto à criação/manutenção do Plano de Saúde para Pais e Mães,</w:t>
      </w:r>
      <w:r w:rsidRPr="00087FD0">
        <w:rPr>
          <w:rFonts w:eastAsia="Calibri"/>
          <w:sz w:val="24"/>
          <w:szCs w:val="24"/>
        </w:rPr>
        <w:t xml:space="preserve"> </w:t>
      </w:r>
      <w:r>
        <w:rPr>
          <w:rFonts w:eastAsia="Calibri"/>
          <w:sz w:val="24"/>
          <w:szCs w:val="24"/>
        </w:rPr>
        <w:t>det</w:t>
      </w:r>
      <w:r w:rsidRPr="00087FD0">
        <w:rPr>
          <w:rFonts w:eastAsia="Calibri"/>
          <w:sz w:val="24"/>
          <w:szCs w:val="24"/>
        </w:rPr>
        <w:t xml:space="preserve">erminou que ficava garantida a permanência dos tratamentos em andamento e não finalizados, da seguinte forma: quanto às internações hospitalares, até a alta; quanto aos tratamentos continuados em regime ambulatorial (hemodiálise, diálise, terapia imunobiológica, quimioterapia, quimioterápicos orais, radioterapia), até o fim do ciclo autorizado, e as terapias domiciliares (oxigenoterapia, fonoaudiologia domiciliar, internação domiciliar e fisioterapia domiciliar), até o fim das sessões autorizadas e iniciadas. </w:t>
      </w:r>
      <w:r>
        <w:rPr>
          <w:rFonts w:eastAsia="Calibri"/>
          <w:sz w:val="24"/>
          <w:szCs w:val="24"/>
        </w:rPr>
        <w:t>O</w:t>
      </w:r>
      <w:r w:rsidRPr="00087FD0">
        <w:rPr>
          <w:rFonts w:eastAsia="Calibri"/>
          <w:sz w:val="24"/>
          <w:szCs w:val="24"/>
        </w:rPr>
        <w:t xml:space="preserve">postos embargos de declaração, com o intuito de se esclarecer, entre outras questões, o alcance das expressões “ciclo autorizado” e </w:t>
      </w:r>
      <w:r>
        <w:rPr>
          <w:rFonts w:eastAsia="Calibri"/>
          <w:sz w:val="24"/>
          <w:szCs w:val="24"/>
        </w:rPr>
        <w:t>“sessão autorizada e iniciada”, constantes do §16 da Cláusula 28 da sentença normativa, decidiu-se</w:t>
      </w:r>
      <w:r w:rsidRPr="00087FD0">
        <w:rPr>
          <w:rFonts w:eastAsia="Calibri"/>
          <w:sz w:val="24"/>
          <w:szCs w:val="24"/>
        </w:rPr>
        <w:t xml:space="preserve"> que o “ciclo autorizado” e a “sessão autorizada e iniciada” encerram-se apenas com a alta médica, ficando, contudo, excluídas das terapias domiciliares a fisioterapia e a fonoaudiologia, por não apresentarem a urgência dos demais tratamentos. </w:t>
      </w:r>
      <w:r>
        <w:rPr>
          <w:rFonts w:eastAsia="Calibri"/>
          <w:sz w:val="24"/>
          <w:szCs w:val="24"/>
        </w:rPr>
        <w:t xml:space="preserve">Com esse entendimento, a SDC, pelo voto médio do Ministro Aloysio Corrêa da Veiga, acompanhado pelos Ministros Renato de Lacerda Paiva e Dora Maria da Costa, </w:t>
      </w:r>
      <w:r w:rsidRPr="00087FD0">
        <w:rPr>
          <w:rFonts w:eastAsia="Calibri"/>
          <w:sz w:val="24"/>
          <w:szCs w:val="24"/>
        </w:rPr>
        <w:t xml:space="preserve">conheceu dos embargos de declaração e deu-lhes provimento para, </w:t>
      </w:r>
      <w:r>
        <w:rPr>
          <w:rFonts w:eastAsia="Calibri"/>
          <w:sz w:val="24"/>
          <w:szCs w:val="24"/>
        </w:rPr>
        <w:t xml:space="preserve">sanando a omissão apontada e </w:t>
      </w:r>
      <w:r w:rsidRPr="00087FD0">
        <w:rPr>
          <w:rFonts w:eastAsia="Calibri"/>
          <w:sz w:val="24"/>
          <w:szCs w:val="24"/>
        </w:rPr>
        <w:t>concedendo efeito modific</w:t>
      </w:r>
      <w:r>
        <w:rPr>
          <w:rFonts w:eastAsia="Calibri"/>
          <w:sz w:val="24"/>
          <w:szCs w:val="24"/>
        </w:rPr>
        <w:t>ativo ao julgado, declarar a</w:t>
      </w:r>
      <w:r w:rsidRPr="00087FD0">
        <w:rPr>
          <w:rFonts w:eastAsia="Calibri"/>
          <w:sz w:val="24"/>
          <w:szCs w:val="24"/>
        </w:rPr>
        <w:t xml:space="preserve"> interpretação a ser conferida ao §16 da Cláusula 28</w:t>
      </w:r>
      <w:r>
        <w:rPr>
          <w:rFonts w:eastAsia="Calibri"/>
          <w:sz w:val="24"/>
          <w:szCs w:val="24"/>
        </w:rPr>
        <w:t>, nos termos da fundamentação</w:t>
      </w:r>
      <w:r w:rsidRPr="00087FD0">
        <w:rPr>
          <w:rFonts w:eastAsia="Calibri"/>
          <w:sz w:val="24"/>
          <w:szCs w:val="24"/>
        </w:rPr>
        <w:t>.</w:t>
      </w:r>
      <w:r>
        <w:rPr>
          <w:rFonts w:eastAsia="Calibri"/>
          <w:sz w:val="24"/>
          <w:szCs w:val="24"/>
        </w:rPr>
        <w:t xml:space="preserve"> Vencidos parcialmente os Ministros Maurício Godinho Delgado, Kátia Magalhães Arruda e Lélio Bentes Corrêa, que davam provimento mais amplo, aplicando o marco da “alta médica” a todos os casos previstos no §16, e o Ministro Ives Gandra da Silva Martins Filho, que rejeitava os embargos de declaração no tópico, por entender que a interpretação deve-se ater à literalidade da cláusula. </w:t>
      </w:r>
      <w:hyperlink r:id="rId9" w:history="1">
        <w:r w:rsidRPr="004E3E8B">
          <w:rPr>
            <w:rFonts w:eastAsia="Calibri"/>
            <w:color w:val="0000FF"/>
            <w:sz w:val="24"/>
            <w:szCs w:val="24"/>
            <w:u w:val="single"/>
          </w:rPr>
          <w:t>TST-ED-DCG-1</w:t>
        </w:r>
        <w:r w:rsidRPr="004E3E8B">
          <w:rPr>
            <w:rFonts w:eastAsia="Calibri"/>
            <w:color w:val="0000FF"/>
            <w:sz w:val="24"/>
            <w:szCs w:val="24"/>
            <w:u w:val="single"/>
          </w:rPr>
          <w:t>0</w:t>
        </w:r>
        <w:r w:rsidRPr="004E3E8B">
          <w:rPr>
            <w:rFonts w:eastAsia="Calibri"/>
            <w:color w:val="0000FF"/>
            <w:sz w:val="24"/>
            <w:szCs w:val="24"/>
            <w:u w:val="single"/>
          </w:rPr>
          <w:t>00662-</w:t>
        </w:r>
        <w:r w:rsidRPr="004E3E8B">
          <w:rPr>
            <w:rFonts w:eastAsia="Calibri"/>
            <w:color w:val="0000FF"/>
            <w:sz w:val="24"/>
            <w:szCs w:val="24"/>
            <w:u w:val="single"/>
          </w:rPr>
          <w:t>5</w:t>
        </w:r>
        <w:r w:rsidRPr="004E3E8B">
          <w:rPr>
            <w:rFonts w:eastAsia="Calibri"/>
            <w:color w:val="0000FF"/>
            <w:sz w:val="24"/>
            <w:szCs w:val="24"/>
            <w:u w:val="single"/>
          </w:rPr>
          <w:t>8.2019.5.00.0000</w:t>
        </w:r>
      </w:hyperlink>
      <w:r w:rsidRPr="00087FD0">
        <w:rPr>
          <w:rFonts w:eastAsia="Calibri"/>
          <w:sz w:val="24"/>
          <w:szCs w:val="24"/>
          <w:u w:val="single"/>
        </w:rPr>
        <w:t xml:space="preserve">, SDC, rel. Min. Mauricio Godinho Delgado, </w:t>
      </w:r>
      <w:r>
        <w:rPr>
          <w:rFonts w:eastAsia="Calibri"/>
          <w:sz w:val="24"/>
          <w:szCs w:val="24"/>
          <w:u w:val="single"/>
        </w:rPr>
        <w:t>17.</w:t>
      </w:r>
      <w:r w:rsidRPr="00087FD0">
        <w:rPr>
          <w:rFonts w:eastAsia="Calibri"/>
          <w:sz w:val="24"/>
          <w:szCs w:val="24"/>
          <w:u w:val="single"/>
        </w:rPr>
        <w:t>2.2020</w:t>
      </w:r>
      <w:r>
        <w:rPr>
          <w:rFonts w:eastAsia="Calibri"/>
          <w:sz w:val="24"/>
          <w:szCs w:val="24"/>
          <w:u w:val="single"/>
        </w:rPr>
        <w:t>.</w:t>
      </w:r>
    </w:p>
    <w:p w:rsidR="004E3E8B" w:rsidRPr="001513C9" w:rsidRDefault="004E3E8B" w:rsidP="004E3E8B">
      <w:pPr>
        <w:jc w:val="both"/>
        <w:rPr>
          <w:rFonts w:eastAsia="Calibri"/>
          <w:u w:val="single"/>
        </w:rPr>
      </w:pPr>
    </w:p>
    <w:p w:rsidR="004E3E8B" w:rsidRDefault="004E3E8B" w:rsidP="004E3E8B">
      <w:pPr>
        <w:jc w:val="both"/>
        <w:rPr>
          <w:b/>
          <w:i/>
          <w:sz w:val="24"/>
          <w:szCs w:val="24"/>
        </w:rPr>
      </w:pPr>
      <w:r>
        <w:rPr>
          <w:b/>
          <w:i/>
          <w:sz w:val="24"/>
          <w:szCs w:val="24"/>
        </w:rPr>
        <w:t xml:space="preserve">Movimento conduzido por reduzido grupo de trabalhadores. Inexistência de repercussão significativa do ato. Mero protesto. Não enquadramento como greve. </w:t>
      </w:r>
    </w:p>
    <w:p w:rsidR="004E3E8B" w:rsidRPr="00065886" w:rsidRDefault="004E3E8B" w:rsidP="004E3E8B">
      <w:pPr>
        <w:jc w:val="both"/>
        <w:rPr>
          <w:sz w:val="24"/>
          <w:szCs w:val="24"/>
        </w:rPr>
      </w:pPr>
      <w:r>
        <w:rPr>
          <w:sz w:val="24"/>
          <w:szCs w:val="24"/>
        </w:rPr>
        <w:t xml:space="preserve">Movimento conduzido por pequeno grupo de trabalhadores e sem repercussão significativa não caracteriza greve. No caso vertente, houve uma pequena paralisação das atividades de uma das concessionárias de transporte público de Manaus, especificamente nos terminais situados nos bairros de Vila Marinho e Augusto Montenegro. O Tribunal Regional, após análise das provas, entendeu inexistente a greve, por se tratar de um evento que ocorreu de maneira espontânea e imprevista, oriundo de reivindicações pontuais (falta de pagamento de horas extras e supostas perseguições a obreiros), com participação de pouquíssimos trabalhadores e curta duração (cerca de 30 minutos). Concluiu-se, portanto, não estar configurada uma efetiva greve, mas sim uma manifestação isolada, com repercussão mínima. Sob esses fundamentos, a SDC, por unanimidade, </w:t>
      </w:r>
      <w:r>
        <w:rPr>
          <w:sz w:val="24"/>
          <w:szCs w:val="24"/>
        </w:rPr>
        <w:lastRenderedPageBreak/>
        <w:t xml:space="preserve">decidiu negar provimento ao recurso ordinário, neste tópico, e manter a decisão recorrida. </w:t>
      </w:r>
      <w:hyperlink r:id="rId10" w:history="1">
        <w:r w:rsidRPr="00065886">
          <w:rPr>
            <w:rStyle w:val="Hyperlink"/>
            <w:sz w:val="24"/>
            <w:szCs w:val="24"/>
          </w:rPr>
          <w:t>TS</w:t>
        </w:r>
        <w:r w:rsidRPr="00065886">
          <w:rPr>
            <w:rStyle w:val="Hyperlink"/>
            <w:sz w:val="24"/>
            <w:szCs w:val="24"/>
          </w:rPr>
          <w:t>T</w:t>
        </w:r>
        <w:r w:rsidRPr="00065886">
          <w:rPr>
            <w:rStyle w:val="Hyperlink"/>
            <w:sz w:val="24"/>
            <w:szCs w:val="24"/>
          </w:rPr>
          <w:t>-</w:t>
        </w:r>
        <w:r w:rsidRPr="00065886">
          <w:rPr>
            <w:rStyle w:val="Hyperlink"/>
            <w:sz w:val="24"/>
            <w:szCs w:val="24"/>
          </w:rPr>
          <w:t>R</w:t>
        </w:r>
        <w:r w:rsidRPr="00065886">
          <w:rPr>
            <w:rStyle w:val="Hyperlink"/>
            <w:sz w:val="24"/>
            <w:szCs w:val="24"/>
          </w:rPr>
          <w:t>O-386-09.2017.5.11.0000</w:t>
        </w:r>
      </w:hyperlink>
      <w:r w:rsidRPr="00065886">
        <w:rPr>
          <w:sz w:val="24"/>
          <w:szCs w:val="24"/>
          <w:u w:val="single"/>
        </w:rPr>
        <w:t xml:space="preserve">, SDC, </w:t>
      </w:r>
      <w:r w:rsidRPr="00065886">
        <w:rPr>
          <w:sz w:val="24"/>
          <w:szCs w:val="24"/>
          <w:u w:val="single"/>
          <w:lang w:eastAsia="zh-CN"/>
        </w:rPr>
        <w:t>rel. Min. Maurício Godinho Delgado</w:t>
      </w:r>
      <w:r w:rsidRPr="00065886">
        <w:rPr>
          <w:sz w:val="24"/>
          <w:szCs w:val="24"/>
          <w:u w:val="single"/>
        </w:rPr>
        <w:t>,</w:t>
      </w:r>
      <w:r>
        <w:rPr>
          <w:sz w:val="24"/>
          <w:szCs w:val="24"/>
          <w:u w:val="single"/>
          <w:lang w:eastAsia="zh-CN"/>
        </w:rPr>
        <w:t xml:space="preserve"> 9.</w:t>
      </w:r>
      <w:r w:rsidRPr="00065886">
        <w:rPr>
          <w:sz w:val="24"/>
          <w:szCs w:val="24"/>
          <w:u w:val="single"/>
          <w:lang w:eastAsia="zh-CN"/>
        </w:rPr>
        <w:t>3.2020</w:t>
      </w:r>
      <w:r>
        <w:rPr>
          <w:sz w:val="24"/>
          <w:szCs w:val="24"/>
          <w:u w:val="single"/>
          <w:lang w:eastAsia="zh-CN"/>
        </w:rPr>
        <w:t>.</w:t>
      </w:r>
    </w:p>
    <w:p w:rsidR="00C71A3B" w:rsidRPr="00A87DE6" w:rsidRDefault="00C71A3B" w:rsidP="00317E29">
      <w:pPr>
        <w:pStyle w:val="Corpo"/>
        <w:spacing w:line="360" w:lineRule="auto"/>
        <w:ind w:firstLine="0"/>
        <w:rPr>
          <w:rFonts w:ascii="Times New Roman" w:hAnsi="Times New Roman" w:cs="Times New Roman"/>
          <w:b/>
          <w:bCs/>
          <w:color w:val="auto"/>
          <w:sz w:val="20"/>
          <w:szCs w:val="20"/>
          <w:lang w:val="pt-BR"/>
          <w14:shadow w14:blurRad="50800" w14:dist="38100" w14:dir="2700000" w14:sx="100000" w14:sy="100000" w14:kx="0" w14:ky="0" w14:algn="tl">
            <w14:srgbClr w14:val="000000">
              <w14:alpha w14:val="60000"/>
            </w14:srgbClr>
          </w14:shadow>
        </w:rPr>
      </w:pPr>
    </w:p>
    <w:p w:rsidR="00631F1C" w:rsidRPr="00A87DE6"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A87DE6">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SUBSEÇÃO I ESPECIALIZADA EM DISSÍDIOS INDIVIDUAIS</w:t>
      </w:r>
    </w:p>
    <w:p w:rsidR="00FE00AD" w:rsidRPr="00A87DE6" w:rsidRDefault="00FE00AD" w:rsidP="00F82D8F">
      <w:pPr>
        <w:pStyle w:val="Corpodetexto2"/>
        <w:jc w:val="center"/>
        <w:rPr>
          <w:b/>
          <w:bCs/>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E00AD" w:rsidRPr="00A87DE6" w:rsidRDefault="00FE00AD" w:rsidP="00F82D8F">
      <w:pPr>
        <w:pStyle w:val="Corpodetexto2"/>
        <w:jc w:val="center"/>
        <w:rPr>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E3E8B" w:rsidRDefault="004E3E8B" w:rsidP="004E3E8B">
      <w:pPr>
        <w:jc w:val="both"/>
        <w:rPr>
          <w:b/>
          <w:i/>
          <w:sz w:val="24"/>
          <w:szCs w:val="24"/>
        </w:rPr>
      </w:pPr>
      <w:r w:rsidRPr="00CB41FA">
        <w:rPr>
          <w:b/>
          <w:i/>
          <w:sz w:val="24"/>
          <w:szCs w:val="24"/>
        </w:rPr>
        <w:t>Honorários de sucumbência</w:t>
      </w:r>
      <w:r>
        <w:rPr>
          <w:b/>
          <w:i/>
          <w:sz w:val="24"/>
          <w:szCs w:val="24"/>
        </w:rPr>
        <w:t xml:space="preserve"> fixados em sentença transitada em julgado</w:t>
      </w:r>
      <w:r w:rsidRPr="00CB41FA">
        <w:rPr>
          <w:b/>
          <w:i/>
          <w:sz w:val="24"/>
          <w:szCs w:val="24"/>
        </w:rPr>
        <w:t xml:space="preserve">. </w:t>
      </w:r>
      <w:r>
        <w:rPr>
          <w:b/>
          <w:i/>
          <w:sz w:val="24"/>
          <w:szCs w:val="24"/>
        </w:rPr>
        <w:t>Posterior celebração e homologação judicial de a</w:t>
      </w:r>
      <w:r w:rsidRPr="00CB41FA">
        <w:rPr>
          <w:b/>
          <w:i/>
          <w:sz w:val="24"/>
          <w:szCs w:val="24"/>
        </w:rPr>
        <w:t>cordo</w:t>
      </w:r>
      <w:r>
        <w:rPr>
          <w:b/>
          <w:i/>
          <w:sz w:val="24"/>
          <w:szCs w:val="24"/>
        </w:rPr>
        <w:t xml:space="preserve">. Cláusula que </w:t>
      </w:r>
      <w:r w:rsidRPr="00900251">
        <w:rPr>
          <w:b/>
          <w:i/>
          <w:sz w:val="24"/>
          <w:szCs w:val="24"/>
        </w:rPr>
        <w:t>limit</w:t>
      </w:r>
      <w:r>
        <w:rPr>
          <w:b/>
          <w:i/>
          <w:sz w:val="24"/>
          <w:szCs w:val="24"/>
        </w:rPr>
        <w:t>a</w:t>
      </w:r>
      <w:r w:rsidRPr="00900251">
        <w:rPr>
          <w:b/>
          <w:i/>
          <w:sz w:val="24"/>
          <w:szCs w:val="24"/>
        </w:rPr>
        <w:t xml:space="preserve"> o pagamento dos honorários advocatícios à modalidade contratual</w:t>
      </w:r>
      <w:r>
        <w:rPr>
          <w:b/>
          <w:i/>
          <w:sz w:val="24"/>
          <w:szCs w:val="24"/>
        </w:rPr>
        <w:t>. Acordo assinado pelo advogado</w:t>
      </w:r>
      <w:r w:rsidRPr="00CB41FA">
        <w:rPr>
          <w:b/>
          <w:i/>
          <w:sz w:val="24"/>
          <w:szCs w:val="24"/>
        </w:rPr>
        <w:t xml:space="preserve"> </w:t>
      </w:r>
      <w:r>
        <w:rPr>
          <w:b/>
          <w:i/>
          <w:sz w:val="24"/>
          <w:szCs w:val="24"/>
        </w:rPr>
        <w:t>reclamante. Aquiescência aos termos do acordo</w:t>
      </w:r>
      <w:r w:rsidRPr="00CB41FA">
        <w:rPr>
          <w:b/>
          <w:i/>
          <w:sz w:val="24"/>
          <w:szCs w:val="24"/>
        </w:rPr>
        <w:t>.</w:t>
      </w:r>
      <w:r>
        <w:rPr>
          <w:b/>
          <w:i/>
          <w:sz w:val="24"/>
          <w:szCs w:val="24"/>
        </w:rPr>
        <w:t xml:space="preserve"> Honorários sucumbenciais</w:t>
      </w:r>
      <w:r w:rsidRPr="00CB41FA">
        <w:rPr>
          <w:b/>
          <w:i/>
          <w:sz w:val="24"/>
          <w:szCs w:val="24"/>
        </w:rPr>
        <w:t xml:space="preserve"> indevid</w:t>
      </w:r>
      <w:r>
        <w:rPr>
          <w:b/>
          <w:i/>
          <w:sz w:val="24"/>
          <w:szCs w:val="24"/>
        </w:rPr>
        <w:t>os</w:t>
      </w:r>
      <w:r w:rsidRPr="00CB41FA">
        <w:rPr>
          <w:b/>
          <w:i/>
          <w:sz w:val="24"/>
          <w:szCs w:val="24"/>
        </w:rPr>
        <w:t>.</w:t>
      </w:r>
    </w:p>
    <w:p w:rsidR="004E3E8B" w:rsidRPr="00B230EF" w:rsidRDefault="004E3E8B" w:rsidP="004E3E8B">
      <w:pPr>
        <w:jc w:val="both"/>
        <w:rPr>
          <w:sz w:val="24"/>
          <w:szCs w:val="24"/>
          <w:u w:val="single"/>
        </w:rPr>
      </w:pPr>
      <w:r>
        <w:rPr>
          <w:sz w:val="24"/>
          <w:szCs w:val="24"/>
        </w:rPr>
        <w:t>A</w:t>
      </w:r>
      <w:r w:rsidRPr="00900251">
        <w:rPr>
          <w:sz w:val="24"/>
          <w:szCs w:val="24"/>
        </w:rPr>
        <w:t xml:space="preserve"> assinatura do advogado </w:t>
      </w:r>
      <w:r>
        <w:rPr>
          <w:sz w:val="24"/>
          <w:szCs w:val="24"/>
        </w:rPr>
        <w:t>em</w:t>
      </w:r>
      <w:r w:rsidRPr="00900251">
        <w:rPr>
          <w:sz w:val="24"/>
          <w:szCs w:val="24"/>
        </w:rPr>
        <w:t xml:space="preserve"> acordo</w:t>
      </w:r>
      <w:r>
        <w:rPr>
          <w:sz w:val="24"/>
          <w:szCs w:val="24"/>
        </w:rPr>
        <w:t xml:space="preserve"> celebrado e homologado judicialmente entre as partes, no qual se </w:t>
      </w:r>
      <w:r w:rsidRPr="00900251">
        <w:rPr>
          <w:sz w:val="24"/>
          <w:szCs w:val="24"/>
        </w:rPr>
        <w:t>limitou o pagamento dos honorários advocatícios à modalidade contratual</w:t>
      </w:r>
      <w:r>
        <w:rPr>
          <w:sz w:val="24"/>
          <w:szCs w:val="24"/>
        </w:rPr>
        <w:t xml:space="preserve">, </w:t>
      </w:r>
      <w:r w:rsidRPr="00900251">
        <w:rPr>
          <w:sz w:val="24"/>
          <w:szCs w:val="24"/>
        </w:rPr>
        <w:t>comprova a sua</w:t>
      </w:r>
      <w:r>
        <w:rPr>
          <w:sz w:val="24"/>
          <w:szCs w:val="24"/>
        </w:rPr>
        <w:t xml:space="preserve"> </w:t>
      </w:r>
      <w:r w:rsidRPr="00900251">
        <w:rPr>
          <w:sz w:val="24"/>
          <w:szCs w:val="24"/>
        </w:rPr>
        <w:t xml:space="preserve">aquiescência quanto </w:t>
      </w:r>
      <w:r>
        <w:rPr>
          <w:sz w:val="24"/>
          <w:szCs w:val="24"/>
        </w:rPr>
        <w:t>à exclusão</w:t>
      </w:r>
      <w:r w:rsidRPr="00900251">
        <w:rPr>
          <w:sz w:val="24"/>
          <w:szCs w:val="24"/>
        </w:rPr>
        <w:t xml:space="preserve"> </w:t>
      </w:r>
      <w:r>
        <w:rPr>
          <w:sz w:val="24"/>
          <w:szCs w:val="24"/>
        </w:rPr>
        <w:t>d</w:t>
      </w:r>
      <w:r w:rsidRPr="00900251">
        <w:rPr>
          <w:sz w:val="24"/>
          <w:szCs w:val="24"/>
        </w:rPr>
        <w:t>os honorários sucumbenciais</w:t>
      </w:r>
      <w:r>
        <w:rPr>
          <w:sz w:val="24"/>
          <w:szCs w:val="24"/>
        </w:rPr>
        <w:t xml:space="preserve"> fixados em sentença transitada em julgado, anterior ao aludido acordo</w:t>
      </w:r>
      <w:r w:rsidRPr="00900251">
        <w:rPr>
          <w:sz w:val="24"/>
          <w:szCs w:val="24"/>
        </w:rPr>
        <w:t>.</w:t>
      </w:r>
      <w:r>
        <w:rPr>
          <w:sz w:val="24"/>
          <w:szCs w:val="24"/>
        </w:rPr>
        <w:t xml:space="preserve"> Com esse entendimento, a SBDI-I</w:t>
      </w:r>
      <w:r w:rsidRPr="00B4525E">
        <w:rPr>
          <w:sz w:val="24"/>
          <w:szCs w:val="24"/>
        </w:rPr>
        <w:t xml:space="preserve">, </w:t>
      </w:r>
      <w:r>
        <w:rPr>
          <w:sz w:val="24"/>
          <w:szCs w:val="24"/>
        </w:rPr>
        <w:t xml:space="preserve">por unanimidade, conheceu do recurso de embargos por divergência jurisprudencial, e, no mérito, </w:t>
      </w:r>
      <w:r w:rsidRPr="00B4525E">
        <w:rPr>
          <w:sz w:val="24"/>
          <w:szCs w:val="24"/>
        </w:rPr>
        <w:t xml:space="preserve">por </w:t>
      </w:r>
      <w:r>
        <w:rPr>
          <w:sz w:val="24"/>
          <w:szCs w:val="24"/>
        </w:rPr>
        <w:t>maioria</w:t>
      </w:r>
      <w:r w:rsidRPr="00B4525E">
        <w:rPr>
          <w:sz w:val="24"/>
          <w:szCs w:val="24"/>
        </w:rPr>
        <w:t xml:space="preserve">, </w:t>
      </w:r>
      <w:r>
        <w:rPr>
          <w:sz w:val="24"/>
          <w:szCs w:val="24"/>
        </w:rPr>
        <w:t xml:space="preserve">negou-lhe provimento, </w:t>
      </w:r>
      <w:r w:rsidRPr="00843F86">
        <w:rPr>
          <w:sz w:val="24"/>
          <w:szCs w:val="24"/>
        </w:rPr>
        <w:t xml:space="preserve">vencido o Ministro </w:t>
      </w:r>
      <w:r>
        <w:rPr>
          <w:sz w:val="24"/>
          <w:szCs w:val="24"/>
        </w:rPr>
        <w:t>Augusto César Leite de Carvalho, Relator</w:t>
      </w:r>
      <w:r w:rsidRPr="00843F86">
        <w:rPr>
          <w:sz w:val="24"/>
          <w:szCs w:val="24"/>
        </w:rPr>
        <w:t>.</w:t>
      </w:r>
      <w:r>
        <w:rPr>
          <w:sz w:val="24"/>
          <w:szCs w:val="24"/>
        </w:rPr>
        <w:t xml:space="preserve"> </w:t>
      </w:r>
      <w:hyperlink r:id="rId11" w:history="1">
        <w:r w:rsidRPr="00B230EF">
          <w:rPr>
            <w:rStyle w:val="Hyperlink"/>
            <w:sz w:val="24"/>
            <w:szCs w:val="24"/>
          </w:rPr>
          <w:t>TST-E-E</w:t>
        </w:r>
        <w:r w:rsidRPr="00B230EF">
          <w:rPr>
            <w:rStyle w:val="Hyperlink"/>
            <w:sz w:val="24"/>
            <w:szCs w:val="24"/>
          </w:rPr>
          <w:t>D</w:t>
        </w:r>
        <w:r w:rsidRPr="00B230EF">
          <w:rPr>
            <w:rStyle w:val="Hyperlink"/>
            <w:sz w:val="24"/>
            <w:szCs w:val="24"/>
          </w:rPr>
          <w:t>-RR-225340-83.1998.5.07.0010</w:t>
        </w:r>
      </w:hyperlink>
      <w:r w:rsidRPr="00B230EF">
        <w:rPr>
          <w:sz w:val="24"/>
          <w:szCs w:val="24"/>
          <w:u w:val="single"/>
        </w:rPr>
        <w:t>, SBDI-I, rel. Min. Augusto César Leite de Carvalho, red. p/ acórdão Min. Breno Medeiros, 13.2.2020.</w:t>
      </w:r>
    </w:p>
    <w:p w:rsidR="004E3E8B" w:rsidRDefault="004E3E8B" w:rsidP="004E3E8B">
      <w:pPr>
        <w:jc w:val="both"/>
      </w:pPr>
    </w:p>
    <w:p w:rsidR="004E3E8B" w:rsidRDefault="004E3E8B" w:rsidP="004E3E8B">
      <w:pPr>
        <w:pStyle w:val="Identificao"/>
        <w:rPr>
          <w:rFonts w:ascii="Times New Roman" w:eastAsia="Calibri" w:hAnsi="Times New Roman" w:cs="Times New Roman"/>
          <w:b/>
          <w:i/>
          <w:color w:val="auto"/>
          <w:lang w:val="pt-BR" w:eastAsia="en-US"/>
        </w:rPr>
      </w:pPr>
      <w:r w:rsidRPr="004E3E8B">
        <w:rPr>
          <w:rFonts w:ascii="Times New Roman" w:eastAsia="Calibri" w:hAnsi="Times New Roman" w:cs="Times New Roman"/>
          <w:b/>
          <w:i/>
          <w:color w:val="auto"/>
          <w:lang w:val="pt-BR" w:eastAsia="en-US"/>
        </w:rPr>
        <w:t>Plano de cargos e salários. Modificação dos critérios contidos em anexo da norma regulamentar para a progressão funcional no curso do contrato de trabalho. Alteração contratual lesiva. Não configuração. Súmula nº 51, I, do TST.</w:t>
      </w:r>
    </w:p>
    <w:p w:rsidR="004E3E8B" w:rsidRPr="004E3E8B" w:rsidRDefault="004E3E8B" w:rsidP="004E3E8B">
      <w:pPr>
        <w:pStyle w:val="Identificao"/>
        <w:rPr>
          <w:rFonts w:ascii="Times New Roman" w:hAnsi="Times New Roman" w:cs="Times New Roman"/>
          <w:color w:val="auto"/>
          <w:u w:val="single"/>
          <w:lang w:val="pt-BR"/>
        </w:rPr>
      </w:pPr>
      <w:r w:rsidRPr="004E3E8B">
        <w:rPr>
          <w:rFonts w:ascii="Times New Roman" w:hAnsi="Times New Roman" w:cs="Times New Roman"/>
          <w:color w:val="auto"/>
          <w:lang w:val="pt-BR"/>
        </w:rPr>
        <w:t xml:space="preserve">Não configura alteração contratual lesiva a mera adequação textual de anexo de norma regulamentar, mormente quando se verifica que o anexo – parte acessória da norma </w:t>
      </w:r>
      <w:r w:rsidR="00FA610E" w:rsidRPr="004E3E8B">
        <w:rPr>
          <w:rFonts w:ascii="Times New Roman" w:hAnsi="Times New Roman" w:cs="Times New Roman"/>
          <w:color w:val="auto"/>
          <w:lang w:val="pt-BR"/>
        </w:rPr>
        <w:t>–</w:t>
      </w:r>
      <w:r w:rsidRPr="004E3E8B">
        <w:rPr>
          <w:rFonts w:ascii="Times New Roman" w:hAnsi="Times New Roman" w:cs="Times New Roman"/>
          <w:color w:val="auto"/>
          <w:lang w:val="pt-BR"/>
        </w:rPr>
        <w:t xml:space="preserve">, está em descompasso com a totalidade do conteúdo da parte principal do regulamento. No caso, a empresa pública verificou que o anexo do seu plano de cargos e salários continha dispositivo dissonante com a norma regulamentar e com a realidade da empresa, corrigindo-o a tempo e modo, modificando os critérios para a progressão funcional. A correção deu-se, sobretudo, pelo fato de que a empresa é integrante da Administração Pública indireta e possui o poder-dever de rever e corrigir seus atos que contenham algum vício. Assim, a hipótese apresenta peculiaridade que afasta a aplicação geral do item I da Súmula nº 51 do TST. Sob esse entendimento, a SBDI-I, por maioria, conheceu dos embargos e, no mérito, deu-lhes provimento para restabelecer o acórdão proferido pelo Tribunal Regional, que julgou improcedentes os pedidos da reclamação trabalhista. Vencidos os Ministros Hugo Carlos Scheuermann, Alberto Luiz Bresciani de Fontan Pereira e José Roberto Freire Pimenta. </w:t>
      </w:r>
      <w:hyperlink r:id="rId12" w:history="1">
        <w:r w:rsidRPr="004E3E8B">
          <w:rPr>
            <w:rStyle w:val="Hyperlink"/>
            <w:rFonts w:ascii="Times New Roman" w:hAnsi="Times New Roman"/>
            <w:lang w:val="pt-BR"/>
          </w:rPr>
          <w:t>TST-E-ED-RR-975-5</w:t>
        </w:r>
        <w:r w:rsidRPr="004E3E8B">
          <w:rPr>
            <w:rStyle w:val="Hyperlink"/>
            <w:rFonts w:ascii="Times New Roman" w:hAnsi="Times New Roman"/>
            <w:lang w:val="pt-BR"/>
          </w:rPr>
          <w:t>4</w:t>
        </w:r>
        <w:r w:rsidRPr="004E3E8B">
          <w:rPr>
            <w:rStyle w:val="Hyperlink"/>
            <w:rFonts w:ascii="Times New Roman" w:hAnsi="Times New Roman"/>
            <w:lang w:val="pt-BR"/>
          </w:rPr>
          <w:t>.201</w:t>
        </w:r>
        <w:r w:rsidRPr="004E3E8B">
          <w:rPr>
            <w:rStyle w:val="Hyperlink"/>
            <w:rFonts w:ascii="Times New Roman" w:hAnsi="Times New Roman"/>
            <w:lang w:val="pt-BR"/>
          </w:rPr>
          <w:t>5</w:t>
        </w:r>
        <w:r w:rsidRPr="004E3E8B">
          <w:rPr>
            <w:rStyle w:val="Hyperlink"/>
            <w:rFonts w:ascii="Times New Roman" w:hAnsi="Times New Roman"/>
            <w:lang w:val="pt-BR"/>
          </w:rPr>
          <w:t>.5.22.0003</w:t>
        </w:r>
      </w:hyperlink>
      <w:r w:rsidRPr="004E3E8B">
        <w:rPr>
          <w:rFonts w:ascii="Times New Roman" w:hAnsi="Times New Roman" w:cs="Times New Roman"/>
          <w:color w:val="auto"/>
          <w:u w:val="single"/>
          <w:lang w:val="pt-BR"/>
        </w:rPr>
        <w:t>, SBDI-I, rel. Min. Hugo Carlos Scheuermann, red. p/ acórdão Min. Maria Cristina Irigoyen Peduzzi, 13.2.2020.</w:t>
      </w:r>
    </w:p>
    <w:p w:rsidR="00B14F7F" w:rsidRPr="001513C9" w:rsidRDefault="00B14F7F" w:rsidP="000C3022">
      <w:pPr>
        <w:ind w:right="-567"/>
        <w:jc w:val="both"/>
        <w:rPr>
          <w:b/>
          <w:i/>
        </w:rPr>
      </w:pP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631F1C" w:rsidRPr="00A87DE6"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A87DE6">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SUBSEÇÃO II ESPECIALIZADA EM DISSÍDIOS INDIVIDUAIS</w:t>
      </w:r>
    </w:p>
    <w:p w:rsidR="004E3E8B" w:rsidRPr="001513C9" w:rsidRDefault="004E3E8B" w:rsidP="009027C8">
      <w:pPr>
        <w:pStyle w:val="tema"/>
        <w:tabs>
          <w:tab w:val="left" w:pos="11482"/>
          <w:tab w:val="left" w:pos="11624"/>
        </w:tabs>
        <w:ind w:left="0"/>
        <w:rPr>
          <w:rFonts w:ascii="Times New Roman" w:hAnsi="Times New Roman" w:cs="Times New Roman"/>
          <w:i/>
          <w:caps w:val="0"/>
          <w:color w:val="auto"/>
          <w:sz w:val="20"/>
          <w:szCs w:val="20"/>
        </w:rPr>
      </w:pPr>
    </w:p>
    <w:p w:rsidR="004E3E8B" w:rsidRDefault="004E3E8B" w:rsidP="004E3E8B">
      <w:pPr>
        <w:adjustRightInd w:val="0"/>
        <w:jc w:val="both"/>
        <w:rPr>
          <w:b/>
          <w:bCs/>
          <w:i/>
          <w:iCs/>
          <w:sz w:val="24"/>
          <w:szCs w:val="24"/>
        </w:rPr>
      </w:pPr>
      <w:r>
        <w:rPr>
          <w:b/>
          <w:bCs/>
          <w:i/>
          <w:iCs/>
          <w:sz w:val="24"/>
          <w:szCs w:val="24"/>
        </w:rPr>
        <w:t>Mandado de segurança. Ação civil pública. Indeferimento dos pedidos de mediação e de reconsideração. Ausência de direito líquido e certo. Orientação Jurisprudencial nº 92 da SBDI-II.</w:t>
      </w:r>
    </w:p>
    <w:p w:rsidR="004E3E8B" w:rsidRDefault="004E3E8B" w:rsidP="004E3E8B">
      <w:pPr>
        <w:adjustRightInd w:val="0"/>
        <w:jc w:val="both"/>
        <w:rPr>
          <w:sz w:val="24"/>
          <w:szCs w:val="24"/>
          <w:u w:val="single"/>
        </w:rPr>
      </w:pPr>
      <w:r>
        <w:rPr>
          <w:b/>
          <w:bCs/>
          <w:i/>
          <w:iCs/>
          <w:sz w:val="24"/>
          <w:szCs w:val="24"/>
        </w:rPr>
        <w:t xml:space="preserve"> </w:t>
      </w:r>
      <w:r>
        <w:rPr>
          <w:bCs/>
          <w:iCs/>
          <w:sz w:val="24"/>
          <w:szCs w:val="24"/>
        </w:rPr>
        <w:t xml:space="preserve">Não é cabível o manejo de mandado de segurança para impugnar decisões que indeferiram os pedidos de mediação e de reconsideração formulados pelo sindicato impetrante. Na espécie, o MPT ajuizou ação civil pública em face do Sindicato dos Trabalhadores em Alimentação e Afins do Estado do Espírito Santo, requerendo a condenação em obrigação de não fazer, consistente na abstenção de realizar acordos em nome dos trabalhadores, destituição de toda a diretoria e indenização por danos materiais e morais coletivos. O Sindicato apresentou pedido de mediação para solucionar a questão relativa à abstenção de cobranças de honorários advocatícios decorrentes da prestação de assistência judiciária, o qual foi indeferido.  Em virtude do indeferimento, postulou reconsideração, que foi rejeitada. Ocorre que a Lei nº 5.584/70 diz que a assistência judiciária prestada pelo sindicato é gratuita. Assim, não há falar em direito líquido e certo, tampouco em </w:t>
      </w:r>
      <w:r>
        <w:rPr>
          <w:bCs/>
          <w:iCs/>
          <w:sz w:val="24"/>
          <w:szCs w:val="24"/>
        </w:rPr>
        <w:lastRenderedPageBreak/>
        <w:t xml:space="preserve">cabimento de mandado de segurança. Sob esses fundamentos, a SBDI-II, por unanimidade, conheceu do recurso ordinário e, no mérito, por maioria, vencida a Ministra Delaíde Miranda Arantes, negou-lhe provimento. </w:t>
      </w:r>
      <w:hyperlink r:id="rId13" w:history="1">
        <w:r w:rsidRPr="00751475">
          <w:rPr>
            <w:rStyle w:val="Hyperlink"/>
            <w:sz w:val="24"/>
            <w:szCs w:val="24"/>
          </w:rPr>
          <w:t>TST-RO-572-3</w:t>
        </w:r>
        <w:r w:rsidRPr="00751475">
          <w:rPr>
            <w:rStyle w:val="Hyperlink"/>
            <w:sz w:val="24"/>
            <w:szCs w:val="24"/>
          </w:rPr>
          <w:t>0</w:t>
        </w:r>
        <w:r w:rsidRPr="00751475">
          <w:rPr>
            <w:rStyle w:val="Hyperlink"/>
            <w:sz w:val="24"/>
            <w:szCs w:val="24"/>
          </w:rPr>
          <w:t>.2</w:t>
        </w:r>
        <w:r w:rsidRPr="00751475">
          <w:rPr>
            <w:rStyle w:val="Hyperlink"/>
            <w:sz w:val="24"/>
            <w:szCs w:val="24"/>
          </w:rPr>
          <w:t>0</w:t>
        </w:r>
        <w:r w:rsidRPr="00751475">
          <w:rPr>
            <w:rStyle w:val="Hyperlink"/>
            <w:sz w:val="24"/>
            <w:szCs w:val="24"/>
          </w:rPr>
          <w:t>18.5.17.0000</w:t>
        </w:r>
      </w:hyperlink>
      <w:r w:rsidRPr="00751475">
        <w:rPr>
          <w:sz w:val="24"/>
          <w:szCs w:val="24"/>
          <w:u w:val="single"/>
        </w:rPr>
        <w:t xml:space="preserve">, SBDI-II, rel. Min. </w:t>
      </w:r>
      <w:r w:rsidRPr="00751475">
        <w:rPr>
          <w:bCs/>
          <w:sz w:val="24"/>
          <w:szCs w:val="24"/>
          <w:u w:val="single"/>
          <w:shd w:val="clear" w:color="auto" w:fill="FFFFFF"/>
        </w:rPr>
        <w:t>Delaíde Miranda Arantes</w:t>
      </w:r>
      <w:r w:rsidRPr="00751475">
        <w:rPr>
          <w:sz w:val="24"/>
          <w:szCs w:val="24"/>
          <w:u w:val="single"/>
        </w:rPr>
        <w:t xml:space="preserve">, red. p/ acórdão Min. </w:t>
      </w:r>
      <w:r w:rsidRPr="00751475">
        <w:rPr>
          <w:bCs/>
          <w:sz w:val="24"/>
          <w:szCs w:val="24"/>
          <w:u w:val="single"/>
          <w:shd w:val="clear" w:color="auto" w:fill="FFFFFF"/>
        </w:rPr>
        <w:t>Douglas Alencar Rodrigues,</w:t>
      </w:r>
      <w:r w:rsidRPr="00751475">
        <w:rPr>
          <w:sz w:val="24"/>
          <w:szCs w:val="24"/>
          <w:u w:val="single"/>
        </w:rPr>
        <w:t xml:space="preserve"> 18.2.2020</w:t>
      </w:r>
      <w:r>
        <w:rPr>
          <w:sz w:val="24"/>
          <w:szCs w:val="24"/>
          <w:u w:val="single"/>
        </w:rPr>
        <w:t>.</w:t>
      </w:r>
    </w:p>
    <w:p w:rsidR="004E3E8B" w:rsidRPr="001513C9" w:rsidRDefault="004E3E8B" w:rsidP="0073696E">
      <w:pPr>
        <w:adjustRightInd w:val="0"/>
        <w:spacing w:line="360" w:lineRule="auto"/>
        <w:jc w:val="both"/>
        <w:rPr>
          <w:bCs/>
          <w:iCs/>
        </w:rPr>
      </w:pPr>
    </w:p>
    <w:p w:rsidR="004E3E8B" w:rsidRPr="00A87DE6" w:rsidRDefault="004E3E8B" w:rsidP="004E3E8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A87DE6">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TURMAS</w:t>
      </w:r>
    </w:p>
    <w:p w:rsidR="00C837FA" w:rsidRPr="004B3120" w:rsidRDefault="00C837FA" w:rsidP="00C837FA">
      <w:pPr>
        <w:pStyle w:val="Cabealho"/>
        <w:tabs>
          <w:tab w:val="clear" w:pos="4419"/>
          <w:tab w:val="clear" w:pos="8838"/>
        </w:tabs>
        <w:jc w:val="center"/>
        <w:rPr>
          <w:i/>
        </w:rPr>
      </w:pPr>
      <w:r w:rsidRPr="004B3120">
        <w:rPr>
          <w:i/>
        </w:rPr>
        <w:t>Transcrição de ementas selecionadas nas sessões de julgamento das Turmas do TST.</w:t>
      </w:r>
    </w:p>
    <w:p w:rsidR="004E3E8B" w:rsidRPr="001513C9" w:rsidRDefault="004E3E8B" w:rsidP="004E3E8B">
      <w:pPr>
        <w:ind w:left="567"/>
        <w:jc w:val="both"/>
        <w:outlineLvl w:val="0"/>
        <w:rPr>
          <w:b/>
          <w:i/>
          <w:color w:val="000000"/>
        </w:rPr>
      </w:pPr>
    </w:p>
    <w:p w:rsidR="004E3E8B" w:rsidRPr="004E3E8B" w:rsidRDefault="004E3E8B" w:rsidP="004E3E8B">
      <w:pPr>
        <w:jc w:val="both"/>
        <w:outlineLvl w:val="0"/>
        <w:rPr>
          <w:b/>
          <w:i/>
          <w:color w:val="000000"/>
          <w:sz w:val="24"/>
          <w:szCs w:val="24"/>
        </w:rPr>
      </w:pPr>
      <w:r w:rsidRPr="00C837FA">
        <w:rPr>
          <w:i/>
          <w:sz w:val="24"/>
          <w:szCs w:val="24"/>
        </w:rPr>
        <w:t>“RECURSO DE REVISTA. LEI Nº 13.015/2014. CPC/2015. INSTRUÇÃO NORMATIVA Nº 40 DO TST. JUSTA CAUSA/FALTA GRAVE. MOTORISTA PROFISSIONAL QUE TEVE O DIREITO DE DIRIGIR SUSPENSO NO CURSO DO CONTRATO DE TRABALHO.</w:t>
      </w:r>
      <w:r w:rsidR="00C837FA">
        <w:rPr>
          <w:i/>
          <w:sz w:val="24"/>
          <w:szCs w:val="24"/>
        </w:rPr>
        <w:t xml:space="preserve"> </w:t>
      </w:r>
      <w:r w:rsidRPr="00A47A2A">
        <w:rPr>
          <w:i/>
          <w:sz w:val="24"/>
          <w:szCs w:val="24"/>
        </w:rPr>
        <w:t>Embora atos de indisciplina estejam comumente relacionados às regras gerais de conduta emanadas pelo empregador, seu conceito é mais amplo e abrange também outras normas, inclusive leis. Além disso, o ato deve ser dotado de tamanha gravidade que incompatibilize a relação com o empregador e prejudique o bom andamento da produção. Deve, portanto, repercutir no contrato de trabalho a ponto de causar prejuízo às atividades da empresa. No presente caso, o autor, contratado como motorista profissional, cometeu infração de trânsito ao dirigir sob a influência de álcool, que gerou a suspensão do seu direito de dirigir pelo período de 1 ano. Assim, ao ter suspenso requisito indispensável para o exercício de sua profissão, comprometeu de forma grave o desempenho de suas atividades na empresa, o que valida a dispensa por justa causa. Recurso de revista conhecido e provido</w:t>
      </w:r>
      <w:r>
        <w:rPr>
          <w:i/>
          <w:sz w:val="24"/>
          <w:szCs w:val="24"/>
        </w:rPr>
        <w:t xml:space="preserve">.” </w:t>
      </w:r>
      <w:r>
        <w:rPr>
          <w:sz w:val="24"/>
          <w:szCs w:val="24"/>
        </w:rPr>
        <w:t>(</w:t>
      </w:r>
      <w:hyperlink r:id="rId14" w:history="1">
        <w:r w:rsidRPr="001B6E00">
          <w:rPr>
            <w:rStyle w:val="Hyperlink"/>
            <w:sz w:val="24"/>
            <w:szCs w:val="24"/>
          </w:rPr>
          <w:t>TST-RR-28</w:t>
        </w:r>
        <w:r w:rsidRPr="001B6E00">
          <w:rPr>
            <w:rStyle w:val="Hyperlink"/>
            <w:sz w:val="24"/>
            <w:szCs w:val="24"/>
          </w:rPr>
          <w:t>7</w:t>
        </w:r>
        <w:r w:rsidRPr="001B6E00">
          <w:rPr>
            <w:rStyle w:val="Hyperlink"/>
            <w:sz w:val="24"/>
            <w:szCs w:val="24"/>
          </w:rPr>
          <w:t>-93.2016.5.09.0658</w:t>
        </w:r>
      </w:hyperlink>
      <w:r>
        <w:rPr>
          <w:sz w:val="24"/>
          <w:szCs w:val="24"/>
        </w:rPr>
        <w:t>, 7ª Turma,</w:t>
      </w:r>
      <w:r w:rsidRPr="001A52B8">
        <w:rPr>
          <w:sz w:val="24"/>
          <w:szCs w:val="24"/>
        </w:rPr>
        <w:t xml:space="preserve"> rel. </w:t>
      </w:r>
      <w:r>
        <w:rPr>
          <w:sz w:val="24"/>
          <w:szCs w:val="24"/>
        </w:rPr>
        <w:t>Cláudio Mascarenhas Brandão</w:t>
      </w:r>
      <w:r w:rsidRPr="001A52B8">
        <w:rPr>
          <w:sz w:val="24"/>
          <w:szCs w:val="24"/>
        </w:rPr>
        <w:t xml:space="preserve">, julgado em </w:t>
      </w:r>
      <w:r>
        <w:rPr>
          <w:sz w:val="24"/>
          <w:szCs w:val="24"/>
        </w:rPr>
        <w:t>5</w:t>
      </w:r>
      <w:r w:rsidRPr="001A52B8">
        <w:rPr>
          <w:sz w:val="24"/>
          <w:szCs w:val="24"/>
        </w:rPr>
        <w:t>.</w:t>
      </w:r>
      <w:r>
        <w:rPr>
          <w:sz w:val="24"/>
          <w:szCs w:val="24"/>
        </w:rPr>
        <w:t>2.2020</w:t>
      </w:r>
      <w:r w:rsidRPr="001A52B8">
        <w:rPr>
          <w:sz w:val="24"/>
          <w:szCs w:val="24"/>
        </w:rPr>
        <w:t>)</w:t>
      </w:r>
    </w:p>
    <w:p w:rsidR="004E3E8B" w:rsidRPr="001513C9" w:rsidRDefault="004E3E8B" w:rsidP="004E3E8B">
      <w:pPr>
        <w:ind w:left="567"/>
        <w:jc w:val="both"/>
        <w:rPr>
          <w:b/>
        </w:rPr>
      </w:pPr>
    </w:p>
    <w:p w:rsidR="004E3E8B" w:rsidRDefault="004E3E8B" w:rsidP="004E3E8B">
      <w:pPr>
        <w:jc w:val="both"/>
        <w:outlineLvl w:val="0"/>
        <w:rPr>
          <w:sz w:val="24"/>
          <w:szCs w:val="24"/>
        </w:rPr>
      </w:pPr>
      <w:r w:rsidRPr="00C837FA">
        <w:rPr>
          <w:i/>
          <w:sz w:val="24"/>
          <w:szCs w:val="24"/>
        </w:rPr>
        <w:t>“RECURSO DE REVISTA. ACÓRDÃO PUBLICADO NA VIGÊNCIA DA LEI Nº 13.015/2014. VÍNCULO DE EMPREGO. MOTORISTA. UBER. AUSÊNCIA DE SUBORDINAÇÃO. TRANSCENDÊNCIA JURÍDICA RECONHECIDA.</w:t>
      </w:r>
      <w:r w:rsidR="00C837FA" w:rsidRPr="00C837FA">
        <w:rPr>
          <w:i/>
          <w:sz w:val="24"/>
          <w:szCs w:val="24"/>
        </w:rPr>
        <w:t xml:space="preserve"> </w:t>
      </w:r>
      <w:r w:rsidRPr="00C837FA">
        <w:rPr>
          <w:i/>
          <w:sz w:val="24"/>
          <w:szCs w:val="24"/>
        </w:rPr>
        <w:t>Destaque-se, de início, que o reexame do caso não demanda o revolvimento de fatos e provas dos</w:t>
      </w:r>
      <w:r w:rsidRPr="00762ADE">
        <w:rPr>
          <w:i/>
          <w:sz w:val="24"/>
          <w:szCs w:val="24"/>
        </w:rPr>
        <w:t xml:space="preserve"> autos, isso porque a transcrição do depoimento pessoal do autor no acórdão recorrido contempla elemento fático hábil ao reconhecimento da confissão quanto à autonomia na prestação de serviços. Com efeito, o reclamante admite expressamente a possibilidade de ficar </w:t>
      </w:r>
      <w:r>
        <w:rPr>
          <w:i/>
          <w:sz w:val="24"/>
          <w:szCs w:val="24"/>
        </w:rPr>
        <w:t>‘</w:t>
      </w:r>
      <w:r w:rsidRPr="00762ADE">
        <w:rPr>
          <w:i/>
          <w:sz w:val="24"/>
          <w:szCs w:val="24"/>
        </w:rPr>
        <w:t>off line</w:t>
      </w:r>
      <w:r>
        <w:rPr>
          <w:i/>
          <w:sz w:val="24"/>
          <w:szCs w:val="24"/>
        </w:rPr>
        <w:t>’</w:t>
      </w:r>
      <w:r w:rsidRPr="00762ADE">
        <w:rPr>
          <w:i/>
          <w:sz w:val="24"/>
          <w:szCs w:val="24"/>
        </w:rPr>
        <w:t>, sem delimitação de tempo, circunstância que indica a ausência completa e voluntária da prestação dos serviços em exame, que só ocorre em ambiente virtual.  Tal fato traduz, na prática, a ampla flexibilidade do autor em determinar sua rotina, seus horários de trabalho, locais que deseja atuar e quantidade de clientes que pretende atender por dia. Tal auto-determinação é incompatível com o reconhecimento da relação de emprego, que tem como pressuposto básico a subordinação, elemento no qual se funda a distinção com o trabalho autônomo. Não bastasse a confissão do reclamante quanto à autonomia para o desempenho de suas atividades, é fato incontroverso nos autos que o reclamante aderiu aos serviços de intermediação digital prestados pela reclamada, utilizando-se de aplicativo que oferece interface entre motoristas previamente cadastrados e usuários dos serviços. Dentre os termos e condições relacionados aos referidos serviços, está a reserva ao motorista do equivalente a 75% a 80% do valor pago pelo usuário, conforme consignado pelo e. TRT. O referido percentual revela-se superior ao que esta Corte vem admitindo como bastante à caracterização da relação de parceria entre os envolvidos, uma vez que o rateio do valor do serviço em alto percentual a uma das partes evidencia vantagem remuneratória não condizente com o liame de emprego. Precedentes. Recurso</w:t>
      </w:r>
      <w:r>
        <w:rPr>
          <w:i/>
          <w:sz w:val="24"/>
          <w:szCs w:val="24"/>
        </w:rPr>
        <w:t xml:space="preserve"> de revista conhecido e provido.” </w:t>
      </w:r>
      <w:r>
        <w:rPr>
          <w:sz w:val="24"/>
          <w:szCs w:val="24"/>
        </w:rPr>
        <w:t>(</w:t>
      </w:r>
      <w:hyperlink r:id="rId15" w:history="1">
        <w:r w:rsidRPr="001B6E00">
          <w:rPr>
            <w:rStyle w:val="Hyperlink"/>
            <w:sz w:val="24"/>
            <w:szCs w:val="24"/>
          </w:rPr>
          <w:t>TST-RR-10001</w:t>
        </w:r>
        <w:r w:rsidRPr="001B6E00">
          <w:rPr>
            <w:rStyle w:val="Hyperlink"/>
            <w:sz w:val="24"/>
            <w:szCs w:val="24"/>
          </w:rPr>
          <w:t>2</w:t>
        </w:r>
        <w:r w:rsidRPr="001B6E00">
          <w:rPr>
            <w:rStyle w:val="Hyperlink"/>
            <w:sz w:val="24"/>
            <w:szCs w:val="24"/>
          </w:rPr>
          <w:t>3-89.2</w:t>
        </w:r>
        <w:r w:rsidRPr="001B6E00">
          <w:rPr>
            <w:rStyle w:val="Hyperlink"/>
            <w:sz w:val="24"/>
            <w:szCs w:val="24"/>
          </w:rPr>
          <w:t>0</w:t>
        </w:r>
        <w:r w:rsidRPr="001B6E00">
          <w:rPr>
            <w:rStyle w:val="Hyperlink"/>
            <w:sz w:val="24"/>
            <w:szCs w:val="24"/>
          </w:rPr>
          <w:t>17.5.02.0038</w:t>
        </w:r>
      </w:hyperlink>
      <w:r>
        <w:rPr>
          <w:sz w:val="24"/>
          <w:szCs w:val="24"/>
        </w:rPr>
        <w:t>, 5ª Turma,</w:t>
      </w:r>
      <w:r w:rsidRPr="001A52B8">
        <w:rPr>
          <w:sz w:val="24"/>
          <w:szCs w:val="24"/>
        </w:rPr>
        <w:t xml:space="preserve"> rel. Min. </w:t>
      </w:r>
      <w:r>
        <w:rPr>
          <w:sz w:val="24"/>
          <w:szCs w:val="24"/>
        </w:rPr>
        <w:t>Breno Medeiros</w:t>
      </w:r>
      <w:r w:rsidRPr="001A52B8">
        <w:rPr>
          <w:sz w:val="24"/>
          <w:szCs w:val="24"/>
        </w:rPr>
        <w:t xml:space="preserve">, julgado em </w:t>
      </w:r>
      <w:r>
        <w:rPr>
          <w:sz w:val="24"/>
          <w:szCs w:val="24"/>
        </w:rPr>
        <w:t>5</w:t>
      </w:r>
      <w:r w:rsidRPr="001A52B8">
        <w:rPr>
          <w:sz w:val="24"/>
          <w:szCs w:val="24"/>
        </w:rPr>
        <w:t>.</w:t>
      </w:r>
      <w:r>
        <w:rPr>
          <w:sz w:val="24"/>
          <w:szCs w:val="24"/>
        </w:rPr>
        <w:t>2.2020</w:t>
      </w:r>
      <w:r w:rsidRPr="001A52B8">
        <w:rPr>
          <w:sz w:val="24"/>
          <w:szCs w:val="24"/>
        </w:rPr>
        <w:t>)</w:t>
      </w:r>
    </w:p>
    <w:p w:rsidR="004E3E8B" w:rsidRPr="001513C9" w:rsidRDefault="004E3E8B" w:rsidP="004E3E8B">
      <w:pPr>
        <w:ind w:left="567"/>
        <w:jc w:val="both"/>
        <w:rPr>
          <w:b/>
        </w:rPr>
      </w:pPr>
    </w:p>
    <w:p w:rsidR="004E3E8B" w:rsidRDefault="004E3E8B" w:rsidP="004E3E8B">
      <w:pPr>
        <w:jc w:val="both"/>
        <w:outlineLvl w:val="0"/>
        <w:rPr>
          <w:sz w:val="24"/>
          <w:szCs w:val="24"/>
        </w:rPr>
      </w:pPr>
      <w:r w:rsidRPr="00C837FA">
        <w:rPr>
          <w:i/>
          <w:sz w:val="24"/>
          <w:szCs w:val="24"/>
        </w:rPr>
        <w:t>“RECURSO DE REVISTA DO RECLAMANTE - PROCESSO ANTERIOR À VIGÊNCIA DA LEI Nº 13.015/2014 E SOB A ÉGIDE DO CPC/1973 - EXTINÇÃO DO PROCESSO SEM RESOLUÇÃO DE MÉRITO POR CARÊNCIA DE AÇÃO EM VIRTUDE DA AUSÊNCIA DE INTERESSE DE AGIR – TRANSAÇÃO EXTRAJUDICIAL CELEBRADA PELO EMPREGADO PERANTE O MINISTÉRIO PÚBLICO ESTADUAL – INVALIDADE.</w:t>
      </w:r>
      <w:r w:rsidR="00C837FA" w:rsidRPr="00C837FA">
        <w:rPr>
          <w:i/>
          <w:sz w:val="24"/>
          <w:szCs w:val="24"/>
        </w:rPr>
        <w:t xml:space="preserve"> </w:t>
      </w:r>
      <w:r w:rsidRPr="00C837FA">
        <w:rPr>
          <w:i/>
          <w:sz w:val="24"/>
          <w:szCs w:val="24"/>
        </w:rPr>
        <w:t>1</w:t>
      </w:r>
      <w:r w:rsidRPr="007879ED">
        <w:rPr>
          <w:i/>
          <w:sz w:val="24"/>
          <w:szCs w:val="24"/>
        </w:rPr>
        <w:t xml:space="preserve">. O Tribunal Regional manteve a sentença </w:t>
      </w:r>
      <w:r w:rsidRPr="007879ED">
        <w:rPr>
          <w:i/>
          <w:sz w:val="24"/>
          <w:szCs w:val="24"/>
        </w:rPr>
        <w:lastRenderedPageBreak/>
        <w:t>que extinguiu o processo sem resolução de mérito por carência de ação em virtude da existência de acordo extrajudicial firmado perante o Ministério Público Estadual, em que o autor se comprometeu a não ajuizar ação de indenização relativamente ao acidente de trabalho que sofreu e que o deixou com sequelas graves e irreversíveis.2. Extrai-se dos termos do acordo, mormente as Cláusulas 8 e 9, que estabelecem, respectivamente, que o reclamante “com este acordo, dá plena e geral quitação aos reclamados de qualquer verba indenizatória relativamente ao sinistro em questão, para nada mais ser cobrado no futuro, dos mesmos, quanto ao acidente tratado nesta transação” e que “se dá por satisfeito, comprometendo-se a deixar de ajuizar qualquer ação cível indenizatória contra os reclamados, bem como a retirar eventual documentação encaminhada a algum advogado para propor alguma ação indenizatória”, que a transação revela verdadeira renúncia a direito constitucionalmente estabelecido pelo art. 7º, XXVIII, da Constituição Federal, intrinsecamente ligado à saúde, à promoção e à proteção do trabalhador.</w:t>
      </w:r>
      <w:r>
        <w:rPr>
          <w:i/>
          <w:sz w:val="24"/>
          <w:szCs w:val="24"/>
        </w:rPr>
        <w:t xml:space="preserve"> </w:t>
      </w:r>
      <w:r w:rsidRPr="007879ED">
        <w:rPr>
          <w:i/>
          <w:sz w:val="24"/>
          <w:szCs w:val="24"/>
        </w:rPr>
        <w:t>3. Assim, o acordo extrajudicial entabulado entre o autor e os supostos responsáveis pela obra em que trabalhou é nulo, não sendo obstáculo ao direito de propor ação de indenização em virtude da ocorrência do acidente de trabalho, mesmo que tenha havido a participação do Ministério Público Estadual, considerando que, quando ajuizada a presente ação, esta Justiça do Trabalho já era competente para analisar a matéria.</w:t>
      </w:r>
      <w:r>
        <w:rPr>
          <w:i/>
          <w:sz w:val="24"/>
          <w:szCs w:val="24"/>
        </w:rPr>
        <w:t xml:space="preserve"> </w:t>
      </w:r>
      <w:r w:rsidRPr="007879ED">
        <w:rPr>
          <w:i/>
          <w:sz w:val="24"/>
          <w:szCs w:val="24"/>
        </w:rPr>
        <w:t>Recurs</w:t>
      </w:r>
      <w:r>
        <w:rPr>
          <w:i/>
          <w:sz w:val="24"/>
          <w:szCs w:val="24"/>
        </w:rPr>
        <w:t xml:space="preserve">o de revista conhecido e provido.” </w:t>
      </w:r>
      <w:r>
        <w:rPr>
          <w:sz w:val="24"/>
          <w:szCs w:val="24"/>
        </w:rPr>
        <w:t>(</w:t>
      </w:r>
      <w:hyperlink r:id="rId16" w:history="1">
        <w:r w:rsidRPr="001B6E00">
          <w:rPr>
            <w:rStyle w:val="Hyperlink"/>
            <w:sz w:val="24"/>
            <w:szCs w:val="24"/>
          </w:rPr>
          <w:t>TST-RR</w:t>
        </w:r>
        <w:r w:rsidRPr="001B6E00">
          <w:rPr>
            <w:rStyle w:val="Hyperlink"/>
            <w:sz w:val="24"/>
            <w:szCs w:val="24"/>
          </w:rPr>
          <w:t>-</w:t>
        </w:r>
        <w:r w:rsidRPr="001B6E00">
          <w:rPr>
            <w:rStyle w:val="Hyperlink"/>
            <w:sz w:val="24"/>
            <w:szCs w:val="24"/>
          </w:rPr>
          <w:t>528</w:t>
        </w:r>
        <w:r w:rsidRPr="001B6E00">
          <w:rPr>
            <w:rStyle w:val="Hyperlink"/>
            <w:sz w:val="24"/>
            <w:szCs w:val="24"/>
          </w:rPr>
          <w:t>0</w:t>
        </w:r>
        <w:r w:rsidRPr="001B6E00">
          <w:rPr>
            <w:rStyle w:val="Hyperlink"/>
            <w:sz w:val="24"/>
            <w:szCs w:val="24"/>
          </w:rPr>
          <w:t>0-46.2006.5.15.0068</w:t>
        </w:r>
      </w:hyperlink>
      <w:r>
        <w:rPr>
          <w:sz w:val="24"/>
          <w:szCs w:val="24"/>
        </w:rPr>
        <w:t>, 7ª Turma,</w:t>
      </w:r>
      <w:r w:rsidRPr="001A52B8">
        <w:rPr>
          <w:sz w:val="24"/>
          <w:szCs w:val="24"/>
        </w:rPr>
        <w:t xml:space="preserve"> rel. Min. </w:t>
      </w:r>
      <w:r>
        <w:rPr>
          <w:sz w:val="24"/>
          <w:szCs w:val="24"/>
        </w:rPr>
        <w:t>Luiz Philippe Vieira de Mello Filho</w:t>
      </w:r>
      <w:r w:rsidRPr="001A52B8">
        <w:rPr>
          <w:sz w:val="24"/>
          <w:szCs w:val="24"/>
        </w:rPr>
        <w:t xml:space="preserve">, julgado em </w:t>
      </w:r>
      <w:r>
        <w:rPr>
          <w:sz w:val="24"/>
          <w:szCs w:val="24"/>
        </w:rPr>
        <w:t>7</w:t>
      </w:r>
      <w:r w:rsidRPr="001A52B8">
        <w:rPr>
          <w:sz w:val="24"/>
          <w:szCs w:val="24"/>
        </w:rPr>
        <w:t>.</w:t>
      </w:r>
      <w:r>
        <w:rPr>
          <w:sz w:val="24"/>
          <w:szCs w:val="24"/>
        </w:rPr>
        <w:t>2.2020</w:t>
      </w:r>
      <w:r w:rsidRPr="001A52B8">
        <w:rPr>
          <w:sz w:val="24"/>
          <w:szCs w:val="24"/>
        </w:rPr>
        <w:t>)</w:t>
      </w:r>
    </w:p>
    <w:p w:rsidR="004E3E8B" w:rsidRPr="001513C9" w:rsidRDefault="004E3E8B" w:rsidP="004E3E8B">
      <w:pPr>
        <w:jc w:val="both"/>
        <w:outlineLvl w:val="0"/>
      </w:pPr>
    </w:p>
    <w:p w:rsidR="004E3E8B" w:rsidRPr="00AC376C" w:rsidRDefault="004E3E8B" w:rsidP="004E3E8B">
      <w:pPr>
        <w:jc w:val="both"/>
        <w:outlineLvl w:val="0"/>
        <w:rPr>
          <w:sz w:val="24"/>
          <w:szCs w:val="24"/>
        </w:rPr>
      </w:pPr>
      <w:r w:rsidRPr="00C837FA">
        <w:rPr>
          <w:sz w:val="24"/>
          <w:szCs w:val="24"/>
        </w:rPr>
        <w:t xml:space="preserve">“(...) </w:t>
      </w:r>
      <w:r w:rsidRPr="00C837FA">
        <w:rPr>
          <w:i/>
          <w:sz w:val="24"/>
          <w:szCs w:val="24"/>
        </w:rPr>
        <w:t>DIFERENÇAS NA INDENIZAÇÃO DO PDI – VALOR DE REFERÊNCIA NÃO IMPUGNADO NOS PRIMEIROS CÁLCULOS HOMOLOGADOS – PRECLUSÃO.</w:t>
      </w:r>
      <w:r w:rsidR="00C837FA" w:rsidRPr="00C837FA">
        <w:rPr>
          <w:i/>
          <w:sz w:val="24"/>
          <w:szCs w:val="24"/>
        </w:rPr>
        <w:t xml:space="preserve"> </w:t>
      </w:r>
      <w:r w:rsidRPr="00C837FA">
        <w:rPr>
          <w:i/>
          <w:sz w:val="24"/>
          <w:szCs w:val="24"/>
        </w:rPr>
        <w:t>Com fundamento no art. 463, I, do CPC de 1973 (494, I, do CPC de 2015), é possível a correção de erros de cálculo a qualquer tempo pelo juiz, de ofício ou a requerimento, providência que</w:t>
      </w:r>
      <w:r w:rsidRPr="00AC376C">
        <w:rPr>
          <w:i/>
          <w:sz w:val="24"/>
          <w:szCs w:val="24"/>
        </w:rPr>
        <w:t xml:space="preserve"> não viola a coisa julgada e não está sujeita ao regime da preclusão. Julgados do Eg. STJ. Recurso de Revista conhecido parcialmente e provido.</w:t>
      </w:r>
      <w:r w:rsidRPr="00AC376C">
        <w:rPr>
          <w:sz w:val="24"/>
          <w:szCs w:val="24"/>
        </w:rPr>
        <w:t xml:space="preserve"> (</w:t>
      </w:r>
      <w:hyperlink r:id="rId17" w:history="1">
        <w:r w:rsidRPr="00F25D13">
          <w:rPr>
            <w:rStyle w:val="Hyperlink"/>
            <w:sz w:val="24"/>
            <w:szCs w:val="24"/>
          </w:rPr>
          <w:t>TST-</w:t>
        </w:r>
        <w:r>
          <w:rPr>
            <w:rStyle w:val="Hyperlink"/>
            <w:sz w:val="24"/>
            <w:szCs w:val="24"/>
          </w:rPr>
          <w:t>A</w:t>
        </w:r>
        <w:r w:rsidRPr="00F25D13">
          <w:rPr>
            <w:rStyle w:val="Hyperlink"/>
            <w:sz w:val="24"/>
            <w:szCs w:val="24"/>
          </w:rPr>
          <w:t>R</w:t>
        </w:r>
        <w:r w:rsidRPr="00F25D13">
          <w:rPr>
            <w:rStyle w:val="Hyperlink"/>
            <w:sz w:val="24"/>
            <w:szCs w:val="24"/>
          </w:rPr>
          <w:t>R</w:t>
        </w:r>
        <w:r w:rsidRPr="00F25D13">
          <w:rPr>
            <w:rStyle w:val="Hyperlink"/>
            <w:sz w:val="24"/>
            <w:szCs w:val="24"/>
          </w:rPr>
          <w:t>-1571600-7</w:t>
        </w:r>
        <w:r w:rsidRPr="00F25D13">
          <w:rPr>
            <w:rStyle w:val="Hyperlink"/>
            <w:sz w:val="24"/>
            <w:szCs w:val="24"/>
          </w:rPr>
          <w:t>6</w:t>
        </w:r>
        <w:r w:rsidRPr="00F25D13">
          <w:rPr>
            <w:rStyle w:val="Hyperlink"/>
            <w:sz w:val="24"/>
            <w:szCs w:val="24"/>
          </w:rPr>
          <w:t>.2004.5.09.0006</w:t>
        </w:r>
      </w:hyperlink>
      <w:r w:rsidRPr="00AC376C">
        <w:rPr>
          <w:sz w:val="24"/>
          <w:szCs w:val="24"/>
        </w:rPr>
        <w:t>, 8ª Turma, rel. Min. Maria Cristina Irigoyen Peduzzi, julgado em 12.2.2020)</w:t>
      </w:r>
    </w:p>
    <w:p w:rsidR="004E3E8B" w:rsidRPr="001513C9" w:rsidRDefault="004E3E8B" w:rsidP="004E3E8B">
      <w:pPr>
        <w:jc w:val="both"/>
        <w:outlineLvl w:val="0"/>
      </w:pPr>
    </w:p>
    <w:p w:rsidR="00C837FA" w:rsidRPr="00AC376C" w:rsidRDefault="004E3E8B" w:rsidP="00C837FA">
      <w:pPr>
        <w:jc w:val="both"/>
        <w:outlineLvl w:val="0"/>
        <w:rPr>
          <w:sz w:val="24"/>
          <w:szCs w:val="24"/>
        </w:rPr>
      </w:pPr>
      <w:r w:rsidRPr="00C837FA">
        <w:rPr>
          <w:i/>
          <w:sz w:val="24"/>
          <w:szCs w:val="24"/>
        </w:rPr>
        <w:t>“RECURSO DE REVISTA INTERPOSTO NA VIGÊNCIA DAS LEIS Nº 13.015/2014 E 13.467/2017. BENEFÍCIOS DA JUSTIÇA GRATUITA. COMPROVAÇÃO. AÇÃO AJUIZADA NA VIGÊNCIA DA LEI Nº 13.467/2017. DECLARAÇÃO PROFERIDA POR PESSOA NATURAL.</w:t>
      </w:r>
      <w:r w:rsidR="00C837FA">
        <w:rPr>
          <w:i/>
          <w:sz w:val="24"/>
          <w:szCs w:val="24"/>
        </w:rPr>
        <w:t xml:space="preserve"> </w:t>
      </w:r>
      <w:r w:rsidRPr="00AC376C">
        <w:rPr>
          <w:i/>
          <w:sz w:val="24"/>
          <w:szCs w:val="24"/>
        </w:rPr>
        <w:t xml:space="preserve">Cinge-se a controvérsia a decidir se apenas a declaração de pobreza é suficiente para a comprovação do estado de miserabilidade do reclamante, para fins de deferimento dos benefícios da Justiça gratuita, em ação ajuizada após a vigência da Lei n° 13.467/2017. No caso, as instâncias ordinárias, aplicando o artigo 99, § 3º, do CPC/2015, entenderam que a declaração de pobreza apresentada pelo reclamante é suficiente para caracterizar a presunção relativa de veracidade desse fato. Com efeito, para o Regional, o reclamante conseguiu comprovar a sua hipossuficiência econômica, uma vez que “a declaração de pobreza apresentada pelo interessado em audiência é prova bastante de sua hipossuficiência econômica, a teor do artigo 99, §3º, do Código de Processo Civil: "Presume-se verdadeira a alegação de insuficiência deduzida exclusivamente por pessoa natura". A Lei nº 13.467/2017, que entrou em vigor em 11/11/2017, inseriu o parágrafo 4º ao artigo 790 da CLT, que assim dispõe: “Art. 790. (...) § 4º O benefício da justiça gratuita será concedido à parte que comprovar insuficiência de recursos para o pagamento das custas do processo”. Dessa forma, considerando que esta ação foi ajuizada na vigência da reforma trabalhista, ela submete-se ao que dispõe o § 4º do artigo 790 da CLT, que exige a comprovação da insuficiência de recursos para a concessão dos benefícios da Justiça gratuita à parte requerente. Com efeito, nos termos do item I da Súmula nº 463 do TST, basta a simples afirmação do declarante ou de seu advogado para se considerar configurada a sua situação econômica: “I - A partir de 26.06.2017, para a concessão da assistência judiciária gratuita à pessoa natural, basta a declaração de hipossuficiência econômica firmada pela parte ou por seu advogado, desde que munido de procuração com poderes específicos para esse fim (art. 105 do CPC de 2015)”. Ressalta-se que a nova redação do § 4º do artigo 790 da CLT não é incompatível com a redação do artigo 99, § 3º, do CPC/2015, razão pela qual as duas normas legais podem e devem ser aplicadas conjuntamente, por força dos artigos 15 e 769 da CLT. Conclui-se, portanto, </w:t>
      </w:r>
      <w:r w:rsidRPr="00AC376C">
        <w:rPr>
          <w:i/>
          <w:sz w:val="24"/>
          <w:szCs w:val="24"/>
        </w:rPr>
        <w:lastRenderedPageBreak/>
        <w:t>que a comprovação a que alude o § 4º do artigo 790 da CLT pode ser feita mediante declaração de miserabilidade da parte. Nesse contexto, a simples afirmação do reclamante de que não tem condições financeiras de arcar com as despesas do processo autoriza a concessão da Justiça gratuita à pessoa natural. Enfatiza-se, por fim, que o banco recorrente nada provou em sentido contrário, ficando na cômoda posição de negar validade à declaração de pobreza feita pelo reclamante, sem nada alegar de substancial contra ela e seu conteúdo. Não cabe, portanto, a esta Corte de natureza extraordinária afastar, sem nenhum elemento concreto em contrário, a conclusão de ambas as instâncias ordinárias sobre o fato de ser o reclamante pobre em sentido legal. Recurso de revista conhecido e desprovido.”</w:t>
      </w:r>
      <w:r w:rsidRPr="00AC376C">
        <w:rPr>
          <w:sz w:val="24"/>
          <w:szCs w:val="24"/>
        </w:rPr>
        <w:t xml:space="preserve"> </w:t>
      </w:r>
      <w:r w:rsidR="00C837FA" w:rsidRPr="00AC376C">
        <w:rPr>
          <w:sz w:val="24"/>
          <w:szCs w:val="24"/>
        </w:rPr>
        <w:t>(</w:t>
      </w:r>
      <w:hyperlink r:id="rId18" w:history="1">
        <w:r w:rsidR="00C837FA" w:rsidRPr="00C837FA">
          <w:rPr>
            <w:rStyle w:val="Hyperlink"/>
            <w:sz w:val="24"/>
            <w:szCs w:val="24"/>
          </w:rPr>
          <w:t>TST-RR-340-</w:t>
        </w:r>
        <w:r w:rsidR="00C837FA" w:rsidRPr="00C837FA">
          <w:rPr>
            <w:rStyle w:val="Hyperlink"/>
            <w:sz w:val="24"/>
            <w:szCs w:val="24"/>
          </w:rPr>
          <w:t>2</w:t>
        </w:r>
        <w:r w:rsidR="00C837FA" w:rsidRPr="00C837FA">
          <w:rPr>
            <w:rStyle w:val="Hyperlink"/>
            <w:sz w:val="24"/>
            <w:szCs w:val="24"/>
          </w:rPr>
          <w:t>1.2018.5.06.0001</w:t>
        </w:r>
      </w:hyperlink>
      <w:r w:rsidR="00C837FA" w:rsidRPr="00743213">
        <w:rPr>
          <w:sz w:val="24"/>
          <w:szCs w:val="24"/>
        </w:rPr>
        <w:t>,</w:t>
      </w:r>
      <w:r w:rsidR="00C837FA" w:rsidRPr="00AC376C">
        <w:rPr>
          <w:sz w:val="24"/>
          <w:szCs w:val="24"/>
        </w:rPr>
        <w:t xml:space="preserve"> 2ª Turma, rel. Min. José Roberto Freire Pimenta, julgado em 19.2.2020)</w:t>
      </w:r>
    </w:p>
    <w:p w:rsidR="004E3E8B" w:rsidRPr="001513C9" w:rsidRDefault="004E3E8B" w:rsidP="004E3E8B">
      <w:pPr>
        <w:jc w:val="both"/>
        <w:outlineLvl w:val="0"/>
        <w:rPr>
          <w:sz w:val="10"/>
          <w:szCs w:val="10"/>
        </w:rPr>
      </w:pPr>
    </w:p>
    <w:p w:rsidR="004E3E8B" w:rsidRPr="001513C9" w:rsidRDefault="004E3E8B" w:rsidP="004B21AD">
      <w:pPr>
        <w:pStyle w:val="EXPLICAO"/>
        <w:ind w:left="0"/>
        <w:rPr>
          <w:rFonts w:ascii="Times New Roman" w:hAnsi="Times New Roman" w:cs="Times New Roman"/>
          <w:b/>
          <w:color w:val="auto"/>
          <w:sz w:val="10"/>
          <w:szCs w:val="10"/>
        </w:rPr>
      </w:pPr>
    </w:p>
    <w:p w:rsidR="004B21AD" w:rsidRPr="001513C9" w:rsidRDefault="004B21AD" w:rsidP="009027C8">
      <w:pPr>
        <w:pStyle w:val="tema"/>
        <w:tabs>
          <w:tab w:val="left" w:pos="11482"/>
          <w:tab w:val="left" w:pos="11624"/>
        </w:tabs>
        <w:ind w:left="0"/>
        <w:rPr>
          <w:rFonts w:ascii="Times New Roman" w:hAnsi="Times New Roman" w:cs="Times New Roman"/>
          <w:bCs w:val="0"/>
          <w:i/>
          <w:iCs/>
          <w:caps w:val="0"/>
          <w:color w:val="auto"/>
          <w:sz w:val="10"/>
          <w:szCs w:val="10"/>
        </w:rPr>
      </w:pPr>
    </w:p>
    <w:p w:rsidR="00C26DFB" w:rsidRPr="001513C9" w:rsidRDefault="00C26DFB">
      <w:pPr>
        <w:jc w:val="both"/>
        <w:rPr>
          <w:sz w:val="10"/>
          <w:szCs w:val="10"/>
          <w:u w:val="single"/>
        </w:rPr>
      </w:pPr>
    </w:p>
    <w:p w:rsidR="00C26DFB" w:rsidRPr="001513C9" w:rsidRDefault="00C26DFB">
      <w:pPr>
        <w:jc w:val="both"/>
        <w:rPr>
          <w:sz w:val="10"/>
          <w:szCs w:val="10"/>
          <w:u w:val="single"/>
        </w:rPr>
      </w:pPr>
    </w:p>
    <w:p w:rsidR="00B14A3E" w:rsidRPr="004B3120" w:rsidRDefault="00B14A3E" w:rsidP="00B14A3E">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B14A3E" w:rsidRPr="004B3120" w:rsidRDefault="00B14A3E" w:rsidP="00B14A3E">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B14A3E" w:rsidRPr="004B3120" w:rsidRDefault="00B14A3E" w:rsidP="00B14A3E">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4A3E" w:rsidRPr="004B3120" w:rsidRDefault="00B14A3E" w:rsidP="00B14A3E">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Informações/Sugestões/Críticas: (61)3043-4612 ou </w:t>
      </w:r>
      <w:hyperlink r:id="rId19" w:history="1">
        <w:r w:rsidRPr="004B3120">
          <w:rPr>
            <w:rStyle w:val="Hyperlink"/>
            <w:snapToGrid w:val="0"/>
            <w:sz w:val="25"/>
            <w:szCs w:val="25"/>
          </w:rPr>
          <w:t>cjur@tst.jus.br</w:t>
        </w:r>
      </w:hyperlink>
    </w:p>
    <w:p w:rsidR="00B14A3E" w:rsidRPr="004B3120" w:rsidRDefault="00B14A3E" w:rsidP="00B14A3E">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4A3E" w:rsidRPr="004B3120" w:rsidRDefault="00B14A3E" w:rsidP="00B14A3E">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0" w:history="1">
        <w:r w:rsidRPr="004B3120">
          <w:rPr>
            <w:rStyle w:val="Hyperlink"/>
            <w:snapToGrid w:val="0"/>
            <w:sz w:val="25"/>
            <w:szCs w:val="25"/>
          </w:rPr>
          <w:t>http://www.tst.jus.br/web/guest/informativo-tst</w:t>
        </w:r>
      </w:hyperlink>
    </w:p>
    <w:p w:rsidR="00B14A3E" w:rsidRPr="004B3120" w:rsidRDefault="00B14A3E" w:rsidP="00B14A3E">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4A3E" w:rsidRPr="004B3120" w:rsidRDefault="00B14A3E" w:rsidP="00B14A3E">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1" w:history="1">
        <w:r w:rsidRPr="004B3120">
          <w:rPr>
            <w:rStyle w:val="Hyperlink"/>
            <w:snapToGrid w:val="0"/>
            <w:sz w:val="25"/>
            <w:szCs w:val="25"/>
          </w:rPr>
          <w:t>http://www.tst.jus.br/push</w:t>
        </w:r>
      </w:hyperlink>
    </w:p>
    <w:p w:rsidR="007614F1" w:rsidRPr="005D1DE4" w:rsidRDefault="007614F1" w:rsidP="00B14A3E">
      <w:pPr>
        <w:pStyle w:val="Corpodetexto"/>
        <w:pBdr>
          <w:top w:val="single" w:sz="4" w:space="1" w:color="auto"/>
          <w:left w:val="single" w:sz="4" w:space="0" w:color="auto"/>
          <w:bottom w:val="single" w:sz="4" w:space="1" w:color="auto"/>
          <w:right w:val="single" w:sz="4" w:space="1" w:color="auto"/>
        </w:pBdr>
        <w:shd w:val="clear" w:color="auto" w:fill="B8CCE4"/>
        <w:outlineLvl w:val="0"/>
        <w:rPr>
          <w:snapToGrid w:val="0"/>
          <w:sz w:val="22"/>
          <w:szCs w:val="22"/>
        </w:rPr>
      </w:pPr>
    </w:p>
    <w:sectPr w:rsidR="007614F1" w:rsidRPr="005D1DE4" w:rsidSect="00D11B24">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66" w:rsidRDefault="00392D66">
      <w:r>
        <w:separator/>
      </w:r>
    </w:p>
  </w:endnote>
  <w:endnote w:type="continuationSeparator" w:id="0">
    <w:p w:rsidR="00392D66" w:rsidRDefault="0039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FC" w:rsidRDefault="000A64F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7DE6">
      <w:rPr>
        <w:rStyle w:val="Nmerodepgina"/>
        <w:noProof/>
      </w:rPr>
      <w:t>5</w:t>
    </w:r>
    <w:r>
      <w:rPr>
        <w:rStyle w:val="Nmerodepgina"/>
      </w:rPr>
      <w:fldChar w:fldCharType="end"/>
    </w:r>
  </w:p>
  <w:p w:rsidR="00FE00AD" w:rsidRDefault="00A87DE6">
    <w:pPr>
      <w:pStyle w:val="Rodap"/>
      <w:ind w:right="360"/>
    </w:pPr>
    <w:r>
      <w:rPr>
        <w:noProof/>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A87DE6">
    <w:pPr>
      <w:pStyle w:val="Rodap"/>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FE00AD">
      <w:rPr>
        <w:rStyle w:val="Nmerodepgina"/>
      </w:rPr>
      <w:fldChar w:fldCharType="begin"/>
    </w:r>
    <w:r w:rsidR="00FE00AD">
      <w:rPr>
        <w:rStyle w:val="Nmerodepgina"/>
      </w:rPr>
      <w:instrText xml:space="preserve"> PAGE </w:instrText>
    </w:r>
    <w:r w:rsidR="00FE00AD">
      <w:rPr>
        <w:rStyle w:val="Nmerodepgina"/>
      </w:rPr>
      <w:fldChar w:fldCharType="separate"/>
    </w:r>
    <w:r>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66" w:rsidRDefault="00392D66">
      <w:r>
        <w:separator/>
      </w:r>
    </w:p>
  </w:footnote>
  <w:footnote w:type="continuationSeparator" w:id="0">
    <w:p w:rsidR="00392D66" w:rsidRDefault="00392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FC" w:rsidRDefault="000A64F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A87DE6" w:rsidRDefault="00FE00AD">
    <w:pPr>
      <w:pStyle w:val="Corpodetexto"/>
      <w:jc w:val="right"/>
      <w:rPr>
        <w:sz w:val="24"/>
        <w:szCs w:val="24"/>
        <w14:shadow w14:blurRad="50800" w14:dist="38100" w14:dir="2700000" w14:sx="100000" w14:sy="100000" w14:kx="0" w14:ky="0" w14:algn="tl">
          <w14:srgbClr w14:val="000000">
            <w14:alpha w14:val="60000"/>
          </w14:srgbClr>
        </w14:shadow>
      </w:rPr>
    </w:pPr>
    <w:r w:rsidRPr="00A87DE6">
      <w:rPr>
        <w:sz w:val="24"/>
        <w:szCs w:val="24"/>
        <w14:shadow w14:blurRad="50800" w14:dist="38100" w14:dir="2700000" w14:sx="100000" w14:sy="100000" w14:kx="0" w14:ky="0" w14:algn="tl">
          <w14:srgbClr w14:val="000000">
            <w14:alpha w14:val="60000"/>
          </w14:srgbClr>
        </w14:shadow>
      </w:rPr>
      <w:t xml:space="preserve">Informativo TST - </w:t>
    </w:r>
    <w:r w:rsidR="00986D77" w:rsidRPr="00A87DE6">
      <w:rPr>
        <w:sz w:val="24"/>
        <w:szCs w:val="24"/>
        <w14:shadow w14:blurRad="50800" w14:dist="38100" w14:dir="2700000" w14:sx="100000" w14:sy="100000" w14:kx="0" w14:ky="0" w14:algn="tl">
          <w14:srgbClr w14:val="000000">
            <w14:alpha w14:val="60000"/>
          </w14:srgbClr>
        </w14:shadow>
      </w:rPr>
      <w:t>n</w:t>
    </w:r>
    <w:r w:rsidRPr="00A87DE6">
      <w:rPr>
        <w:sz w:val="24"/>
        <w:szCs w:val="24"/>
        <w14:shadow w14:blurRad="50800" w14:dist="38100" w14:dir="2700000" w14:sx="100000" w14:sy="100000" w14:kx="0" w14:ky="0" w14:algn="tl">
          <w14:srgbClr w14:val="000000">
            <w14:alpha w14:val="60000"/>
          </w14:srgbClr>
        </w14:shadow>
      </w:rPr>
      <w:t xml:space="preserve">º </w:t>
    </w:r>
    <w:r w:rsidR="004E3E8B" w:rsidRPr="00A87DE6">
      <w:rPr>
        <w:sz w:val="24"/>
        <w:szCs w:val="24"/>
        <w14:shadow w14:blurRad="50800" w14:dist="38100" w14:dir="2700000" w14:sx="100000" w14:sy="100000" w14:kx="0" w14:ky="0" w14:algn="tl">
          <w14:srgbClr w14:val="000000">
            <w14:alpha w14:val="60000"/>
          </w14:srgbClr>
        </w14:shadow>
      </w:rPr>
      <w:t>215</w:t>
    </w:r>
  </w:p>
  <w:p w:rsidR="00FE00AD" w:rsidRPr="00971E07" w:rsidRDefault="00A87DE6">
    <w:pPr>
      <w:pStyle w:val="Ttulo6"/>
      <w:spacing w:line="360" w:lineRule="auto"/>
      <w:jc w:val="right"/>
      <w:rPr>
        <w:i/>
        <w:iCs/>
        <w:sz w:val="20"/>
        <w:szCs w:val="20"/>
      </w:rPr>
    </w:pPr>
    <w:r>
      <w:rPr>
        <w:noProof/>
      </w:rPr>
      <mc:AlternateContent>
        <mc:Choice Requires="wps">
          <w:drawing>
            <wp:anchor distT="0" distB="0" distL="114300" distR="114300" simplePos="0" relativeHeight="251656704"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168DE">
      <w:rPr>
        <w:sz w:val="20"/>
        <w:szCs w:val="20"/>
      </w:rPr>
      <w:t xml:space="preserve">Período: </w:t>
    </w:r>
    <w:r w:rsidR="000A64FC">
      <w:rPr>
        <w:sz w:val="20"/>
        <w:szCs w:val="20"/>
      </w:rPr>
      <w:t>5</w:t>
    </w:r>
    <w:r w:rsidR="004E3E8B">
      <w:rPr>
        <w:sz w:val="20"/>
        <w:szCs w:val="20"/>
      </w:rPr>
      <w:t xml:space="preserve"> de fevereiro</w:t>
    </w:r>
    <w:r w:rsidR="000A64FC">
      <w:rPr>
        <w:sz w:val="20"/>
        <w:szCs w:val="20"/>
      </w:rPr>
      <w:t xml:space="preserve"> a 9 de março</w:t>
    </w:r>
    <w:r w:rsidR="004E3E8B">
      <w:rPr>
        <w:sz w:val="20"/>
        <w:szCs w:val="20"/>
      </w:rPr>
      <w:t xml:space="preserve"> de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A87DE6">
    <w:pPr>
      <w:pStyle w:val="Cabealho"/>
    </w:pPr>
    <w:r>
      <w:rPr>
        <w:noProof/>
      </w:rPr>
      <w:drawing>
        <wp:inline distT="0" distB="0" distL="0" distR="0">
          <wp:extent cx="2379345" cy="568325"/>
          <wp:effectExtent l="0" t="0" r="190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568325"/>
                  </a:xfrm>
                  <a:prstGeom prst="rect">
                    <a:avLst/>
                  </a:prstGeom>
                  <a:noFill/>
                  <a:ln>
                    <a:noFill/>
                  </a:ln>
                </pic:spPr>
              </pic:pic>
            </a:graphicData>
          </a:graphic>
        </wp:inline>
      </w:drawing>
    </w:r>
  </w:p>
  <w:p w:rsidR="005638BA" w:rsidRPr="005638BA" w:rsidRDefault="005638BA" w:rsidP="005638BA">
    <w:pPr>
      <w:pStyle w:val="Cabealho"/>
      <w:tabs>
        <w:tab w:val="clear" w:pos="4419"/>
        <w:tab w:val="clear" w:pos="8838"/>
        <w:tab w:val="left" w:pos="2793"/>
      </w:tabs>
      <w:jc w:val="center"/>
      <w:rPr>
        <w:color w:val="006699"/>
        <w:sz w:val="78"/>
      </w:rPr>
    </w:pPr>
    <w:r w:rsidRPr="005638BA">
      <w:rPr>
        <w:color w:val="006699"/>
        <w:sz w:val="104"/>
      </w:rPr>
      <w:t>INFORMATIVO TST</w:t>
    </w:r>
  </w:p>
  <w:p w:rsidR="00FE00AD" w:rsidRPr="005638BA" w:rsidRDefault="00FE00AD" w:rsidP="005638BA">
    <w:pPr>
      <w:pStyle w:val="Cabealho"/>
      <w:tabs>
        <w:tab w:val="clear" w:pos="4419"/>
        <w:tab w:val="clear" w:pos="8838"/>
        <w:tab w:val="left" w:pos="2793"/>
      </w:tabs>
      <w:jc w:val="right"/>
      <w:rPr>
        <w:b/>
        <w:color w:val="006699"/>
        <w:sz w:val="40"/>
        <w:szCs w:val="40"/>
      </w:rPr>
    </w:pPr>
    <w:r w:rsidRPr="005638BA">
      <w:rPr>
        <w:b/>
        <w:color w:val="006699"/>
        <w:sz w:val="40"/>
        <w:szCs w:val="40"/>
      </w:rPr>
      <w:t xml:space="preserve">Nº </w:t>
    </w:r>
    <w:r w:rsidR="004E3E8B">
      <w:rPr>
        <w:b/>
        <w:color w:val="006699"/>
        <w:sz w:val="40"/>
        <w:szCs w:val="40"/>
      </w:rPr>
      <w:t>215</w:t>
    </w:r>
  </w:p>
  <w:p w:rsidR="00FE00AD" w:rsidRPr="005D1DE4" w:rsidRDefault="00FE00AD">
    <w:pPr>
      <w:pStyle w:val="Cabealho"/>
      <w:jc w:val="right"/>
      <w:rPr>
        <w:i/>
        <w:iCs/>
        <w:sz w:val="10"/>
        <w:szCs w:val="10"/>
      </w:rPr>
    </w:pPr>
  </w:p>
  <w:p w:rsidR="00FE00AD" w:rsidRPr="005638BA" w:rsidRDefault="002168DE">
    <w:pPr>
      <w:pStyle w:val="Cabealho"/>
      <w:jc w:val="right"/>
      <w:rPr>
        <w:color w:val="006699"/>
      </w:rPr>
    </w:pPr>
    <w:r w:rsidRPr="005638BA">
      <w:rPr>
        <w:i/>
        <w:iCs/>
        <w:color w:val="006699"/>
      </w:rPr>
      <w:t>Período:</w:t>
    </w:r>
    <w:r w:rsidR="00FE00AD" w:rsidRPr="005638BA">
      <w:rPr>
        <w:i/>
        <w:iCs/>
        <w:color w:val="006699"/>
      </w:rPr>
      <w:t xml:space="preserve"> </w:t>
    </w:r>
    <w:r w:rsidR="00A045F6">
      <w:rPr>
        <w:i/>
        <w:iCs/>
        <w:color w:val="006699"/>
      </w:rPr>
      <w:t xml:space="preserve">5 </w:t>
    </w:r>
    <w:r w:rsidR="00DF52FB">
      <w:rPr>
        <w:i/>
        <w:iCs/>
        <w:color w:val="006699"/>
      </w:rPr>
      <w:t>de</w:t>
    </w:r>
    <w:r w:rsidR="004E3E8B">
      <w:rPr>
        <w:i/>
        <w:iCs/>
        <w:color w:val="006699"/>
      </w:rPr>
      <w:t xml:space="preserve"> fevereiro</w:t>
    </w:r>
    <w:r w:rsidR="00DF52FB">
      <w:rPr>
        <w:i/>
        <w:iCs/>
        <w:color w:val="006699"/>
      </w:rPr>
      <w:t xml:space="preserve"> a 9 de março </w:t>
    </w:r>
    <w:r w:rsidR="004E3E8B">
      <w:rPr>
        <w:i/>
        <w:iCs/>
        <w:color w:val="006699"/>
      </w:rPr>
      <w:t>de 2020</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A64FC"/>
    <w:rsid w:val="000B4D41"/>
    <w:rsid w:val="000B67DF"/>
    <w:rsid w:val="000B7CDE"/>
    <w:rsid w:val="000C3022"/>
    <w:rsid w:val="000C672B"/>
    <w:rsid w:val="000E0A91"/>
    <w:rsid w:val="0011575C"/>
    <w:rsid w:val="0011692E"/>
    <w:rsid w:val="00137564"/>
    <w:rsid w:val="00137DC1"/>
    <w:rsid w:val="001513C9"/>
    <w:rsid w:val="0015612D"/>
    <w:rsid w:val="00176D15"/>
    <w:rsid w:val="00184590"/>
    <w:rsid w:val="00187A37"/>
    <w:rsid w:val="0019151D"/>
    <w:rsid w:val="00193208"/>
    <w:rsid w:val="001C04D2"/>
    <w:rsid w:val="001C271F"/>
    <w:rsid w:val="001C6C93"/>
    <w:rsid w:val="001D4CF9"/>
    <w:rsid w:val="001D5AB0"/>
    <w:rsid w:val="001D757D"/>
    <w:rsid w:val="001E0AA0"/>
    <w:rsid w:val="001E14BB"/>
    <w:rsid w:val="001E4B57"/>
    <w:rsid w:val="001E5BD1"/>
    <w:rsid w:val="001E713B"/>
    <w:rsid w:val="001F030F"/>
    <w:rsid w:val="00206810"/>
    <w:rsid w:val="002168DE"/>
    <w:rsid w:val="00224AC2"/>
    <w:rsid w:val="0023559D"/>
    <w:rsid w:val="002402B0"/>
    <w:rsid w:val="002449F9"/>
    <w:rsid w:val="002635ED"/>
    <w:rsid w:val="00265A89"/>
    <w:rsid w:val="002662BA"/>
    <w:rsid w:val="00266D49"/>
    <w:rsid w:val="00271C5C"/>
    <w:rsid w:val="00271E67"/>
    <w:rsid w:val="002730B5"/>
    <w:rsid w:val="00275D33"/>
    <w:rsid w:val="00280594"/>
    <w:rsid w:val="00285064"/>
    <w:rsid w:val="002A219D"/>
    <w:rsid w:val="002A546D"/>
    <w:rsid w:val="002B4738"/>
    <w:rsid w:val="002B6377"/>
    <w:rsid w:val="002C2904"/>
    <w:rsid w:val="002E78CB"/>
    <w:rsid w:val="00317E29"/>
    <w:rsid w:val="0033397A"/>
    <w:rsid w:val="00352B27"/>
    <w:rsid w:val="0036325E"/>
    <w:rsid w:val="003671FE"/>
    <w:rsid w:val="003708FD"/>
    <w:rsid w:val="0037667D"/>
    <w:rsid w:val="00384075"/>
    <w:rsid w:val="003908C5"/>
    <w:rsid w:val="00392D66"/>
    <w:rsid w:val="00396053"/>
    <w:rsid w:val="003A0FBD"/>
    <w:rsid w:val="003A4086"/>
    <w:rsid w:val="003A5E5B"/>
    <w:rsid w:val="003B045C"/>
    <w:rsid w:val="003B0A59"/>
    <w:rsid w:val="003B3EB5"/>
    <w:rsid w:val="003B4E23"/>
    <w:rsid w:val="003B767E"/>
    <w:rsid w:val="003C6FE7"/>
    <w:rsid w:val="003D032E"/>
    <w:rsid w:val="003D4205"/>
    <w:rsid w:val="003F2078"/>
    <w:rsid w:val="003F4524"/>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253"/>
    <w:rsid w:val="004C2612"/>
    <w:rsid w:val="004D6000"/>
    <w:rsid w:val="004D6415"/>
    <w:rsid w:val="004D71E8"/>
    <w:rsid w:val="004E393E"/>
    <w:rsid w:val="004E3E8B"/>
    <w:rsid w:val="004E4507"/>
    <w:rsid w:val="004E4619"/>
    <w:rsid w:val="004F0A7D"/>
    <w:rsid w:val="0051538E"/>
    <w:rsid w:val="00517E01"/>
    <w:rsid w:val="00521EEC"/>
    <w:rsid w:val="005460BD"/>
    <w:rsid w:val="00553197"/>
    <w:rsid w:val="0055409E"/>
    <w:rsid w:val="00556367"/>
    <w:rsid w:val="00556B35"/>
    <w:rsid w:val="005638BA"/>
    <w:rsid w:val="00573E13"/>
    <w:rsid w:val="00584F82"/>
    <w:rsid w:val="00591DFA"/>
    <w:rsid w:val="005A5695"/>
    <w:rsid w:val="005B2F00"/>
    <w:rsid w:val="005B57DE"/>
    <w:rsid w:val="005C1886"/>
    <w:rsid w:val="005C761E"/>
    <w:rsid w:val="005D0E5F"/>
    <w:rsid w:val="005D1DE4"/>
    <w:rsid w:val="005E35BD"/>
    <w:rsid w:val="005E3D4D"/>
    <w:rsid w:val="005E548A"/>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E2790"/>
    <w:rsid w:val="006F6C15"/>
    <w:rsid w:val="0070727E"/>
    <w:rsid w:val="00710D3A"/>
    <w:rsid w:val="0071315F"/>
    <w:rsid w:val="00721942"/>
    <w:rsid w:val="00722BE7"/>
    <w:rsid w:val="00732DF2"/>
    <w:rsid w:val="0073696E"/>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1AC2"/>
    <w:rsid w:val="00845559"/>
    <w:rsid w:val="00854DB8"/>
    <w:rsid w:val="00854EF2"/>
    <w:rsid w:val="00863B86"/>
    <w:rsid w:val="00871F69"/>
    <w:rsid w:val="0087731F"/>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045F6"/>
    <w:rsid w:val="00A32FBF"/>
    <w:rsid w:val="00A407EA"/>
    <w:rsid w:val="00A51749"/>
    <w:rsid w:val="00A521B6"/>
    <w:rsid w:val="00A56962"/>
    <w:rsid w:val="00A6412C"/>
    <w:rsid w:val="00A75419"/>
    <w:rsid w:val="00A76661"/>
    <w:rsid w:val="00A76D2A"/>
    <w:rsid w:val="00A82081"/>
    <w:rsid w:val="00A8557E"/>
    <w:rsid w:val="00A87DE6"/>
    <w:rsid w:val="00A91181"/>
    <w:rsid w:val="00A935AC"/>
    <w:rsid w:val="00AB299E"/>
    <w:rsid w:val="00AB507C"/>
    <w:rsid w:val="00AD6E76"/>
    <w:rsid w:val="00AE3EAA"/>
    <w:rsid w:val="00AE5EDF"/>
    <w:rsid w:val="00AF3704"/>
    <w:rsid w:val="00B14A3E"/>
    <w:rsid w:val="00B14F7F"/>
    <w:rsid w:val="00B16EB9"/>
    <w:rsid w:val="00B22F24"/>
    <w:rsid w:val="00B22F53"/>
    <w:rsid w:val="00B24DBE"/>
    <w:rsid w:val="00B34EB2"/>
    <w:rsid w:val="00B517C3"/>
    <w:rsid w:val="00B518B2"/>
    <w:rsid w:val="00B526EA"/>
    <w:rsid w:val="00B536FE"/>
    <w:rsid w:val="00B73FFA"/>
    <w:rsid w:val="00B874A6"/>
    <w:rsid w:val="00B874F1"/>
    <w:rsid w:val="00BC1DE7"/>
    <w:rsid w:val="00BC5AEE"/>
    <w:rsid w:val="00BD6029"/>
    <w:rsid w:val="00BE0541"/>
    <w:rsid w:val="00BE1ADB"/>
    <w:rsid w:val="00C070DE"/>
    <w:rsid w:val="00C26DFB"/>
    <w:rsid w:val="00C273FA"/>
    <w:rsid w:val="00C30531"/>
    <w:rsid w:val="00C30D06"/>
    <w:rsid w:val="00C42067"/>
    <w:rsid w:val="00C432D0"/>
    <w:rsid w:val="00C4398E"/>
    <w:rsid w:val="00C60B4A"/>
    <w:rsid w:val="00C65BDB"/>
    <w:rsid w:val="00C71A3B"/>
    <w:rsid w:val="00C76CFA"/>
    <w:rsid w:val="00C837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DF52FB"/>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610E"/>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IdentificaoChar">
    <w:name w:val="Identificação Char"/>
    <w:link w:val="Identificao"/>
    <w:uiPriority w:val="99"/>
    <w:rsid w:val="004E3E8B"/>
    <w:rPr>
      <w:rFonts w:ascii="Courier New" w:hAnsi="Courier New" w:cs="Courier New"/>
      <w:color w:val="000000"/>
      <w:sz w:val="24"/>
      <w:szCs w:val="24"/>
      <w:lang w:val="en-US"/>
    </w:rPr>
  </w:style>
  <w:style w:type="character" w:styleId="HiperlinkVisitado">
    <w:name w:val="FollowedHyperlink"/>
    <w:uiPriority w:val="99"/>
    <w:semiHidden/>
    <w:unhideWhenUsed/>
    <w:rsid w:val="004E3E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IdentificaoChar">
    <w:name w:val="Identificação Char"/>
    <w:link w:val="Identificao"/>
    <w:uiPriority w:val="99"/>
    <w:rsid w:val="004E3E8B"/>
    <w:rPr>
      <w:rFonts w:ascii="Courier New" w:hAnsi="Courier New" w:cs="Courier New"/>
      <w:color w:val="000000"/>
      <w:sz w:val="24"/>
      <w:szCs w:val="24"/>
      <w:lang w:val="en-US"/>
    </w:rPr>
  </w:style>
  <w:style w:type="character" w:styleId="HiperlinkVisitado">
    <w:name w:val="FollowedHyperlink"/>
    <w:uiPriority w:val="99"/>
    <w:semiHidden/>
    <w:unhideWhenUsed/>
    <w:rsid w:val="004E3E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572&amp;digitoTst=30&amp;anoTst=2018&amp;orgaoTst=5&amp;tribunalTst=17&amp;varaTst=0000&amp;submit=Consultar" TargetMode="External"/><Relationship Id="rId18" Type="http://schemas.openxmlformats.org/officeDocument/2006/relationships/hyperlink" Target="http://aplicacao4.tst.jus.br/consultaProcessual/resumoForm.do?consulta=1&amp;numeroInt=214872&amp;anoInt=20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230081&amp;anoInt=2016" TargetMode="External"/><Relationship Id="rId17" Type="http://schemas.openxmlformats.org/officeDocument/2006/relationships/hyperlink" Target="http://aplicacao4.tst.jus.br/consultaProcessual/resumoForm.do?consulta=1&amp;numeroInt=347279&amp;anoInt=200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8559&amp;anoInt=2013" TargetMode="External"/><Relationship Id="rId20" Type="http://schemas.openxmlformats.org/officeDocument/2006/relationships/hyperlink" Target="http://www.tst.jus.br/web/guest/informativo-t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25340&amp;digitoTst=83&amp;anoTst=1998&amp;orgaoTst=5&amp;tribunalTst=07&amp;varaTs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242502&amp;anoInt=201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plicacao4.tst.jus.br/consultaProcessual/consultaTstNumUnica.do?consulta=Consultar&amp;conscsjt=&amp;numeroTst=386&amp;digitoTst=09&amp;anoTst=2017&amp;orgaoTst=5&amp;tribunalTst=11&amp;varaTst=0000"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0662&amp;digitoTst=58&amp;anoTst=2019&amp;orgaoTst=5&amp;tribunalTst=00&amp;varaTst=0000&amp;submit=Consultar" TargetMode="External"/><Relationship Id="rId14" Type="http://schemas.openxmlformats.org/officeDocument/2006/relationships/hyperlink" Target="http://aplicacao4.tst.jus.br/consultaProcessual/resumoForm.do?consulta=1&amp;numeroInt=175768&amp;anoInt=2017"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EAB1-803A-4FB5-A284-DA7B521C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2812</Words>
  <Characters>16258</Characters>
  <Application>Microsoft Office Word</Application>
  <DocSecurity>0</DocSecurity>
  <Lines>560</Lines>
  <Paragraphs>247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18823</CharactersWithSpaces>
  <SharedDoc>false</SharedDoc>
  <HLinks>
    <vt:vector size="78" baseType="variant">
      <vt:variant>
        <vt:i4>6422567</vt:i4>
      </vt:variant>
      <vt:variant>
        <vt:i4>36</vt:i4>
      </vt:variant>
      <vt:variant>
        <vt:i4>0</vt:i4>
      </vt:variant>
      <vt:variant>
        <vt:i4>5</vt:i4>
      </vt:variant>
      <vt:variant>
        <vt:lpwstr>http://www.tst.jus.br/push</vt:lpwstr>
      </vt:variant>
      <vt:variant>
        <vt:lpwstr/>
      </vt:variant>
      <vt:variant>
        <vt:i4>2883625</vt:i4>
      </vt:variant>
      <vt:variant>
        <vt:i4>33</vt:i4>
      </vt:variant>
      <vt:variant>
        <vt:i4>0</vt:i4>
      </vt:variant>
      <vt:variant>
        <vt:i4>5</vt:i4>
      </vt:variant>
      <vt:variant>
        <vt:lpwstr>http://www.tst.jus.br/web/guest/informativo-tst</vt:lpwstr>
      </vt:variant>
      <vt:variant>
        <vt:lpwstr/>
      </vt:variant>
      <vt:variant>
        <vt:i4>4194345</vt:i4>
      </vt:variant>
      <vt:variant>
        <vt:i4>30</vt:i4>
      </vt:variant>
      <vt:variant>
        <vt:i4>0</vt:i4>
      </vt:variant>
      <vt:variant>
        <vt:i4>5</vt:i4>
      </vt:variant>
      <vt:variant>
        <vt:lpwstr>mailto:cjur@tst.jus.br</vt:lpwstr>
      </vt:variant>
      <vt:variant>
        <vt:lpwstr/>
      </vt:variant>
      <vt:variant>
        <vt:i4>5570638</vt:i4>
      </vt:variant>
      <vt:variant>
        <vt:i4>27</vt:i4>
      </vt:variant>
      <vt:variant>
        <vt:i4>0</vt:i4>
      </vt:variant>
      <vt:variant>
        <vt:i4>5</vt:i4>
      </vt:variant>
      <vt:variant>
        <vt:lpwstr>http://aplicacao4.tst.jus.br/consultaProcessual/resumoForm.do?consulta=1&amp;numeroInt=214872&amp;anoInt=2019</vt:lpwstr>
      </vt:variant>
      <vt:variant>
        <vt:lpwstr/>
      </vt:variant>
      <vt:variant>
        <vt:i4>5636170</vt:i4>
      </vt:variant>
      <vt:variant>
        <vt:i4>24</vt:i4>
      </vt:variant>
      <vt:variant>
        <vt:i4>0</vt:i4>
      </vt:variant>
      <vt:variant>
        <vt:i4>5</vt:i4>
      </vt:variant>
      <vt:variant>
        <vt:lpwstr>http://aplicacao4.tst.jus.br/consultaProcessual/resumoForm.do?consulta=1&amp;numeroInt=347279&amp;anoInt=2008</vt:lpwstr>
      </vt:variant>
      <vt:variant>
        <vt:lpwstr/>
      </vt:variant>
      <vt:variant>
        <vt:i4>6881401</vt:i4>
      </vt:variant>
      <vt:variant>
        <vt:i4>21</vt:i4>
      </vt:variant>
      <vt:variant>
        <vt:i4>0</vt:i4>
      </vt:variant>
      <vt:variant>
        <vt:i4>5</vt:i4>
      </vt:variant>
      <vt:variant>
        <vt:lpwstr>http://aplicacao4.tst.jus.br/consultaProcessual/resumoForm.do?consulta=1&amp;numeroInt=8559&amp;anoInt=2013</vt:lpwstr>
      </vt:variant>
      <vt:variant>
        <vt:lpwstr/>
      </vt:variant>
      <vt:variant>
        <vt:i4>5505094</vt:i4>
      </vt:variant>
      <vt:variant>
        <vt:i4>18</vt:i4>
      </vt:variant>
      <vt:variant>
        <vt:i4>0</vt:i4>
      </vt:variant>
      <vt:variant>
        <vt:i4>5</vt:i4>
      </vt:variant>
      <vt:variant>
        <vt:lpwstr>http://aplicacao4.tst.jus.br/consultaProcessual/resumoForm.do?consulta=1&amp;numeroInt=242502&amp;anoInt=2019</vt:lpwstr>
      </vt:variant>
      <vt:variant>
        <vt:lpwstr/>
      </vt:variant>
      <vt:variant>
        <vt:i4>5636173</vt:i4>
      </vt:variant>
      <vt:variant>
        <vt:i4>15</vt:i4>
      </vt:variant>
      <vt:variant>
        <vt:i4>0</vt:i4>
      </vt:variant>
      <vt:variant>
        <vt:i4>5</vt:i4>
      </vt:variant>
      <vt:variant>
        <vt:lpwstr>http://aplicacao4.tst.jus.br/consultaProcessual/resumoForm.do?consulta=1&amp;numeroInt=175768&amp;anoInt=2017</vt:lpwstr>
      </vt:variant>
      <vt:variant>
        <vt:lpwstr/>
      </vt:variant>
      <vt:variant>
        <vt:i4>6488174</vt:i4>
      </vt:variant>
      <vt:variant>
        <vt:i4>12</vt:i4>
      </vt:variant>
      <vt:variant>
        <vt:i4>0</vt:i4>
      </vt:variant>
      <vt:variant>
        <vt:i4>5</vt:i4>
      </vt:variant>
      <vt:variant>
        <vt:lpwstr>http://aplicacao4.tst.jus.br/consultaProcessual/consultaTstNumUnica.do?consulta=Consultar&amp;conscsjt=&amp;numeroTst=572&amp;digitoTst=30&amp;anoTst=2018&amp;orgaoTst=5&amp;tribunalTst=17&amp;varaTst=0000&amp;submit=Consultar</vt:lpwstr>
      </vt:variant>
      <vt:variant>
        <vt:lpwstr/>
      </vt:variant>
      <vt:variant>
        <vt:i4>6160455</vt:i4>
      </vt:variant>
      <vt:variant>
        <vt:i4>9</vt:i4>
      </vt:variant>
      <vt:variant>
        <vt:i4>0</vt:i4>
      </vt:variant>
      <vt:variant>
        <vt:i4>5</vt:i4>
      </vt:variant>
      <vt:variant>
        <vt:lpwstr>http://aplicacao4.tst.jus.br/consultaProcessual/resumoForm.do?consulta=1&amp;numeroInt=230081&amp;anoInt=2016</vt:lpwstr>
      </vt:variant>
      <vt:variant>
        <vt:lpwstr/>
      </vt:variant>
      <vt:variant>
        <vt:i4>1048644</vt:i4>
      </vt:variant>
      <vt:variant>
        <vt:i4>6</vt:i4>
      </vt:variant>
      <vt:variant>
        <vt:i4>0</vt:i4>
      </vt:variant>
      <vt:variant>
        <vt:i4>5</vt:i4>
      </vt:variant>
      <vt:variant>
        <vt:lpwstr>http://aplicacao4.tst.jus.br/consultaProcessual/consultaTstNumUnica.do?consulta=Consultar&amp;conscsjt=&amp;numeroTst=225340&amp;digitoTst=83&amp;anoTst=1998&amp;orgaoTst=5&amp;tribunalTst=07&amp;varaTst=</vt:lpwstr>
      </vt:variant>
      <vt:variant>
        <vt:lpwstr/>
      </vt:variant>
      <vt:variant>
        <vt:i4>5767179</vt:i4>
      </vt:variant>
      <vt:variant>
        <vt:i4>3</vt:i4>
      </vt:variant>
      <vt:variant>
        <vt:i4>0</vt:i4>
      </vt:variant>
      <vt:variant>
        <vt:i4>5</vt:i4>
      </vt:variant>
      <vt:variant>
        <vt:lpwstr>http://aplicacao4.tst.jus.br/consultaProcessual/consultaTstNumUnica.do?consulta=Consultar&amp;conscsjt=&amp;numeroTst=386&amp;digitoTst=09&amp;anoTst=2017&amp;orgaoTst=5&amp;tribunalTst=11&amp;varaTst=0000</vt:lpwstr>
      </vt:variant>
      <vt:variant>
        <vt:lpwstr/>
      </vt:variant>
      <vt:variant>
        <vt:i4>7077995</vt:i4>
      </vt:variant>
      <vt:variant>
        <vt:i4>0</vt:i4>
      </vt:variant>
      <vt:variant>
        <vt:i4>0</vt:i4>
      </vt:variant>
      <vt:variant>
        <vt:i4>5</vt:i4>
      </vt:variant>
      <vt:variant>
        <vt:lpwstr>http://aplicacao4.tst.jus.br/consultaProcessual/consultaTstNumUnica.do?consulta=Consultar&amp;conscsjt=&amp;numeroTst=1000662&amp;digitoTst=58&amp;anoTst=2019&amp;orgaoTst=5&amp;tribunalTst=00&amp;varaTst=0000&amp;submit=Consultar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2</cp:revision>
  <cp:lastPrinted>2020-03-17T16:42:00Z</cp:lastPrinted>
  <dcterms:created xsi:type="dcterms:W3CDTF">2020-03-17T19:41:00Z</dcterms:created>
  <dcterms:modified xsi:type="dcterms:W3CDTF">2020-03-17T19:41:00Z</dcterms:modified>
</cp:coreProperties>
</file>