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4B3120" w:rsidTr="00E3622E"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E3622E" w:rsidRPr="004B3120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4B3120">
              <w:t>Este Informativo, elaborado a partir de notas tomadas nas sessões de julgamentos, contém resumos não</w:t>
            </w:r>
            <w:r w:rsidR="00DC50EB" w:rsidRPr="004B3120">
              <w:t xml:space="preserve"> </w:t>
            </w:r>
            <w:r w:rsidRPr="004B3120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4B3120">
              <w:t xml:space="preserve"> Eletrônico </w:t>
            </w:r>
            <w:r w:rsidRPr="004B3120">
              <w:t>da Justiça</w:t>
            </w:r>
            <w:r w:rsidR="00980944" w:rsidRPr="004B3120">
              <w:t xml:space="preserve"> do Trabalho</w:t>
            </w:r>
            <w:r w:rsidRPr="004B3120">
              <w:t>.</w:t>
            </w:r>
          </w:p>
          <w:p w:rsidR="00730CC7" w:rsidRPr="004B3120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6717E0" w:rsidRPr="006717E0" w:rsidRDefault="006717E0" w:rsidP="006717E0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lang w:val="pt-BR"/>
        </w:rPr>
      </w:pPr>
      <w:r w:rsidRPr="006717E0">
        <w:rPr>
          <w:rFonts w:ascii="Times New Roman" w:hAnsi="Times New Roman" w:cs="Times New Roman"/>
          <w:b/>
          <w:bCs/>
          <w:iCs/>
          <w:sz w:val="28"/>
          <w:lang w:val="pt-BR"/>
        </w:rPr>
        <w:t>SUBSEÇÃO II ESPECIALIZADA EM DISSÍDIOS INDIVIDUAIS</w:t>
      </w:r>
    </w:p>
    <w:p w:rsidR="007159C7" w:rsidRPr="00F74361" w:rsidRDefault="007159C7" w:rsidP="005848D7">
      <w:pPr>
        <w:pStyle w:val="Identificao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p w:rsidR="00237380" w:rsidRPr="004D4BF2" w:rsidRDefault="00237380" w:rsidP="00237380">
      <w:pPr>
        <w:jc w:val="both"/>
        <w:rPr>
          <w:b/>
          <w:i/>
          <w:sz w:val="24"/>
          <w:szCs w:val="24"/>
        </w:rPr>
      </w:pPr>
      <w:r w:rsidRPr="004D4BF2">
        <w:rPr>
          <w:b/>
          <w:i/>
          <w:sz w:val="24"/>
          <w:szCs w:val="24"/>
        </w:rPr>
        <w:t xml:space="preserve">Ação </w:t>
      </w:r>
      <w:r>
        <w:rPr>
          <w:b/>
          <w:i/>
          <w:sz w:val="24"/>
          <w:szCs w:val="24"/>
        </w:rPr>
        <w:t>r</w:t>
      </w:r>
      <w:r w:rsidRPr="004D4BF2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>scisória. Falecimento do réu</w:t>
      </w:r>
      <w:r w:rsidRPr="004D4BF2">
        <w:rPr>
          <w:b/>
          <w:i/>
          <w:sz w:val="24"/>
          <w:szCs w:val="24"/>
        </w:rPr>
        <w:t xml:space="preserve"> antes do ajuizamento da</w:t>
      </w:r>
      <w:r>
        <w:rPr>
          <w:b/>
          <w:i/>
          <w:sz w:val="24"/>
          <w:szCs w:val="24"/>
        </w:rPr>
        <w:t xml:space="preserve"> ação. Desconhecimento pela parte autora. Emenda à petição inicial. Possibilidade.  </w:t>
      </w:r>
      <w:proofErr w:type="spellStart"/>
      <w:r w:rsidRPr="004D4BF2">
        <w:rPr>
          <w:b/>
          <w:i/>
          <w:sz w:val="24"/>
          <w:szCs w:val="24"/>
        </w:rPr>
        <w:t>Art</w:t>
      </w:r>
      <w:r>
        <w:rPr>
          <w:b/>
          <w:i/>
          <w:sz w:val="24"/>
          <w:szCs w:val="24"/>
        </w:rPr>
        <w:t>s</w:t>
      </w:r>
      <w:proofErr w:type="spellEnd"/>
      <w:r w:rsidRPr="004D4BF2">
        <w:rPr>
          <w:b/>
          <w:i/>
          <w:sz w:val="24"/>
          <w:szCs w:val="24"/>
        </w:rPr>
        <w:t xml:space="preserve">. </w:t>
      </w:r>
      <w:proofErr w:type="gramStart"/>
      <w:r w:rsidRPr="004D4BF2">
        <w:rPr>
          <w:b/>
          <w:i/>
          <w:sz w:val="24"/>
          <w:szCs w:val="24"/>
        </w:rPr>
        <w:t>139, IX</w:t>
      </w:r>
      <w:r>
        <w:rPr>
          <w:b/>
          <w:i/>
          <w:sz w:val="24"/>
          <w:szCs w:val="24"/>
        </w:rPr>
        <w:t>,</w:t>
      </w:r>
      <w:r w:rsidRPr="004D4BF2">
        <w:rPr>
          <w:b/>
          <w:i/>
          <w:sz w:val="24"/>
          <w:szCs w:val="24"/>
        </w:rPr>
        <w:t xml:space="preserve"> e 317</w:t>
      </w:r>
      <w:proofErr w:type="gramEnd"/>
      <w:r w:rsidRPr="004D4BF2">
        <w:rPr>
          <w:b/>
          <w:i/>
          <w:sz w:val="24"/>
          <w:szCs w:val="24"/>
        </w:rPr>
        <w:t xml:space="preserve"> do C</w:t>
      </w:r>
      <w:r>
        <w:rPr>
          <w:b/>
          <w:i/>
          <w:sz w:val="24"/>
          <w:szCs w:val="24"/>
        </w:rPr>
        <w:t>PC de 2015</w:t>
      </w:r>
      <w:r w:rsidRPr="004D4BF2">
        <w:rPr>
          <w:b/>
          <w:i/>
          <w:sz w:val="24"/>
          <w:szCs w:val="24"/>
        </w:rPr>
        <w:t xml:space="preserve">.  </w:t>
      </w:r>
    </w:p>
    <w:p w:rsidR="00237380" w:rsidRPr="00A1483C" w:rsidRDefault="00237380" w:rsidP="002373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hipótese em que o autor, no momento do ajuizamento da ação rescisória, desconhecia o falecimento do réu, admite-se a emenda à petição inicial, pois a </w:t>
      </w:r>
      <w:proofErr w:type="spellStart"/>
      <w:r>
        <w:rPr>
          <w:sz w:val="24"/>
          <w:szCs w:val="24"/>
        </w:rPr>
        <w:t>sanabilidade</w:t>
      </w:r>
      <w:proofErr w:type="spellEnd"/>
      <w:r>
        <w:rPr>
          <w:sz w:val="24"/>
          <w:szCs w:val="24"/>
        </w:rPr>
        <w:t xml:space="preserve"> dos defeitos que possam impedir o exame do mérito é a regra adotada pelo CPC de 2015 (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139, IX, e 317</w:t>
      </w:r>
      <w:proofErr w:type="gramEnd"/>
      <w:r>
        <w:rPr>
          <w:sz w:val="24"/>
          <w:szCs w:val="24"/>
        </w:rPr>
        <w:t xml:space="preserve">), e o vício em questão pode ser facilmente suprido mediante a retificação do polo passivo. No caso, o TRT de origem, ao verificar que o falecimento do réu ocorreu antes da propositura da ação rescisória, manteve a decisão monocrática que extinguiu o processo, sem resolução de mérito, por ausência de pressuposto de constituição do processo referente à existência da parte. Sob esse entendimento, a SBDI-II, por unanimidade, conheceu do recurso ordinário do autor e, no mérito, por maioria, deu-lhe provimento para determinar o retorno dos autos à Corte de origem para a regularização do polo passivo e posterior retomada do curso legal do processo, como de direito. Vencido o Ministro </w:t>
      </w:r>
      <w:proofErr w:type="spellStart"/>
      <w:r>
        <w:rPr>
          <w:sz w:val="24"/>
          <w:szCs w:val="24"/>
        </w:rPr>
        <w:t>Emmanoel</w:t>
      </w:r>
      <w:proofErr w:type="spellEnd"/>
      <w:r>
        <w:rPr>
          <w:sz w:val="24"/>
          <w:szCs w:val="24"/>
        </w:rPr>
        <w:t xml:space="preserve"> Pereira, relator. </w:t>
      </w:r>
      <w:hyperlink r:id="rId9" w:history="1">
        <w:r w:rsidRPr="00A1483C">
          <w:rPr>
            <w:rStyle w:val="Hyperlink"/>
            <w:sz w:val="24"/>
            <w:szCs w:val="24"/>
          </w:rPr>
          <w:t>TST-RO-1001448-87.2015.5.02.0000</w:t>
        </w:r>
      </w:hyperlink>
      <w:r w:rsidRPr="004D4BF2">
        <w:rPr>
          <w:sz w:val="24"/>
          <w:szCs w:val="24"/>
          <w:u w:val="single"/>
        </w:rPr>
        <w:t>, SBDI-II</w:t>
      </w:r>
      <w:r w:rsidRPr="004D4BF2">
        <w:rPr>
          <w:sz w:val="24"/>
          <w:szCs w:val="24"/>
          <w:u w:val="single"/>
          <w:lang w:eastAsia="zh-CN"/>
        </w:rPr>
        <w:t xml:space="preserve">, </w:t>
      </w:r>
      <w:proofErr w:type="spellStart"/>
      <w:r>
        <w:rPr>
          <w:sz w:val="24"/>
          <w:szCs w:val="24"/>
          <w:u w:val="single"/>
          <w:lang w:eastAsia="zh-CN"/>
        </w:rPr>
        <w:t>rel</w:t>
      </w:r>
      <w:proofErr w:type="spellEnd"/>
      <w:r>
        <w:rPr>
          <w:sz w:val="24"/>
          <w:szCs w:val="24"/>
          <w:u w:val="single"/>
          <w:lang w:eastAsia="zh-CN"/>
        </w:rPr>
        <w:t xml:space="preserve">, Min. </w:t>
      </w:r>
      <w:proofErr w:type="spellStart"/>
      <w:r>
        <w:rPr>
          <w:sz w:val="24"/>
          <w:szCs w:val="24"/>
          <w:u w:val="single"/>
          <w:lang w:eastAsia="zh-CN"/>
        </w:rPr>
        <w:t>Emmanoel</w:t>
      </w:r>
      <w:proofErr w:type="spellEnd"/>
      <w:r>
        <w:rPr>
          <w:sz w:val="24"/>
          <w:szCs w:val="24"/>
          <w:u w:val="single"/>
          <w:lang w:eastAsia="zh-CN"/>
        </w:rPr>
        <w:t xml:space="preserve"> Pereira, </w:t>
      </w:r>
      <w:r w:rsidRPr="004D4BF2">
        <w:rPr>
          <w:sz w:val="24"/>
          <w:szCs w:val="24"/>
          <w:u w:val="single"/>
        </w:rPr>
        <w:t>red. p/ acórdão Min. Douglas Alencar Rodrigues,</w:t>
      </w:r>
      <w:r w:rsidRPr="004D4BF2">
        <w:rPr>
          <w:sz w:val="24"/>
          <w:szCs w:val="24"/>
          <w:u w:val="single"/>
          <w:lang w:eastAsia="zh-CN"/>
        </w:rPr>
        <w:t xml:space="preserve"> </w:t>
      </w:r>
      <w:proofErr w:type="gramStart"/>
      <w:r w:rsidRPr="004D4BF2">
        <w:rPr>
          <w:sz w:val="24"/>
          <w:szCs w:val="24"/>
          <w:u w:val="single"/>
          <w:lang w:eastAsia="zh-CN"/>
        </w:rPr>
        <w:t>15.10.2019</w:t>
      </w:r>
      <w:proofErr w:type="gramEnd"/>
    </w:p>
    <w:p w:rsidR="005848D7" w:rsidRPr="005848D7" w:rsidRDefault="005848D7" w:rsidP="00F53215">
      <w:pPr>
        <w:jc w:val="both"/>
        <w:rPr>
          <w:u w:val="single"/>
        </w:rPr>
      </w:pPr>
    </w:p>
    <w:p w:rsidR="009A76A2" w:rsidRPr="006717E0" w:rsidRDefault="009A76A2" w:rsidP="009A76A2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lang w:val="pt-BR"/>
        </w:rPr>
      </w:pPr>
      <w:r w:rsidRPr="006717E0">
        <w:rPr>
          <w:rFonts w:ascii="Times New Roman" w:hAnsi="Times New Roman" w:cs="Times New Roman"/>
          <w:b/>
          <w:bCs/>
          <w:iCs/>
          <w:sz w:val="28"/>
          <w:lang w:val="pt-BR"/>
        </w:rPr>
        <w:t>TUR</w:t>
      </w:r>
      <w:bookmarkStart w:id="0" w:name="_GoBack"/>
      <w:bookmarkEnd w:id="0"/>
      <w:r w:rsidRPr="006717E0">
        <w:rPr>
          <w:rFonts w:ascii="Times New Roman" w:hAnsi="Times New Roman" w:cs="Times New Roman"/>
          <w:b/>
          <w:bCs/>
          <w:iCs/>
          <w:sz w:val="28"/>
          <w:lang w:val="pt-BR"/>
        </w:rPr>
        <w:t>MAS</w:t>
      </w:r>
    </w:p>
    <w:p w:rsidR="009A76A2" w:rsidRPr="004B3120" w:rsidRDefault="009A76A2" w:rsidP="009A76A2">
      <w:pPr>
        <w:pStyle w:val="Cabealho"/>
        <w:tabs>
          <w:tab w:val="clear" w:pos="4419"/>
          <w:tab w:val="clear" w:pos="8838"/>
        </w:tabs>
        <w:jc w:val="center"/>
        <w:rPr>
          <w:i/>
        </w:rPr>
      </w:pPr>
      <w:r w:rsidRPr="004B3120">
        <w:rPr>
          <w:i/>
        </w:rPr>
        <w:t xml:space="preserve">Transcrição de ementas selecionadas </w:t>
      </w:r>
      <w:r w:rsidR="009D2FB1" w:rsidRPr="004B3120">
        <w:rPr>
          <w:i/>
        </w:rPr>
        <w:t>n</w:t>
      </w:r>
      <w:r w:rsidRPr="004B3120">
        <w:rPr>
          <w:i/>
        </w:rPr>
        <w:t>as sessões de julgamento das Turmas do TST.</w:t>
      </w:r>
    </w:p>
    <w:p w:rsidR="004B3120" w:rsidRPr="004B3120" w:rsidRDefault="004B3120" w:rsidP="004B3120">
      <w:pPr>
        <w:jc w:val="both"/>
        <w:outlineLvl w:val="0"/>
        <w:rPr>
          <w:rFonts w:eastAsiaTheme="minorEastAsia"/>
          <w:b/>
          <w:i/>
          <w:color w:val="000000"/>
        </w:rPr>
      </w:pPr>
      <w:bookmarkStart w:id="1" w:name="Ementa"/>
      <w:bookmarkStart w:id="2" w:name="tempEmenta"/>
    </w:p>
    <w:p w:rsidR="00237380" w:rsidRPr="00611A44" w:rsidRDefault="00237380" w:rsidP="00237380">
      <w:pPr>
        <w:jc w:val="both"/>
        <w:rPr>
          <w:sz w:val="24"/>
          <w:szCs w:val="24"/>
        </w:rPr>
      </w:pPr>
      <w:r w:rsidRPr="00611A44">
        <w:rPr>
          <w:i/>
          <w:sz w:val="24"/>
          <w:szCs w:val="24"/>
        </w:rPr>
        <w:t xml:space="preserve">“(...) </w:t>
      </w:r>
      <w:r w:rsidRPr="00611A44">
        <w:rPr>
          <w:bCs/>
          <w:i/>
          <w:sz w:val="24"/>
          <w:szCs w:val="24"/>
        </w:rPr>
        <w:t xml:space="preserve">DANOS MORAIS. SUPRESSÃO DA GRATIFICAÇÃO DE FUNÇÃO DURANTE O GOZO DE FÉRIAS. VIOLAÇÃO DA BOA-FÉ E DA DIGNIDADE DO TRABALHADOR. </w:t>
      </w:r>
      <w:proofErr w:type="gramStart"/>
      <w:r w:rsidRPr="00611A44">
        <w:rPr>
          <w:bCs/>
          <w:i/>
          <w:sz w:val="24"/>
          <w:szCs w:val="24"/>
        </w:rPr>
        <w:t>1</w:t>
      </w:r>
      <w:proofErr w:type="gramEnd"/>
      <w:r w:rsidRPr="00611A44">
        <w:rPr>
          <w:bCs/>
          <w:i/>
          <w:sz w:val="24"/>
          <w:szCs w:val="24"/>
        </w:rPr>
        <w:t xml:space="preserve">. </w:t>
      </w:r>
      <w:r w:rsidRPr="00611A44">
        <w:rPr>
          <w:i/>
          <w:sz w:val="24"/>
          <w:szCs w:val="24"/>
        </w:rPr>
        <w:t xml:space="preserve">Trata-se de hipótese em que o reclamante teve suprimida a gratificação de função em circunstâncias que violaram os princípios da boa-fé e da dignidade da pessoa humana. 2. Conforme consignou o Regional, o autor foi destituído do cargo de gerente quando estava em gozo de férias, sequer tomando ciência, e, após, passou a exercer a função de técnico bancário em um guichê. Além disso, o cargo de gerência ocupado pelo autor continuou a existir, ainda que sob outra denominação, tanto que veio um funcionário de fora para ocupá-lo. Concluiu as instâncias ordinárias, com base na prova produzida, que a destituição do cargo comissionado não se deu dentro dos limites do poder diretivo do empregador. 3. Assim, evidenciada a conduta ilícita do reclamado ao proceder ao </w:t>
      </w:r>
      <w:proofErr w:type="spellStart"/>
      <w:r w:rsidRPr="00611A44">
        <w:rPr>
          <w:i/>
          <w:sz w:val="24"/>
          <w:szCs w:val="24"/>
        </w:rPr>
        <w:t>descomissionamento</w:t>
      </w:r>
      <w:proofErr w:type="spellEnd"/>
      <w:r w:rsidRPr="00611A44">
        <w:rPr>
          <w:i/>
          <w:sz w:val="24"/>
          <w:szCs w:val="24"/>
        </w:rPr>
        <w:t xml:space="preserve"> do reclamante, é devida a indenização por danos morais, não havendo falar em violação dos artigos indicados. Recurso de revista não conhecido.”</w:t>
      </w:r>
      <w:r w:rsidRPr="00611A44">
        <w:rPr>
          <w:sz w:val="24"/>
          <w:szCs w:val="24"/>
        </w:rPr>
        <w:t xml:space="preserve"> (</w:t>
      </w:r>
      <w:hyperlink r:id="rId10" w:history="1">
        <w:r w:rsidRPr="00611A44">
          <w:rPr>
            <w:rStyle w:val="Hyperlink"/>
            <w:sz w:val="24"/>
            <w:szCs w:val="24"/>
          </w:rPr>
          <w:t>TST-RR-1308-20.2013.5.09.0041</w:t>
        </w:r>
      </w:hyperlink>
      <w:r w:rsidRPr="00611A44">
        <w:rPr>
          <w:sz w:val="24"/>
          <w:szCs w:val="24"/>
        </w:rPr>
        <w:t xml:space="preserve">, 2ª Turma, rel. Min. Maria Helena </w:t>
      </w:r>
      <w:proofErr w:type="spellStart"/>
      <w:r w:rsidRPr="00611A44">
        <w:rPr>
          <w:sz w:val="24"/>
          <w:szCs w:val="24"/>
        </w:rPr>
        <w:t>Mallmann</w:t>
      </w:r>
      <w:proofErr w:type="spellEnd"/>
      <w:r w:rsidRPr="00611A44">
        <w:rPr>
          <w:sz w:val="24"/>
          <w:szCs w:val="24"/>
        </w:rPr>
        <w:t>, julgado em 15.10.2019)</w:t>
      </w:r>
    </w:p>
    <w:p w:rsidR="00237380" w:rsidRPr="00237380" w:rsidRDefault="00237380" w:rsidP="00237380">
      <w:pPr>
        <w:jc w:val="both"/>
        <w:rPr>
          <w:i/>
        </w:rPr>
      </w:pPr>
    </w:p>
    <w:p w:rsidR="00237380" w:rsidRDefault="00237380" w:rsidP="00237380">
      <w:pPr>
        <w:jc w:val="both"/>
        <w:rPr>
          <w:bCs/>
          <w:sz w:val="24"/>
          <w:szCs w:val="24"/>
        </w:rPr>
      </w:pPr>
      <w:r w:rsidRPr="00611A44">
        <w:rPr>
          <w:i/>
          <w:sz w:val="24"/>
          <w:szCs w:val="24"/>
        </w:rPr>
        <w:t>“</w:t>
      </w:r>
      <w:r w:rsidRPr="00611A44">
        <w:rPr>
          <w:bCs/>
          <w:i/>
          <w:sz w:val="24"/>
          <w:szCs w:val="24"/>
        </w:rPr>
        <w:t xml:space="preserve">RECURSO DE REVISTA REGIDO PELA LEI 13.015/2014. AÇÃO CIVIL PÚBLICA. OBRIGAÇÃO DE NÃO FAZER. </w:t>
      </w:r>
      <w:r w:rsidRPr="00611A44">
        <w:rPr>
          <w:i/>
          <w:sz w:val="24"/>
          <w:szCs w:val="24"/>
        </w:rPr>
        <w:t>ACÚMULO DE FUNÇÕES</w:t>
      </w:r>
      <w:r w:rsidRPr="00611A44">
        <w:rPr>
          <w:bCs/>
          <w:i/>
          <w:sz w:val="24"/>
          <w:szCs w:val="24"/>
        </w:rPr>
        <w:t>.</w:t>
      </w:r>
      <w:r w:rsidRPr="00611A44">
        <w:rPr>
          <w:i/>
          <w:sz w:val="24"/>
          <w:szCs w:val="24"/>
        </w:rPr>
        <w:t xml:space="preserve"> </w:t>
      </w:r>
      <w:proofErr w:type="gramStart"/>
      <w:r w:rsidRPr="00611A44">
        <w:rPr>
          <w:i/>
          <w:sz w:val="24"/>
          <w:szCs w:val="24"/>
        </w:rPr>
        <w:t>1</w:t>
      </w:r>
      <w:proofErr w:type="gramEnd"/>
      <w:r w:rsidRPr="00611A44">
        <w:rPr>
          <w:i/>
          <w:sz w:val="24"/>
          <w:szCs w:val="24"/>
        </w:rPr>
        <w:t xml:space="preserve">. O parágrafo único do art. 456 da CLT dispõe que, à falta de determinação expressa em contrário, o empregado é obrigado a desempenhar na empresa atividade compatível com a sua qualificação. 2. Na hipótese, o fato de os </w:t>
      </w:r>
      <w:r w:rsidRPr="00611A44">
        <w:rPr>
          <w:i/>
          <w:sz w:val="24"/>
          <w:szCs w:val="24"/>
        </w:rPr>
        <w:lastRenderedPageBreak/>
        <w:t xml:space="preserve">empregados da ré, contratados como vendedores/atendentes, auxiliarem em outras tarefas compatíveis com sua função, como a organização, manutenção, e higienização dos medicamentos, não caracteriza efetivamente acúmulo de funções (Precedente). </w:t>
      </w:r>
      <w:r w:rsidRPr="00611A44">
        <w:rPr>
          <w:bCs/>
          <w:i/>
          <w:sz w:val="24"/>
          <w:szCs w:val="24"/>
        </w:rPr>
        <w:t>Recurso de revista conhecido e não provido.”</w:t>
      </w:r>
      <w:r w:rsidRPr="00611A44">
        <w:rPr>
          <w:bCs/>
          <w:sz w:val="24"/>
          <w:szCs w:val="24"/>
        </w:rPr>
        <w:t xml:space="preserve"> (</w:t>
      </w:r>
      <w:hyperlink r:id="rId11" w:history="1">
        <w:r w:rsidRPr="00611A44">
          <w:rPr>
            <w:rStyle w:val="Hyperlink"/>
            <w:sz w:val="24"/>
            <w:szCs w:val="24"/>
          </w:rPr>
          <w:t>TST-RR-2062-30.2013.5.03.0137</w:t>
        </w:r>
      </w:hyperlink>
      <w:r w:rsidRPr="00611A44">
        <w:rPr>
          <w:bCs/>
          <w:sz w:val="24"/>
          <w:szCs w:val="24"/>
        </w:rPr>
        <w:t xml:space="preserve">, 2ª Turma, rel. Min. </w:t>
      </w:r>
      <w:proofErr w:type="spellStart"/>
      <w:r w:rsidRPr="00611A44">
        <w:rPr>
          <w:bCs/>
          <w:sz w:val="24"/>
          <w:szCs w:val="24"/>
        </w:rPr>
        <w:t>Delaíde</w:t>
      </w:r>
      <w:proofErr w:type="spellEnd"/>
      <w:r w:rsidRPr="00611A44">
        <w:rPr>
          <w:bCs/>
          <w:sz w:val="24"/>
          <w:szCs w:val="24"/>
        </w:rPr>
        <w:t xml:space="preserve"> Miranda Arantes, julgado em 15.10.19)</w:t>
      </w:r>
    </w:p>
    <w:p w:rsidR="00237380" w:rsidRPr="00237380" w:rsidRDefault="00237380" w:rsidP="00237380">
      <w:pPr>
        <w:jc w:val="both"/>
      </w:pPr>
    </w:p>
    <w:p w:rsidR="00237380" w:rsidRDefault="00237380" w:rsidP="00237380">
      <w:pPr>
        <w:jc w:val="both"/>
        <w:rPr>
          <w:sz w:val="24"/>
          <w:szCs w:val="24"/>
        </w:rPr>
      </w:pPr>
      <w:r w:rsidRPr="00611A44">
        <w:rPr>
          <w:i/>
          <w:sz w:val="24"/>
          <w:szCs w:val="24"/>
        </w:rPr>
        <w:t xml:space="preserve">“(...) </w:t>
      </w:r>
      <w:r w:rsidRPr="00611A44">
        <w:rPr>
          <w:bCs/>
          <w:i/>
          <w:sz w:val="24"/>
          <w:szCs w:val="24"/>
        </w:rPr>
        <w:t>MOMENTO DA INCIDÊNCIA DE JUROS E CORREÇÃO MONETÁRIA SOBRE MULTAS DECORRENTES DO DESCUMPRIMENTO DE OBRIGAÇÕES DE FAZER. OFENSA À COISA JULGADA. O Tribunal a quo confirmou a sentença de liquidação pela qual foi determinada a incidência de juros e correção monetária "</w:t>
      </w:r>
      <w:r w:rsidRPr="00611A44">
        <w:rPr>
          <w:i/>
          <w:iCs/>
          <w:sz w:val="24"/>
          <w:szCs w:val="24"/>
        </w:rPr>
        <w:t xml:space="preserve">sobre a multa desde 26/09/1997", data em que foi proferida a decisão exequenda, transitada em julgado "em 02/07/2002". Entendeu o Regional que </w:t>
      </w:r>
      <w:r w:rsidRPr="00611A44">
        <w:rPr>
          <w:bCs/>
          <w:i/>
          <w:sz w:val="24"/>
          <w:szCs w:val="24"/>
        </w:rPr>
        <w:t xml:space="preserve">"a </w:t>
      </w:r>
      <w:r w:rsidRPr="00611A44">
        <w:rPr>
          <w:i/>
          <w:iCs/>
          <w:sz w:val="24"/>
          <w:szCs w:val="24"/>
        </w:rPr>
        <w:t xml:space="preserve">decisão relativa à incidência, de juros, e correção monetária transitou em julgado" e que </w:t>
      </w:r>
      <w:proofErr w:type="gramStart"/>
      <w:r w:rsidRPr="00611A44">
        <w:rPr>
          <w:i/>
          <w:iCs/>
          <w:sz w:val="24"/>
          <w:szCs w:val="24"/>
        </w:rPr>
        <w:t>"a correção monetária incide sobre a multa desde 26/09/1997, data da prolação da Sentença proferida na Ação Civil Pública, e se mostra essencial, para garantir a sua efetividade.</w:t>
      </w:r>
      <w:proofErr w:type="gramEnd"/>
      <w:r w:rsidRPr="00611A44">
        <w:rPr>
          <w:i/>
          <w:iCs/>
          <w:sz w:val="24"/>
          <w:szCs w:val="24"/>
        </w:rPr>
        <w:t xml:space="preserve"> </w:t>
      </w:r>
      <w:proofErr w:type="gramStart"/>
      <w:r w:rsidRPr="00611A44">
        <w:rPr>
          <w:i/>
          <w:iCs/>
          <w:sz w:val="24"/>
          <w:szCs w:val="24"/>
        </w:rPr>
        <w:t>Do Contrário, o valor fixado poderia se tornar irrisório"</w:t>
      </w:r>
      <w:proofErr w:type="gramEnd"/>
      <w:r w:rsidRPr="00611A44">
        <w:rPr>
          <w:i/>
          <w:iCs/>
          <w:sz w:val="24"/>
          <w:szCs w:val="24"/>
        </w:rPr>
        <w:t xml:space="preserve">. </w:t>
      </w:r>
      <w:r w:rsidRPr="00611A44">
        <w:rPr>
          <w:bCs/>
          <w:i/>
          <w:sz w:val="24"/>
          <w:szCs w:val="24"/>
        </w:rPr>
        <w:t xml:space="preserve">In </w:t>
      </w:r>
      <w:proofErr w:type="spellStart"/>
      <w:r w:rsidRPr="00611A44">
        <w:rPr>
          <w:bCs/>
          <w:i/>
          <w:sz w:val="24"/>
          <w:szCs w:val="24"/>
        </w:rPr>
        <w:t>casu</w:t>
      </w:r>
      <w:proofErr w:type="spellEnd"/>
      <w:r w:rsidRPr="00611A44">
        <w:rPr>
          <w:bCs/>
          <w:i/>
          <w:sz w:val="24"/>
          <w:szCs w:val="24"/>
        </w:rPr>
        <w:t xml:space="preserve">, pela sentença exequenda, julgou-se "PROCEDENTE EM PARTE a ação civil pública ajuizada pelo MINISTÉRIO PÚBLICO DO TRABALHO contra o BANCO REAL S/A, nos termos da fundamentação, para condenar a reclamada a </w:t>
      </w:r>
      <w:r w:rsidRPr="00611A44">
        <w:rPr>
          <w:i/>
          <w:sz w:val="24"/>
          <w:szCs w:val="24"/>
        </w:rPr>
        <w:t xml:space="preserve">fazer com que seus empregados registrem a real e efetiva jornada laborada, além de conceder-lhes e fazer com que também registrem os intervalos para repouso e alimentação previstos no art. 71 e seu </w:t>
      </w:r>
      <w:proofErr w:type="spellStart"/>
      <w:r w:rsidRPr="00611A44">
        <w:rPr>
          <w:i/>
          <w:sz w:val="24"/>
          <w:szCs w:val="24"/>
        </w:rPr>
        <w:t>parág</w:t>
      </w:r>
      <w:proofErr w:type="spellEnd"/>
      <w:r w:rsidRPr="00611A44">
        <w:rPr>
          <w:i/>
          <w:sz w:val="24"/>
          <w:szCs w:val="24"/>
        </w:rPr>
        <w:t xml:space="preserve">. 1º, da CLT; </w:t>
      </w:r>
      <w:proofErr w:type="gramStart"/>
      <w:r w:rsidRPr="00611A44">
        <w:rPr>
          <w:i/>
          <w:sz w:val="24"/>
          <w:szCs w:val="24"/>
        </w:rPr>
        <w:t>sob pena</w:t>
      </w:r>
      <w:proofErr w:type="gramEnd"/>
      <w:r w:rsidRPr="00611A44">
        <w:rPr>
          <w:i/>
          <w:sz w:val="24"/>
          <w:szCs w:val="24"/>
        </w:rPr>
        <w:t xml:space="preserve"> de, não o fazendo, arcar com multa diária, em favor da União Federal, no valor de R$ 1.000,00 (um mil reais) por cada empregado e por cada irregularidade constatada nas agências. Postos de Atendimento e demais unidades da reclamada, onde se verificar desobediência a presente decisão. Custas de R$240,00, calculadas sobre R$12.000,00, pela reclamada, complementáveis ao final. </w:t>
      </w:r>
      <w:proofErr w:type="gramStart"/>
      <w:r w:rsidRPr="00611A44">
        <w:rPr>
          <w:i/>
          <w:sz w:val="24"/>
          <w:szCs w:val="24"/>
        </w:rPr>
        <w:t>Juros e correção monetária na forma da lei"</w:t>
      </w:r>
      <w:proofErr w:type="gramEnd"/>
      <w:r w:rsidRPr="00611A44">
        <w:rPr>
          <w:i/>
          <w:sz w:val="24"/>
          <w:szCs w:val="24"/>
        </w:rPr>
        <w:t xml:space="preserve">. Impõe salientar que </w:t>
      </w:r>
      <w:r w:rsidRPr="00611A44">
        <w:rPr>
          <w:i/>
          <w:iCs/>
          <w:sz w:val="24"/>
          <w:szCs w:val="24"/>
        </w:rPr>
        <w:t>o descumprimento das obrigações de fazer impostas ao réu foi comprovado por meio de peças do "Processo 427-2006-10304-00-7</w:t>
      </w:r>
      <w:r w:rsidRPr="00611A44">
        <w:rPr>
          <w:i/>
          <w:sz w:val="24"/>
          <w:szCs w:val="24"/>
        </w:rPr>
        <w:t xml:space="preserve">", em que o réu foi condenado ao pagamento de horas extras à reclamante "decorrentes de excesso diários não, assinalados nos registros de ponto e horas extras pela concessão do intervalo intrajornada de 15 minutos", no período da contratação da trabalhadora no referido processo – de 15/8/2002 a março de 2005. Discute-se, pois, se foi determinada, na sentença exequenda, a incidência de correção monetária e de juros de mora nas multas por descumprimento de fazer a partir de </w:t>
      </w:r>
      <w:r w:rsidRPr="00611A44">
        <w:rPr>
          <w:i/>
          <w:iCs/>
          <w:sz w:val="24"/>
          <w:szCs w:val="24"/>
        </w:rPr>
        <w:t>26/9/97, quando foi proferida essa decisão, como decidiu o Regional no acórdão proferido no agravo de petição interposto pelo réu. O comando exequendo estabeleceu que o réu, pelo descumprimento das obrigações, arcaria "</w:t>
      </w:r>
      <w:r w:rsidRPr="00611A44">
        <w:rPr>
          <w:i/>
          <w:sz w:val="24"/>
          <w:szCs w:val="24"/>
        </w:rPr>
        <w:t xml:space="preserve">com multa diária, em favor da União Federal, no valor de R$ 1.000,00 (um mil reais) por cada empregado e por cada irregularidade constatada". Pela expressão "juros e correção monetária na forma da lei", também constante da sentença exequenda, não foi determinada a incidência da correção monetária e de juros de mora a partir da data em que foi proferida essa decisão, em que não havia sido constatado o descumprimento de obrigação de fazer. Frisa-se que o Ministério Público do Trabalho, na petição inicial da ação civil pública, pleiteou a condenação do réu nas obrigações de fazer, "sob pena do pagamento de multa diária em favor da União Federal no valor de Cr$50.000.000,00 (cinquenta milhões de cruzeiros), </w:t>
      </w:r>
      <w:r w:rsidRPr="00611A44">
        <w:rPr>
          <w:i/>
          <w:sz w:val="24"/>
          <w:szCs w:val="24"/>
          <w:u w:val="single"/>
        </w:rPr>
        <w:t>corrigidos mensalmente</w:t>
      </w:r>
      <w:r w:rsidRPr="00611A44">
        <w:rPr>
          <w:i/>
          <w:sz w:val="24"/>
          <w:szCs w:val="24"/>
        </w:rPr>
        <w:t xml:space="preserve"> pela variação do INPC-IBGE desde o ajuizamento da ação, para cada violação do preceito (por empregado e por cada irregularidade constatada)" (grifou-se). Verifica-se, pois, que não foi julgado procedente pedido de correção monetária mensal a partir do ajuizamento da ação ou da data em que foi proferida a sentença exequenda. Por outro lado, impõe salientar que também não foi </w:t>
      </w:r>
      <w:proofErr w:type="gramStart"/>
      <w:r w:rsidRPr="00611A44">
        <w:rPr>
          <w:i/>
          <w:sz w:val="24"/>
          <w:szCs w:val="24"/>
        </w:rPr>
        <w:t>determinada</w:t>
      </w:r>
      <w:proofErr w:type="gramEnd"/>
      <w:r w:rsidRPr="00611A44">
        <w:rPr>
          <w:i/>
          <w:sz w:val="24"/>
          <w:szCs w:val="24"/>
        </w:rPr>
        <w:t xml:space="preserve">, na decisão exequenda, a aplicação de correção monetária e de juros a partir da data em que foi proferida (em </w:t>
      </w:r>
      <w:r w:rsidRPr="00611A44">
        <w:rPr>
          <w:i/>
          <w:iCs/>
          <w:sz w:val="24"/>
          <w:szCs w:val="24"/>
        </w:rPr>
        <w:t>26/9/97)</w:t>
      </w:r>
      <w:r w:rsidRPr="00611A44">
        <w:rPr>
          <w:i/>
          <w:sz w:val="24"/>
          <w:szCs w:val="24"/>
        </w:rPr>
        <w:t xml:space="preserve">, na medida em que a multa foi condicionada ao descumprimento das obrigações, o que somente veio ocorrer posteriormente (contrato de trabalho iniciado em 15/8/2002 - autos do </w:t>
      </w:r>
      <w:r w:rsidRPr="00611A44">
        <w:rPr>
          <w:i/>
          <w:iCs/>
          <w:sz w:val="24"/>
          <w:szCs w:val="24"/>
        </w:rPr>
        <w:t>Processo 427-2006-10304-00-7</w:t>
      </w:r>
      <w:r w:rsidRPr="00611A44">
        <w:rPr>
          <w:i/>
          <w:sz w:val="24"/>
          <w:szCs w:val="24"/>
        </w:rPr>
        <w:t>). Dessa forma, o Tribunal a quo, ao confirmar a sentença pela qual foi mantida a incidência de correção monetária e de juros de mora sobre as multas a partir da data da sentença exequenda (</w:t>
      </w:r>
      <w:r w:rsidRPr="00611A44">
        <w:rPr>
          <w:i/>
          <w:iCs/>
          <w:sz w:val="24"/>
          <w:szCs w:val="24"/>
        </w:rPr>
        <w:t xml:space="preserve">26/9/97), </w:t>
      </w:r>
      <w:r w:rsidRPr="00611A44">
        <w:rPr>
          <w:i/>
          <w:sz w:val="24"/>
          <w:szCs w:val="24"/>
        </w:rPr>
        <w:t xml:space="preserve">afrontou o artigo 5º, inciso </w:t>
      </w:r>
      <w:r w:rsidRPr="00611A44">
        <w:rPr>
          <w:i/>
          <w:sz w:val="24"/>
          <w:szCs w:val="24"/>
        </w:rPr>
        <w:lastRenderedPageBreak/>
        <w:t>XXXVI, da Constituição Federal.</w:t>
      </w:r>
      <w:r>
        <w:rPr>
          <w:bCs/>
          <w:i/>
          <w:sz w:val="24"/>
          <w:szCs w:val="24"/>
        </w:rPr>
        <w:t xml:space="preserve"> </w:t>
      </w:r>
      <w:proofErr w:type="gramStart"/>
      <w:r w:rsidRPr="00611A44">
        <w:rPr>
          <w:i/>
          <w:sz w:val="24"/>
          <w:szCs w:val="24"/>
        </w:rPr>
        <w:t>Recurso de revista conhecido e provido.”</w:t>
      </w:r>
      <w:proofErr w:type="gramEnd"/>
      <w:r w:rsidRPr="00611A44">
        <w:rPr>
          <w:sz w:val="24"/>
          <w:szCs w:val="24"/>
        </w:rPr>
        <w:t xml:space="preserve"> (</w:t>
      </w:r>
      <w:hyperlink r:id="rId12" w:history="1">
        <w:r w:rsidRPr="00611A44">
          <w:rPr>
            <w:rStyle w:val="Hyperlink"/>
            <w:sz w:val="24"/>
            <w:szCs w:val="24"/>
          </w:rPr>
          <w:t>TST-ARR-64400-13.1993.5.04.0008</w:t>
        </w:r>
      </w:hyperlink>
      <w:r w:rsidRPr="00611A44">
        <w:rPr>
          <w:sz w:val="24"/>
          <w:szCs w:val="24"/>
        </w:rPr>
        <w:t>, 2ª Turma, rel. Min. José Roberto Freire Pimenta, julgado em 15.10.2019)</w:t>
      </w:r>
    </w:p>
    <w:p w:rsidR="00237380" w:rsidRDefault="00237380" w:rsidP="00237380"/>
    <w:p w:rsidR="00237380" w:rsidRDefault="00237380" w:rsidP="00237380">
      <w:pPr>
        <w:jc w:val="both"/>
        <w:rPr>
          <w:sz w:val="24"/>
          <w:szCs w:val="24"/>
        </w:rPr>
      </w:pPr>
      <w:r w:rsidRPr="00611A44">
        <w:rPr>
          <w:i/>
          <w:sz w:val="24"/>
          <w:szCs w:val="24"/>
        </w:rPr>
        <w:t xml:space="preserve">“(...) </w:t>
      </w:r>
      <w:proofErr w:type="gramStart"/>
      <w:r w:rsidRPr="00611A44">
        <w:rPr>
          <w:i/>
          <w:sz w:val="24"/>
          <w:szCs w:val="24"/>
        </w:rPr>
        <w:t>2</w:t>
      </w:r>
      <w:proofErr w:type="gramEnd"/>
      <w:r w:rsidRPr="00611A44">
        <w:rPr>
          <w:i/>
          <w:sz w:val="24"/>
          <w:szCs w:val="24"/>
        </w:rPr>
        <w:t xml:space="preserve">. </w:t>
      </w:r>
      <w:r w:rsidRPr="00611A44">
        <w:rPr>
          <w:bCs/>
          <w:i/>
          <w:sz w:val="24"/>
          <w:szCs w:val="24"/>
        </w:rPr>
        <w:t xml:space="preserve">COMPETÊNCIA DA JUSTIÇA DO TRABALHO. DEVEDOR PRINCIPAL SUBMETIDO À RECUPERAÇÃO JUDICIAL. </w:t>
      </w:r>
      <w:r w:rsidRPr="00611A44">
        <w:rPr>
          <w:i/>
          <w:sz w:val="24"/>
          <w:szCs w:val="24"/>
        </w:rPr>
        <w:t>REDIRECIONAMENTO DE EXECUÇÃO CONTRA OS SÓCIOS. O redirecionamento da execução contra sócio da empresa submetida à recuperação judicial não extrapola a competência constitucional desta Justiça Especializada. Precedentes. Agravo de instrumento conhecido e desprovido.”</w:t>
      </w:r>
      <w:r w:rsidRPr="00611A44">
        <w:rPr>
          <w:sz w:val="24"/>
          <w:szCs w:val="24"/>
        </w:rPr>
        <w:t xml:space="preserve"> (</w:t>
      </w:r>
      <w:hyperlink r:id="rId13" w:history="1">
        <w:r w:rsidRPr="00611A44">
          <w:rPr>
            <w:rStyle w:val="Hyperlink"/>
            <w:sz w:val="24"/>
            <w:szCs w:val="24"/>
          </w:rPr>
          <w:t>TST-AIRR-3-47.2017.5.02.0011</w:t>
        </w:r>
      </w:hyperlink>
      <w:r w:rsidRPr="00611A44">
        <w:rPr>
          <w:sz w:val="24"/>
          <w:szCs w:val="24"/>
        </w:rPr>
        <w:t xml:space="preserve">, 3ª Turma, rel. Min. Alberto Luiz </w:t>
      </w:r>
      <w:proofErr w:type="spellStart"/>
      <w:r w:rsidRPr="00611A44">
        <w:rPr>
          <w:sz w:val="24"/>
          <w:szCs w:val="24"/>
        </w:rPr>
        <w:t>Bresciani</w:t>
      </w:r>
      <w:proofErr w:type="spellEnd"/>
      <w:r w:rsidRPr="00611A44">
        <w:rPr>
          <w:sz w:val="24"/>
          <w:szCs w:val="24"/>
        </w:rPr>
        <w:t xml:space="preserve"> de </w:t>
      </w:r>
      <w:proofErr w:type="spellStart"/>
      <w:r w:rsidRPr="00611A44">
        <w:rPr>
          <w:sz w:val="24"/>
          <w:szCs w:val="24"/>
        </w:rPr>
        <w:t>Fontan</w:t>
      </w:r>
      <w:proofErr w:type="spellEnd"/>
      <w:r w:rsidRPr="00611A44">
        <w:rPr>
          <w:sz w:val="24"/>
          <w:szCs w:val="24"/>
        </w:rPr>
        <w:t xml:space="preserve"> Pereira, julgado em 16.10.2019)</w:t>
      </w:r>
    </w:p>
    <w:p w:rsidR="00237380" w:rsidRPr="00237380" w:rsidRDefault="00237380" w:rsidP="00237380">
      <w:pPr>
        <w:jc w:val="both"/>
        <w:rPr>
          <w:b/>
          <w:color w:val="FF0000"/>
          <w:u w:val="single"/>
        </w:rPr>
      </w:pPr>
    </w:p>
    <w:p w:rsidR="00237380" w:rsidRPr="00611A44" w:rsidRDefault="00237380" w:rsidP="00237380">
      <w:pPr>
        <w:jc w:val="both"/>
        <w:rPr>
          <w:sz w:val="24"/>
          <w:szCs w:val="24"/>
        </w:rPr>
      </w:pPr>
      <w:r w:rsidRPr="00611A44">
        <w:rPr>
          <w:i/>
          <w:sz w:val="24"/>
          <w:szCs w:val="24"/>
        </w:rPr>
        <w:t xml:space="preserve">“(...) </w:t>
      </w:r>
      <w:proofErr w:type="gramStart"/>
      <w:r w:rsidRPr="00611A44">
        <w:rPr>
          <w:i/>
          <w:sz w:val="24"/>
          <w:szCs w:val="24"/>
        </w:rPr>
        <w:t>2</w:t>
      </w:r>
      <w:proofErr w:type="gramEnd"/>
      <w:r w:rsidRPr="00611A44">
        <w:rPr>
          <w:i/>
          <w:sz w:val="24"/>
          <w:szCs w:val="24"/>
        </w:rPr>
        <w:t xml:space="preserve">) CONTRATO ESPECIAL DE TRABALHO DESPORTIVO. JOGADOR DE FUTEBOL. DIREITOS ECONÔMICOS. CESSÃO AO ATLETA. SISTEMA FIFA/CBF. POSSIBILIDADE. ATO JURÍDICO PERFEITO. CONHECIMENTO E PROVIMENTO.I. O Contrato Especial de Trabalho Desportivo – CETD, que satisfaz todos os requisitos formais para gerar a plenitude de seus efeitos, segundo as normas vigentes à época da celebração, constitui-se em ato jurídico perfeito, protegido constitucionalmente (art. 5º, XXXVI, da Constituição Federal). II. As normas desportivas internacionais estabelecidas pela FIFA dependem de incorporação pela CBF para validade e vigência, seja pela autonomia conferida pelo inc. I do art. 217 da Constituição Federal, seja pelo princípio da soberania, caracterizado pela supremacia nacional na organização da prática desportiva, nos termos do inc. I do art. 2º da Lei nº 9.615/1998 (Lei Pelé). Assim, o Regulamento sobre o Estatuto e a Transferência de Jogadores da FIFA, para vigência e observância internas, precisa ser aprovado e incorporado por Resolução da CBF, ainda que sem modificação, em razão de seu caráter vinculativo. Tal ocorre para preservar a estabilidade das relações contratuais (ato jurídico perfeito) estabelecidas conforme as regras de regência vigentes à época de sua constituição. III. A autonomia conferida pelo inc. I do art. 217 da Constituição Federal não é absoluto e incide no âmbito da organização e funcionamento das entidades desportivas, conforme já se pronunciou o Supremo Tribunal Federal no julgamento da ADI 2.937/DF, Rel. Min. Cezar </w:t>
      </w:r>
      <w:proofErr w:type="spellStart"/>
      <w:r w:rsidRPr="00611A44">
        <w:rPr>
          <w:i/>
          <w:sz w:val="24"/>
          <w:szCs w:val="24"/>
        </w:rPr>
        <w:t>Peluzo</w:t>
      </w:r>
      <w:proofErr w:type="spellEnd"/>
      <w:r w:rsidRPr="00611A44">
        <w:rPr>
          <w:i/>
          <w:sz w:val="24"/>
          <w:szCs w:val="24"/>
        </w:rPr>
        <w:t xml:space="preserve">. </w:t>
      </w:r>
      <w:proofErr w:type="spellStart"/>
      <w:r w:rsidRPr="00611A44">
        <w:rPr>
          <w:i/>
          <w:sz w:val="24"/>
          <w:szCs w:val="24"/>
        </w:rPr>
        <w:t>Julg</w:t>
      </w:r>
      <w:proofErr w:type="spellEnd"/>
      <w:r w:rsidRPr="00611A44">
        <w:rPr>
          <w:i/>
          <w:sz w:val="24"/>
          <w:szCs w:val="24"/>
        </w:rPr>
        <w:t xml:space="preserve">. 23/02/2012. IV. Assim, válido o contrato especial de trabalho desportivo, pois firmado por (a) agentes capazes, (b) observada as formalidades legais e (c) de conformidade com as regras vigências à época, a sua inexecução parcial por parte do atleta, embora não torne exigível o pagamento do valor previsto na Cláusula Indenizatória Desportiva a que alude o art. 28, I, da Lei Pelé, impõe a obrigação de reparação por perdas e danos na </w:t>
      </w:r>
      <w:proofErr w:type="gramStart"/>
      <w:r w:rsidRPr="00611A44">
        <w:rPr>
          <w:i/>
          <w:sz w:val="24"/>
          <w:szCs w:val="24"/>
        </w:rPr>
        <w:t>esteira</w:t>
      </w:r>
      <w:proofErr w:type="gramEnd"/>
      <w:r w:rsidRPr="00611A44">
        <w:rPr>
          <w:i/>
          <w:sz w:val="24"/>
          <w:szCs w:val="24"/>
        </w:rPr>
        <w:t xml:space="preserve"> do art. 389 do Código Civil, cujo valor deve levar em consideração a valorização do jogador no mercado do futebol no prazo em que vigorou o contrato de emprego (art. 402 do Código Civil). V</w:t>
      </w:r>
      <w:proofErr w:type="gramStart"/>
      <w:r w:rsidRPr="00611A44">
        <w:rPr>
          <w:i/>
          <w:sz w:val="24"/>
          <w:szCs w:val="24"/>
        </w:rPr>
        <w:t>. Recurso de revista de que se conhece, por violação do art. 5º, XXXVI, da Constituição Federal, e a que se dá provimento.”</w:t>
      </w:r>
      <w:proofErr w:type="gramEnd"/>
      <w:r w:rsidRPr="00611A44">
        <w:rPr>
          <w:sz w:val="24"/>
          <w:szCs w:val="24"/>
        </w:rPr>
        <w:t xml:space="preserve"> (</w:t>
      </w:r>
      <w:hyperlink r:id="rId14" w:history="1">
        <w:r w:rsidRPr="00611A44">
          <w:rPr>
            <w:rStyle w:val="Hyperlink"/>
            <w:sz w:val="24"/>
            <w:szCs w:val="24"/>
          </w:rPr>
          <w:t>TST-AIRR-11702-82.2015.5.01.0027</w:t>
        </w:r>
      </w:hyperlink>
      <w:r w:rsidRPr="00611A44">
        <w:rPr>
          <w:sz w:val="24"/>
          <w:szCs w:val="24"/>
        </w:rPr>
        <w:t>, 4ª Turma, rel. Min. Alexandre Luiz Ramos, julgado em 16.10.2019)</w:t>
      </w:r>
    </w:p>
    <w:bookmarkEnd w:id="1"/>
    <w:bookmarkEnd w:id="2"/>
    <w:p w:rsidR="00CA4AE6" w:rsidRPr="004B3120" w:rsidRDefault="00CA4AE6" w:rsidP="00C6738C">
      <w:pPr>
        <w:rPr>
          <w:sz w:val="10"/>
          <w:szCs w:val="10"/>
        </w:rPr>
      </w:pPr>
    </w:p>
    <w:p w:rsidR="00CA4AE6" w:rsidRPr="004B3120" w:rsidRDefault="00CA4AE6" w:rsidP="00C6738C">
      <w:pPr>
        <w:rPr>
          <w:sz w:val="10"/>
          <w:szCs w:val="10"/>
        </w:rPr>
      </w:pPr>
    </w:p>
    <w:p w:rsidR="00CA4AE6" w:rsidRPr="004B3120" w:rsidRDefault="00CA4AE6" w:rsidP="00C6738C">
      <w:pPr>
        <w:rPr>
          <w:sz w:val="10"/>
          <w:szCs w:val="10"/>
        </w:rPr>
      </w:pPr>
    </w:p>
    <w:p w:rsidR="00CA4AE6" w:rsidRPr="004B3120" w:rsidRDefault="00CA4AE6" w:rsidP="00C6738C">
      <w:pPr>
        <w:rPr>
          <w:sz w:val="10"/>
          <w:szCs w:val="10"/>
        </w:rPr>
      </w:pPr>
    </w:p>
    <w:p w:rsidR="00E3622E" w:rsidRPr="004B3120" w:rsidRDefault="00E3622E" w:rsidP="00C6738C">
      <w:pPr>
        <w:rPr>
          <w:sz w:val="10"/>
          <w:szCs w:val="10"/>
        </w:rPr>
      </w:pPr>
    </w:p>
    <w:p w:rsidR="00184590" w:rsidRPr="004B312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4B3120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4B312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4B3120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7F02D5" w:rsidRPr="004B3120" w:rsidRDefault="007F02D5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7614F1" w:rsidRPr="004B3120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4B3120">
        <w:rPr>
          <w:snapToGrid w:val="0"/>
          <w:sz w:val="25"/>
          <w:szCs w:val="25"/>
        </w:rPr>
        <w:t>Informações/Sugestões/Críticas: (61)3043</w:t>
      </w:r>
      <w:r w:rsidR="00352B27" w:rsidRPr="004B3120">
        <w:rPr>
          <w:snapToGrid w:val="0"/>
          <w:sz w:val="25"/>
          <w:szCs w:val="25"/>
        </w:rPr>
        <w:t>-</w:t>
      </w:r>
      <w:r w:rsidRPr="004B3120">
        <w:rPr>
          <w:snapToGrid w:val="0"/>
          <w:sz w:val="25"/>
          <w:szCs w:val="25"/>
        </w:rPr>
        <w:t>4</w:t>
      </w:r>
      <w:r w:rsidR="000303C3" w:rsidRPr="004B3120">
        <w:rPr>
          <w:snapToGrid w:val="0"/>
          <w:sz w:val="25"/>
          <w:szCs w:val="25"/>
        </w:rPr>
        <w:t>612</w:t>
      </w:r>
      <w:r w:rsidR="007F02D5" w:rsidRPr="004B3120">
        <w:rPr>
          <w:snapToGrid w:val="0"/>
          <w:sz w:val="25"/>
          <w:szCs w:val="25"/>
        </w:rPr>
        <w:t xml:space="preserve"> ou </w:t>
      </w:r>
      <w:hyperlink r:id="rId15" w:history="1">
        <w:r w:rsidR="005F0522" w:rsidRPr="004B3120">
          <w:rPr>
            <w:rStyle w:val="Hyperlink"/>
            <w:snapToGrid w:val="0"/>
            <w:sz w:val="25"/>
            <w:szCs w:val="25"/>
          </w:rPr>
          <w:t>cjur@tst.jus.br</w:t>
        </w:r>
      </w:hyperlink>
    </w:p>
    <w:p w:rsidR="007F02D5" w:rsidRPr="004B3120" w:rsidRDefault="007F02D5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B15004" w:rsidRPr="004B3120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4B3120">
        <w:rPr>
          <w:snapToGrid w:val="0"/>
          <w:sz w:val="25"/>
          <w:szCs w:val="25"/>
        </w:rPr>
        <w:t xml:space="preserve">Para acessar todas as edições: </w:t>
      </w:r>
      <w:hyperlink r:id="rId16" w:history="1">
        <w:r w:rsidR="00B15004" w:rsidRPr="004B3120">
          <w:rPr>
            <w:rStyle w:val="Hyperlink"/>
            <w:snapToGrid w:val="0"/>
            <w:sz w:val="25"/>
            <w:szCs w:val="25"/>
          </w:rPr>
          <w:t>http://www.tst.jus.br/web/guest/informativo-tst</w:t>
        </w:r>
      </w:hyperlink>
    </w:p>
    <w:p w:rsidR="00B15004" w:rsidRPr="004B3120" w:rsidRDefault="00B15004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9E534D" w:rsidRPr="004B3120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4B3120">
        <w:rPr>
          <w:snapToGrid w:val="0"/>
          <w:sz w:val="25"/>
          <w:szCs w:val="25"/>
        </w:rPr>
        <w:t xml:space="preserve">Para receber via </w:t>
      </w:r>
      <w:r w:rsidRPr="004B3120">
        <w:rPr>
          <w:i/>
          <w:snapToGrid w:val="0"/>
          <w:sz w:val="25"/>
          <w:szCs w:val="25"/>
        </w:rPr>
        <w:t>e-mail</w:t>
      </w:r>
      <w:r w:rsidRPr="004B3120">
        <w:rPr>
          <w:snapToGrid w:val="0"/>
          <w:sz w:val="25"/>
          <w:szCs w:val="25"/>
        </w:rPr>
        <w:t xml:space="preserve">: </w:t>
      </w:r>
      <w:hyperlink r:id="rId17" w:history="1">
        <w:r w:rsidRPr="004B3120">
          <w:rPr>
            <w:rStyle w:val="Hyperlink"/>
            <w:snapToGrid w:val="0"/>
            <w:sz w:val="25"/>
            <w:szCs w:val="25"/>
          </w:rPr>
          <w:t>http://www.tst.jus.br/push</w:t>
        </w:r>
      </w:hyperlink>
    </w:p>
    <w:p w:rsidR="009E534D" w:rsidRPr="004B3120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sectPr w:rsidR="009E534D" w:rsidRPr="004B3120" w:rsidSect="00D11B2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FF" w:rsidRDefault="00E931FF">
      <w:r>
        <w:separator/>
      </w:r>
    </w:p>
  </w:endnote>
  <w:endnote w:type="continuationSeparator" w:id="0">
    <w:p w:rsidR="00E931FF" w:rsidRDefault="00E9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FF" w:rsidRDefault="00E931F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738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931FF" w:rsidRDefault="00E931FF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FF" w:rsidRDefault="00E931FF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3738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FF" w:rsidRDefault="00E931FF">
      <w:r>
        <w:separator/>
      </w:r>
    </w:p>
  </w:footnote>
  <w:footnote w:type="continuationSeparator" w:id="0">
    <w:p w:rsidR="00E931FF" w:rsidRDefault="00E9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FF" w:rsidRPr="008420B2" w:rsidRDefault="006717E0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F2ED4">
      <w:rPr>
        <w:color w:val="006699"/>
      </w:rPr>
      <w:t>Informativo</w:t>
    </w:r>
    <w:r>
      <w:rPr>
        <w:color w:val="006699"/>
      </w:rPr>
      <w:t xml:space="preserve"> TST – nº 209</w:t>
    </w:r>
  </w:p>
  <w:p w:rsidR="00E931FF" w:rsidRDefault="00E931FF" w:rsidP="00A01E4F">
    <w:pPr>
      <w:pStyle w:val="Cabealho"/>
      <w:jc w:val="right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21A1EA" wp14:editId="4A4D8525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Pr="003C0554">
      <w:rPr>
        <w:iCs/>
      </w:rPr>
      <w:t xml:space="preserve"> </w:t>
    </w:r>
    <w:r w:rsidRPr="006717E0">
      <w:rPr>
        <w:i/>
        <w:iCs/>
        <w:color w:val="0070C0"/>
      </w:rPr>
      <w:t xml:space="preserve">Período: </w:t>
    </w:r>
    <w:r w:rsidR="00237380">
      <w:rPr>
        <w:i/>
        <w:iCs/>
        <w:color w:val="0070C0"/>
      </w:rPr>
      <w:t>15</w:t>
    </w:r>
    <w:r w:rsidRPr="006717E0">
      <w:rPr>
        <w:i/>
        <w:iCs/>
        <w:color w:val="0070C0"/>
      </w:rPr>
      <w:t xml:space="preserve"> a </w:t>
    </w:r>
    <w:r w:rsidR="00237380">
      <w:rPr>
        <w:i/>
        <w:iCs/>
        <w:color w:val="0070C0"/>
      </w:rPr>
      <w:t>21</w:t>
    </w:r>
    <w:r w:rsidRPr="006717E0">
      <w:rPr>
        <w:i/>
        <w:iCs/>
        <w:color w:val="0070C0"/>
      </w:rPr>
      <w:t xml:space="preserve"> de outubro</w:t>
    </w:r>
    <w:proofErr w:type="gramStart"/>
    <w:r w:rsidRPr="006717E0">
      <w:rPr>
        <w:i/>
        <w:iCs/>
        <w:color w:val="0070C0"/>
      </w:rPr>
      <w:t xml:space="preserve">  </w:t>
    </w:r>
    <w:proofErr w:type="gramEnd"/>
    <w:r w:rsidRPr="006717E0">
      <w:rPr>
        <w:i/>
        <w:iCs/>
        <w:color w:val="0070C0"/>
      </w:rPr>
      <w:t>de 2019</w:t>
    </w:r>
  </w:p>
  <w:p w:rsidR="00E931FF" w:rsidRPr="005D1DE4" w:rsidRDefault="00E931FF" w:rsidP="00CE7555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FF" w:rsidRDefault="006717E0">
    <w:pPr>
      <w:pStyle w:val="Cabealho"/>
    </w:pPr>
    <w:r>
      <w:rPr>
        <w:noProof/>
      </w:rPr>
      <w:drawing>
        <wp:inline distT="0" distB="0" distL="0" distR="0" wp14:anchorId="4686E2C9" wp14:editId="3FB71E8C">
          <wp:extent cx="2383790" cy="571500"/>
          <wp:effectExtent l="0" t="0" r="0" b="0"/>
          <wp:docPr id="245" name="Imagem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7E0" w:rsidRDefault="006717E0">
    <w:pPr>
      <w:pStyle w:val="Cabealho"/>
    </w:pPr>
    <w:r>
      <w:rPr>
        <w:rFonts w:ascii="Bebas Neue Regular" w:hAnsi="Bebas Neue Regular"/>
        <w:noProof/>
        <w:color w:val="006699"/>
        <w:sz w:val="30"/>
      </w:rPr>
      <w:drawing>
        <wp:inline distT="0" distB="0" distL="0" distR="0" wp14:anchorId="6F1BBF6B" wp14:editId="168B4E8E">
          <wp:extent cx="6124575" cy="8953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086" cy="898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7E0" w:rsidRDefault="006717E0">
    <w:pPr>
      <w:pStyle w:val="Cabealho"/>
    </w:pPr>
  </w:p>
  <w:p w:rsidR="00E931FF" w:rsidRPr="006717E0" w:rsidRDefault="00E931FF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color w:val="005DA2"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6717E0">
      <w:rPr>
        <w:b/>
        <w:color w:val="005DA2"/>
        <w:sz w:val="40"/>
        <w:szCs w:val="40"/>
      </w:rPr>
      <w:t>Nº 20</w:t>
    </w:r>
    <w:r w:rsidR="006717E0">
      <w:rPr>
        <w:b/>
        <w:color w:val="005DA2"/>
        <w:sz w:val="40"/>
        <w:szCs w:val="40"/>
      </w:rPr>
      <w:t>9</w:t>
    </w:r>
  </w:p>
  <w:p w:rsidR="00E931FF" w:rsidRPr="006717E0" w:rsidRDefault="00E931FF">
    <w:pPr>
      <w:pStyle w:val="Cabealho"/>
      <w:jc w:val="right"/>
      <w:rPr>
        <w:i/>
        <w:iCs/>
        <w:color w:val="005DA2"/>
        <w:sz w:val="10"/>
        <w:szCs w:val="10"/>
      </w:rPr>
    </w:pPr>
  </w:p>
  <w:p w:rsidR="00E931FF" w:rsidRPr="006717E0" w:rsidRDefault="00E931FF" w:rsidP="009A16E8">
    <w:pPr>
      <w:pStyle w:val="Cabealho"/>
      <w:jc w:val="right"/>
      <w:rPr>
        <w:i/>
        <w:iCs/>
        <w:color w:val="005DA2"/>
      </w:rPr>
    </w:pPr>
    <w:r w:rsidRPr="006717E0">
      <w:rPr>
        <w:i/>
        <w:iCs/>
        <w:color w:val="005DA2"/>
      </w:rPr>
      <w:t xml:space="preserve">Período: </w:t>
    </w:r>
    <w:r w:rsidR="00237380">
      <w:rPr>
        <w:i/>
        <w:iCs/>
        <w:color w:val="005DA2"/>
      </w:rPr>
      <w:t>15</w:t>
    </w:r>
    <w:r w:rsidRPr="006717E0">
      <w:rPr>
        <w:i/>
        <w:iCs/>
        <w:color w:val="005DA2"/>
      </w:rPr>
      <w:t xml:space="preserve"> a </w:t>
    </w:r>
    <w:r w:rsidR="00237380">
      <w:rPr>
        <w:i/>
        <w:iCs/>
        <w:color w:val="005DA2"/>
      </w:rPr>
      <w:t>21</w:t>
    </w:r>
    <w:r w:rsidRPr="006717E0">
      <w:rPr>
        <w:i/>
        <w:iCs/>
        <w:color w:val="005DA2"/>
      </w:rPr>
      <w:t xml:space="preserve"> de outubro de 2019</w:t>
    </w:r>
  </w:p>
  <w:p w:rsidR="00E931FF" w:rsidRDefault="00E931FF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740C9"/>
    <w:multiLevelType w:val="hybridMultilevel"/>
    <w:tmpl w:val="B9D22EE6"/>
    <w:lvl w:ilvl="0" w:tplc="93941AA8">
      <w:start w:val="1"/>
      <w:numFmt w:val="upperRoman"/>
      <w:lvlText w:val="%1."/>
      <w:lvlJc w:val="left"/>
      <w:pPr>
        <w:ind w:left="5256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132A3"/>
    <w:rsid w:val="0001790D"/>
    <w:rsid w:val="00020CD0"/>
    <w:rsid w:val="00021967"/>
    <w:rsid w:val="000228E6"/>
    <w:rsid w:val="000249BA"/>
    <w:rsid w:val="00024CE9"/>
    <w:rsid w:val="000303C3"/>
    <w:rsid w:val="00032056"/>
    <w:rsid w:val="000322FB"/>
    <w:rsid w:val="000332F1"/>
    <w:rsid w:val="00034034"/>
    <w:rsid w:val="00040BBC"/>
    <w:rsid w:val="000425FC"/>
    <w:rsid w:val="00047F3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665D5"/>
    <w:rsid w:val="000733B4"/>
    <w:rsid w:val="00073643"/>
    <w:rsid w:val="00073880"/>
    <w:rsid w:val="00075BDB"/>
    <w:rsid w:val="00076E4F"/>
    <w:rsid w:val="00077A5F"/>
    <w:rsid w:val="00077EAD"/>
    <w:rsid w:val="00080C40"/>
    <w:rsid w:val="00080F10"/>
    <w:rsid w:val="000816C5"/>
    <w:rsid w:val="000858FB"/>
    <w:rsid w:val="0009237D"/>
    <w:rsid w:val="00093AE9"/>
    <w:rsid w:val="00093BA8"/>
    <w:rsid w:val="00094103"/>
    <w:rsid w:val="00095471"/>
    <w:rsid w:val="000A04E6"/>
    <w:rsid w:val="000A2745"/>
    <w:rsid w:val="000A4C94"/>
    <w:rsid w:val="000A6DDE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0F260C"/>
    <w:rsid w:val="00106A93"/>
    <w:rsid w:val="0011575C"/>
    <w:rsid w:val="0011692E"/>
    <w:rsid w:val="00122C2A"/>
    <w:rsid w:val="001257D7"/>
    <w:rsid w:val="001365EE"/>
    <w:rsid w:val="00136E86"/>
    <w:rsid w:val="00137564"/>
    <w:rsid w:val="00137DC1"/>
    <w:rsid w:val="00141630"/>
    <w:rsid w:val="00142C28"/>
    <w:rsid w:val="001444DA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640B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3281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6C64"/>
    <w:rsid w:val="001E713B"/>
    <w:rsid w:val="001E79B4"/>
    <w:rsid w:val="001F030F"/>
    <w:rsid w:val="001F2F34"/>
    <w:rsid w:val="001F3CD3"/>
    <w:rsid w:val="001F45E0"/>
    <w:rsid w:val="001F58BD"/>
    <w:rsid w:val="001F689A"/>
    <w:rsid w:val="00200A8C"/>
    <w:rsid w:val="002017D2"/>
    <w:rsid w:val="00204C97"/>
    <w:rsid w:val="00206810"/>
    <w:rsid w:val="00207D1D"/>
    <w:rsid w:val="002156DC"/>
    <w:rsid w:val="002168DE"/>
    <w:rsid w:val="00222CF6"/>
    <w:rsid w:val="00223F6E"/>
    <w:rsid w:val="00224AC2"/>
    <w:rsid w:val="00227004"/>
    <w:rsid w:val="00230183"/>
    <w:rsid w:val="0023559D"/>
    <w:rsid w:val="00237380"/>
    <w:rsid w:val="002402B0"/>
    <w:rsid w:val="002449F9"/>
    <w:rsid w:val="00255732"/>
    <w:rsid w:val="00257B4A"/>
    <w:rsid w:val="00260B37"/>
    <w:rsid w:val="002635ED"/>
    <w:rsid w:val="002662BA"/>
    <w:rsid w:val="00266A22"/>
    <w:rsid w:val="00266D49"/>
    <w:rsid w:val="00271C5C"/>
    <w:rsid w:val="00271E67"/>
    <w:rsid w:val="002730B5"/>
    <w:rsid w:val="0027659F"/>
    <w:rsid w:val="002766D5"/>
    <w:rsid w:val="0027684A"/>
    <w:rsid w:val="00276EA0"/>
    <w:rsid w:val="00280594"/>
    <w:rsid w:val="00282620"/>
    <w:rsid w:val="002834D2"/>
    <w:rsid w:val="00285064"/>
    <w:rsid w:val="00287917"/>
    <w:rsid w:val="00287D4A"/>
    <w:rsid w:val="002900D2"/>
    <w:rsid w:val="002930E4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3B9F"/>
    <w:rsid w:val="002E78CB"/>
    <w:rsid w:val="002F28E5"/>
    <w:rsid w:val="002F71BF"/>
    <w:rsid w:val="003070C9"/>
    <w:rsid w:val="003074FC"/>
    <w:rsid w:val="0031207D"/>
    <w:rsid w:val="003137EF"/>
    <w:rsid w:val="003200A0"/>
    <w:rsid w:val="00322F7A"/>
    <w:rsid w:val="0033397A"/>
    <w:rsid w:val="003339E9"/>
    <w:rsid w:val="00340D16"/>
    <w:rsid w:val="00340E8D"/>
    <w:rsid w:val="00342846"/>
    <w:rsid w:val="003503FC"/>
    <w:rsid w:val="00350ED0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84531"/>
    <w:rsid w:val="003908C5"/>
    <w:rsid w:val="00393131"/>
    <w:rsid w:val="0039326C"/>
    <w:rsid w:val="00396053"/>
    <w:rsid w:val="003971B2"/>
    <w:rsid w:val="003A0E52"/>
    <w:rsid w:val="003A1335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E3694"/>
    <w:rsid w:val="003F2078"/>
    <w:rsid w:val="003F5EA7"/>
    <w:rsid w:val="004034A8"/>
    <w:rsid w:val="0040506F"/>
    <w:rsid w:val="0041011C"/>
    <w:rsid w:val="0041353C"/>
    <w:rsid w:val="004163E7"/>
    <w:rsid w:val="004166C3"/>
    <w:rsid w:val="00416D9A"/>
    <w:rsid w:val="00420228"/>
    <w:rsid w:val="00423641"/>
    <w:rsid w:val="00426AA4"/>
    <w:rsid w:val="0042772A"/>
    <w:rsid w:val="004323B0"/>
    <w:rsid w:val="00437995"/>
    <w:rsid w:val="0044014F"/>
    <w:rsid w:val="00444E88"/>
    <w:rsid w:val="004477EC"/>
    <w:rsid w:val="00450BAD"/>
    <w:rsid w:val="00454078"/>
    <w:rsid w:val="00454245"/>
    <w:rsid w:val="0045657C"/>
    <w:rsid w:val="00456B0F"/>
    <w:rsid w:val="00457A40"/>
    <w:rsid w:val="004655CC"/>
    <w:rsid w:val="00466DB9"/>
    <w:rsid w:val="004672FC"/>
    <w:rsid w:val="0047004F"/>
    <w:rsid w:val="00470EF8"/>
    <w:rsid w:val="004731B7"/>
    <w:rsid w:val="0047749E"/>
    <w:rsid w:val="00486521"/>
    <w:rsid w:val="00486DFC"/>
    <w:rsid w:val="00490CFC"/>
    <w:rsid w:val="004922D6"/>
    <w:rsid w:val="00494DD1"/>
    <w:rsid w:val="004A094C"/>
    <w:rsid w:val="004A1432"/>
    <w:rsid w:val="004A14FC"/>
    <w:rsid w:val="004A2500"/>
    <w:rsid w:val="004A5264"/>
    <w:rsid w:val="004A5908"/>
    <w:rsid w:val="004A7C59"/>
    <w:rsid w:val="004B21AD"/>
    <w:rsid w:val="004B3120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697F"/>
    <w:rsid w:val="004D71E8"/>
    <w:rsid w:val="004E393E"/>
    <w:rsid w:val="004E39DA"/>
    <w:rsid w:val="004E4507"/>
    <w:rsid w:val="004E4619"/>
    <w:rsid w:val="004F0A7D"/>
    <w:rsid w:val="004F5040"/>
    <w:rsid w:val="005059F5"/>
    <w:rsid w:val="00513789"/>
    <w:rsid w:val="0051538E"/>
    <w:rsid w:val="00517E01"/>
    <w:rsid w:val="005208C8"/>
    <w:rsid w:val="00521EEC"/>
    <w:rsid w:val="00530B90"/>
    <w:rsid w:val="00536EDA"/>
    <w:rsid w:val="005405E7"/>
    <w:rsid w:val="00543B94"/>
    <w:rsid w:val="005460BD"/>
    <w:rsid w:val="005521C8"/>
    <w:rsid w:val="00552D4A"/>
    <w:rsid w:val="00553197"/>
    <w:rsid w:val="0055409E"/>
    <w:rsid w:val="00554139"/>
    <w:rsid w:val="005543D8"/>
    <w:rsid w:val="00556367"/>
    <w:rsid w:val="00556B35"/>
    <w:rsid w:val="005703D6"/>
    <w:rsid w:val="00572803"/>
    <w:rsid w:val="00573E13"/>
    <w:rsid w:val="005767AA"/>
    <w:rsid w:val="005811A4"/>
    <w:rsid w:val="00584496"/>
    <w:rsid w:val="005848D7"/>
    <w:rsid w:val="00584F82"/>
    <w:rsid w:val="00591DFA"/>
    <w:rsid w:val="005A30AA"/>
    <w:rsid w:val="005A4ED6"/>
    <w:rsid w:val="005A5695"/>
    <w:rsid w:val="005B031E"/>
    <w:rsid w:val="005B0A1C"/>
    <w:rsid w:val="005B22CE"/>
    <w:rsid w:val="005B2F00"/>
    <w:rsid w:val="005B3792"/>
    <w:rsid w:val="005B523B"/>
    <w:rsid w:val="005B57DE"/>
    <w:rsid w:val="005B6F6A"/>
    <w:rsid w:val="005C12EE"/>
    <w:rsid w:val="005C1886"/>
    <w:rsid w:val="005C761E"/>
    <w:rsid w:val="005D0E5F"/>
    <w:rsid w:val="005D1DE4"/>
    <w:rsid w:val="005E18BC"/>
    <w:rsid w:val="005E1BDB"/>
    <w:rsid w:val="005E2A3F"/>
    <w:rsid w:val="005E35BD"/>
    <w:rsid w:val="005E3D4D"/>
    <w:rsid w:val="005E3F64"/>
    <w:rsid w:val="005E60E9"/>
    <w:rsid w:val="005E7FD1"/>
    <w:rsid w:val="005F0522"/>
    <w:rsid w:val="005F0545"/>
    <w:rsid w:val="005F2858"/>
    <w:rsid w:val="005F52AB"/>
    <w:rsid w:val="006002E3"/>
    <w:rsid w:val="00602FF7"/>
    <w:rsid w:val="0060683F"/>
    <w:rsid w:val="006145AC"/>
    <w:rsid w:val="00615F98"/>
    <w:rsid w:val="006207F5"/>
    <w:rsid w:val="00621CAC"/>
    <w:rsid w:val="00621F9C"/>
    <w:rsid w:val="00623D44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28FD"/>
    <w:rsid w:val="00665956"/>
    <w:rsid w:val="00665CCF"/>
    <w:rsid w:val="006717E0"/>
    <w:rsid w:val="00672CF9"/>
    <w:rsid w:val="00672E11"/>
    <w:rsid w:val="0068273B"/>
    <w:rsid w:val="006847A0"/>
    <w:rsid w:val="00691234"/>
    <w:rsid w:val="00692202"/>
    <w:rsid w:val="006931CC"/>
    <w:rsid w:val="006947F2"/>
    <w:rsid w:val="00696523"/>
    <w:rsid w:val="00697919"/>
    <w:rsid w:val="006B145C"/>
    <w:rsid w:val="006B3FCF"/>
    <w:rsid w:val="006B46CA"/>
    <w:rsid w:val="006B549E"/>
    <w:rsid w:val="006B54A7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022"/>
    <w:rsid w:val="0070727E"/>
    <w:rsid w:val="007101D6"/>
    <w:rsid w:val="00710D3A"/>
    <w:rsid w:val="0071315F"/>
    <w:rsid w:val="007159C7"/>
    <w:rsid w:val="00720057"/>
    <w:rsid w:val="00721942"/>
    <w:rsid w:val="00722BE7"/>
    <w:rsid w:val="00723134"/>
    <w:rsid w:val="00730CC7"/>
    <w:rsid w:val="00732DF2"/>
    <w:rsid w:val="0073442D"/>
    <w:rsid w:val="00735B8F"/>
    <w:rsid w:val="007403B3"/>
    <w:rsid w:val="00750B85"/>
    <w:rsid w:val="00752730"/>
    <w:rsid w:val="007568FD"/>
    <w:rsid w:val="007614F1"/>
    <w:rsid w:val="007618C5"/>
    <w:rsid w:val="00764066"/>
    <w:rsid w:val="00764D55"/>
    <w:rsid w:val="00766B7B"/>
    <w:rsid w:val="0077600F"/>
    <w:rsid w:val="007760AE"/>
    <w:rsid w:val="00776118"/>
    <w:rsid w:val="00781C77"/>
    <w:rsid w:val="00790F13"/>
    <w:rsid w:val="00793A1C"/>
    <w:rsid w:val="00796745"/>
    <w:rsid w:val="007A28FF"/>
    <w:rsid w:val="007A4009"/>
    <w:rsid w:val="007A4F78"/>
    <w:rsid w:val="007A7125"/>
    <w:rsid w:val="007B0F83"/>
    <w:rsid w:val="007B5D65"/>
    <w:rsid w:val="007C0A4F"/>
    <w:rsid w:val="007D0081"/>
    <w:rsid w:val="007D19FC"/>
    <w:rsid w:val="007D29A1"/>
    <w:rsid w:val="007D2B4E"/>
    <w:rsid w:val="007D2DB0"/>
    <w:rsid w:val="007D2EE9"/>
    <w:rsid w:val="007D469A"/>
    <w:rsid w:val="007D6D94"/>
    <w:rsid w:val="007D6F8C"/>
    <w:rsid w:val="007E069C"/>
    <w:rsid w:val="007E094E"/>
    <w:rsid w:val="007E0EA7"/>
    <w:rsid w:val="007E26A1"/>
    <w:rsid w:val="007E37B1"/>
    <w:rsid w:val="007E3F23"/>
    <w:rsid w:val="007E53A4"/>
    <w:rsid w:val="007F02D5"/>
    <w:rsid w:val="007F142E"/>
    <w:rsid w:val="007F289C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5622"/>
    <w:rsid w:val="0081742D"/>
    <w:rsid w:val="00817AB1"/>
    <w:rsid w:val="00820419"/>
    <w:rsid w:val="00820817"/>
    <w:rsid w:val="00821F4D"/>
    <w:rsid w:val="00823906"/>
    <w:rsid w:val="00823E24"/>
    <w:rsid w:val="008409D3"/>
    <w:rsid w:val="008420B2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3391"/>
    <w:rsid w:val="008842D0"/>
    <w:rsid w:val="00884AC4"/>
    <w:rsid w:val="0088579D"/>
    <w:rsid w:val="00892883"/>
    <w:rsid w:val="008942D5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184"/>
    <w:rsid w:val="008E2AE5"/>
    <w:rsid w:val="008E3CCE"/>
    <w:rsid w:val="008E3F89"/>
    <w:rsid w:val="008E5117"/>
    <w:rsid w:val="008E7D58"/>
    <w:rsid w:val="008F26CB"/>
    <w:rsid w:val="008F36EC"/>
    <w:rsid w:val="008F3D95"/>
    <w:rsid w:val="008F6509"/>
    <w:rsid w:val="008F79D9"/>
    <w:rsid w:val="009027C8"/>
    <w:rsid w:val="00910EEF"/>
    <w:rsid w:val="00920B0C"/>
    <w:rsid w:val="00922D1B"/>
    <w:rsid w:val="00930461"/>
    <w:rsid w:val="0093467A"/>
    <w:rsid w:val="009353F1"/>
    <w:rsid w:val="009376D6"/>
    <w:rsid w:val="0094155C"/>
    <w:rsid w:val="00951531"/>
    <w:rsid w:val="00953B29"/>
    <w:rsid w:val="0095741E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15A9"/>
    <w:rsid w:val="00986D77"/>
    <w:rsid w:val="00993A6E"/>
    <w:rsid w:val="009943EC"/>
    <w:rsid w:val="009A16E8"/>
    <w:rsid w:val="009A1BAD"/>
    <w:rsid w:val="009A32D5"/>
    <w:rsid w:val="009A541D"/>
    <w:rsid w:val="009A5D37"/>
    <w:rsid w:val="009A610E"/>
    <w:rsid w:val="009A6BD9"/>
    <w:rsid w:val="009A76A2"/>
    <w:rsid w:val="009B289E"/>
    <w:rsid w:val="009B320F"/>
    <w:rsid w:val="009B41F7"/>
    <w:rsid w:val="009B479C"/>
    <w:rsid w:val="009B6012"/>
    <w:rsid w:val="009B6455"/>
    <w:rsid w:val="009C0EBA"/>
    <w:rsid w:val="009C102D"/>
    <w:rsid w:val="009C2A4F"/>
    <w:rsid w:val="009C4834"/>
    <w:rsid w:val="009D10FB"/>
    <w:rsid w:val="009D1BDE"/>
    <w:rsid w:val="009D232F"/>
    <w:rsid w:val="009D2FB1"/>
    <w:rsid w:val="009D312C"/>
    <w:rsid w:val="009D4C59"/>
    <w:rsid w:val="009D7F91"/>
    <w:rsid w:val="009E20EF"/>
    <w:rsid w:val="009E26EE"/>
    <w:rsid w:val="009E534D"/>
    <w:rsid w:val="009E6646"/>
    <w:rsid w:val="009F1C7B"/>
    <w:rsid w:val="009F21A2"/>
    <w:rsid w:val="00A00D70"/>
    <w:rsid w:val="00A00DEE"/>
    <w:rsid w:val="00A01E4F"/>
    <w:rsid w:val="00A02580"/>
    <w:rsid w:val="00A0468E"/>
    <w:rsid w:val="00A201D9"/>
    <w:rsid w:val="00A27889"/>
    <w:rsid w:val="00A32D95"/>
    <w:rsid w:val="00A32FBF"/>
    <w:rsid w:val="00A3307E"/>
    <w:rsid w:val="00A407EA"/>
    <w:rsid w:val="00A40D9C"/>
    <w:rsid w:val="00A51749"/>
    <w:rsid w:val="00A521B6"/>
    <w:rsid w:val="00A56962"/>
    <w:rsid w:val="00A62DD3"/>
    <w:rsid w:val="00A6382F"/>
    <w:rsid w:val="00A6412C"/>
    <w:rsid w:val="00A72FAF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96424"/>
    <w:rsid w:val="00AA06DA"/>
    <w:rsid w:val="00AA3D5D"/>
    <w:rsid w:val="00AA3DE0"/>
    <w:rsid w:val="00AB04BD"/>
    <w:rsid w:val="00AB299E"/>
    <w:rsid w:val="00AB3847"/>
    <w:rsid w:val="00AB395A"/>
    <w:rsid w:val="00AB507C"/>
    <w:rsid w:val="00AB606E"/>
    <w:rsid w:val="00AB7B50"/>
    <w:rsid w:val="00AC096E"/>
    <w:rsid w:val="00AC4F6C"/>
    <w:rsid w:val="00AD0ED3"/>
    <w:rsid w:val="00AD1400"/>
    <w:rsid w:val="00AD2BB0"/>
    <w:rsid w:val="00AD6E76"/>
    <w:rsid w:val="00AE3EAA"/>
    <w:rsid w:val="00AE5EDF"/>
    <w:rsid w:val="00AE758A"/>
    <w:rsid w:val="00AF77DF"/>
    <w:rsid w:val="00B03BC8"/>
    <w:rsid w:val="00B06261"/>
    <w:rsid w:val="00B06914"/>
    <w:rsid w:val="00B0754F"/>
    <w:rsid w:val="00B108BA"/>
    <w:rsid w:val="00B108E6"/>
    <w:rsid w:val="00B12273"/>
    <w:rsid w:val="00B13F59"/>
    <w:rsid w:val="00B14F7F"/>
    <w:rsid w:val="00B15004"/>
    <w:rsid w:val="00B16EB9"/>
    <w:rsid w:val="00B22F24"/>
    <w:rsid w:val="00B22F53"/>
    <w:rsid w:val="00B23538"/>
    <w:rsid w:val="00B24DBE"/>
    <w:rsid w:val="00B335D5"/>
    <w:rsid w:val="00B34EB2"/>
    <w:rsid w:val="00B408DE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73FFA"/>
    <w:rsid w:val="00B74A6E"/>
    <w:rsid w:val="00B82CC4"/>
    <w:rsid w:val="00B838C3"/>
    <w:rsid w:val="00B85AF5"/>
    <w:rsid w:val="00B86218"/>
    <w:rsid w:val="00B874F1"/>
    <w:rsid w:val="00B877E0"/>
    <w:rsid w:val="00B91001"/>
    <w:rsid w:val="00B95963"/>
    <w:rsid w:val="00BA4636"/>
    <w:rsid w:val="00BB3D37"/>
    <w:rsid w:val="00BC1DE7"/>
    <w:rsid w:val="00BC1FE2"/>
    <w:rsid w:val="00BC209E"/>
    <w:rsid w:val="00BC292A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E555C"/>
    <w:rsid w:val="00BF0693"/>
    <w:rsid w:val="00BF6308"/>
    <w:rsid w:val="00C028BC"/>
    <w:rsid w:val="00C070DE"/>
    <w:rsid w:val="00C07598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4666E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5ED0"/>
    <w:rsid w:val="00C76CFA"/>
    <w:rsid w:val="00C819C8"/>
    <w:rsid w:val="00C84A53"/>
    <w:rsid w:val="00C850F8"/>
    <w:rsid w:val="00C8747B"/>
    <w:rsid w:val="00C87D5B"/>
    <w:rsid w:val="00C92A5A"/>
    <w:rsid w:val="00C94FF6"/>
    <w:rsid w:val="00C963F8"/>
    <w:rsid w:val="00C96BB1"/>
    <w:rsid w:val="00C970C8"/>
    <w:rsid w:val="00CA2F80"/>
    <w:rsid w:val="00CA3ECF"/>
    <w:rsid w:val="00CA4AE6"/>
    <w:rsid w:val="00CB0C2A"/>
    <w:rsid w:val="00CB3B98"/>
    <w:rsid w:val="00CB7D7E"/>
    <w:rsid w:val="00CC22E1"/>
    <w:rsid w:val="00CC4B2B"/>
    <w:rsid w:val="00CC51C4"/>
    <w:rsid w:val="00CC579C"/>
    <w:rsid w:val="00CC5F5F"/>
    <w:rsid w:val="00CC6BEC"/>
    <w:rsid w:val="00CC743B"/>
    <w:rsid w:val="00CD3460"/>
    <w:rsid w:val="00CD44C9"/>
    <w:rsid w:val="00CD47A7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622"/>
    <w:rsid w:val="00CF3D9D"/>
    <w:rsid w:val="00CF6B77"/>
    <w:rsid w:val="00D00018"/>
    <w:rsid w:val="00D01C50"/>
    <w:rsid w:val="00D03659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31480"/>
    <w:rsid w:val="00D4021B"/>
    <w:rsid w:val="00D4059E"/>
    <w:rsid w:val="00D413DB"/>
    <w:rsid w:val="00D41890"/>
    <w:rsid w:val="00D41D4E"/>
    <w:rsid w:val="00D420E2"/>
    <w:rsid w:val="00D42248"/>
    <w:rsid w:val="00D4459D"/>
    <w:rsid w:val="00D44B24"/>
    <w:rsid w:val="00D52863"/>
    <w:rsid w:val="00D570E4"/>
    <w:rsid w:val="00D573F9"/>
    <w:rsid w:val="00D60532"/>
    <w:rsid w:val="00D6058B"/>
    <w:rsid w:val="00D608E5"/>
    <w:rsid w:val="00D60A95"/>
    <w:rsid w:val="00D62D9E"/>
    <w:rsid w:val="00D63EC5"/>
    <w:rsid w:val="00D6459D"/>
    <w:rsid w:val="00D64BC3"/>
    <w:rsid w:val="00D66C46"/>
    <w:rsid w:val="00D708CB"/>
    <w:rsid w:val="00D72C05"/>
    <w:rsid w:val="00D73575"/>
    <w:rsid w:val="00D735BF"/>
    <w:rsid w:val="00D737B6"/>
    <w:rsid w:val="00D77672"/>
    <w:rsid w:val="00D779F0"/>
    <w:rsid w:val="00D80222"/>
    <w:rsid w:val="00D847CF"/>
    <w:rsid w:val="00D87489"/>
    <w:rsid w:val="00D93BE8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B5028"/>
    <w:rsid w:val="00DC0AB5"/>
    <w:rsid w:val="00DC30DD"/>
    <w:rsid w:val="00DC3451"/>
    <w:rsid w:val="00DC50EB"/>
    <w:rsid w:val="00DC67B2"/>
    <w:rsid w:val="00DC7F71"/>
    <w:rsid w:val="00DD19F4"/>
    <w:rsid w:val="00DD3FA0"/>
    <w:rsid w:val="00DE24D5"/>
    <w:rsid w:val="00DE2CC9"/>
    <w:rsid w:val="00DE411D"/>
    <w:rsid w:val="00DE5B2D"/>
    <w:rsid w:val="00DE5C3E"/>
    <w:rsid w:val="00DE5CE9"/>
    <w:rsid w:val="00DF3036"/>
    <w:rsid w:val="00DF45BB"/>
    <w:rsid w:val="00DF71EE"/>
    <w:rsid w:val="00DF729A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20DD"/>
    <w:rsid w:val="00E24A50"/>
    <w:rsid w:val="00E25A69"/>
    <w:rsid w:val="00E31469"/>
    <w:rsid w:val="00E3296A"/>
    <w:rsid w:val="00E35639"/>
    <w:rsid w:val="00E361AB"/>
    <w:rsid w:val="00E3622E"/>
    <w:rsid w:val="00E4188A"/>
    <w:rsid w:val="00E420AA"/>
    <w:rsid w:val="00E428CA"/>
    <w:rsid w:val="00E42D22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16F3"/>
    <w:rsid w:val="00E76789"/>
    <w:rsid w:val="00E774F6"/>
    <w:rsid w:val="00E931FF"/>
    <w:rsid w:val="00E9503C"/>
    <w:rsid w:val="00E956D9"/>
    <w:rsid w:val="00EA10DA"/>
    <w:rsid w:val="00EA1958"/>
    <w:rsid w:val="00EA29F5"/>
    <w:rsid w:val="00EA482D"/>
    <w:rsid w:val="00EA4C55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2A67"/>
    <w:rsid w:val="00ED4508"/>
    <w:rsid w:val="00ED661C"/>
    <w:rsid w:val="00ED7FB5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463D"/>
    <w:rsid w:val="00F37F29"/>
    <w:rsid w:val="00F42243"/>
    <w:rsid w:val="00F43793"/>
    <w:rsid w:val="00F45608"/>
    <w:rsid w:val="00F47E3B"/>
    <w:rsid w:val="00F511EE"/>
    <w:rsid w:val="00F52475"/>
    <w:rsid w:val="00F53215"/>
    <w:rsid w:val="00F54576"/>
    <w:rsid w:val="00F55574"/>
    <w:rsid w:val="00F558E7"/>
    <w:rsid w:val="00F60363"/>
    <w:rsid w:val="00F62016"/>
    <w:rsid w:val="00F63F44"/>
    <w:rsid w:val="00F6401B"/>
    <w:rsid w:val="00F65243"/>
    <w:rsid w:val="00F6746D"/>
    <w:rsid w:val="00F675D5"/>
    <w:rsid w:val="00F74361"/>
    <w:rsid w:val="00F753D1"/>
    <w:rsid w:val="00F7766D"/>
    <w:rsid w:val="00F777B1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AFB"/>
    <w:rsid w:val="00FB0C06"/>
    <w:rsid w:val="00FB0DC9"/>
    <w:rsid w:val="00FB20B1"/>
    <w:rsid w:val="00FB27AA"/>
    <w:rsid w:val="00FB3AB4"/>
    <w:rsid w:val="00FB6188"/>
    <w:rsid w:val="00FB78D2"/>
    <w:rsid w:val="00FC35EC"/>
    <w:rsid w:val="00FC56A4"/>
    <w:rsid w:val="00FC6872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link w:val="EmentaChar1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link w:val="IdentificaoChar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,corpoRelatório + Courier,tr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qFormat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IdentificaoChar">
    <w:name w:val="Identificação Char"/>
    <w:link w:val="Identificao"/>
    <w:uiPriority w:val="99"/>
    <w:locked/>
    <w:rsid w:val="00106A93"/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EmentaChar1">
    <w:name w:val="Ementa Char1"/>
    <w:link w:val="Ementa"/>
    <w:uiPriority w:val="99"/>
    <w:locked/>
    <w:rsid w:val="00CA4AE6"/>
    <w:rPr>
      <w:rFonts w:ascii="Courier New" w:hAnsi="Courier New" w:cs="Courier New"/>
      <w:color w:val="808000"/>
      <w:sz w:val="24"/>
      <w:szCs w:val="24"/>
      <w:lang w:val="en-US"/>
    </w:rPr>
  </w:style>
  <w:style w:type="paragraph" w:customStyle="1" w:styleId="corpo1">
    <w:name w:val="corpo"/>
    <w:basedOn w:val="Normal"/>
    <w:rsid w:val="000132A3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emEspaamento">
    <w:name w:val="No Spacing"/>
    <w:uiPriority w:val="1"/>
    <w:qFormat/>
    <w:rsid w:val="00E931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link w:val="EmentaChar1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link w:val="IdentificaoChar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,corpoRelatório + Courier,tr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qFormat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IdentificaoChar">
    <w:name w:val="Identificação Char"/>
    <w:link w:val="Identificao"/>
    <w:uiPriority w:val="99"/>
    <w:locked/>
    <w:rsid w:val="00106A93"/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EmentaChar1">
    <w:name w:val="Ementa Char1"/>
    <w:link w:val="Ementa"/>
    <w:uiPriority w:val="99"/>
    <w:locked/>
    <w:rsid w:val="00CA4AE6"/>
    <w:rPr>
      <w:rFonts w:ascii="Courier New" w:hAnsi="Courier New" w:cs="Courier New"/>
      <w:color w:val="808000"/>
      <w:sz w:val="24"/>
      <w:szCs w:val="24"/>
      <w:lang w:val="en-US"/>
    </w:rPr>
  </w:style>
  <w:style w:type="paragraph" w:customStyle="1" w:styleId="corpo1">
    <w:name w:val="corpo"/>
    <w:basedOn w:val="Normal"/>
    <w:rsid w:val="000132A3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emEspaamento">
    <w:name w:val="No Spacing"/>
    <w:uiPriority w:val="1"/>
    <w:qFormat/>
    <w:rsid w:val="00E931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icacao4.tst.jus.br/consultaProcessual/resumoForm.do?consulta=1&amp;numeroInt=220601&amp;anoInt=201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resumoForm.do?consulta=1&amp;numeroInt=72661&amp;anoInt=2013" TargetMode="External"/><Relationship Id="rId17" Type="http://schemas.openxmlformats.org/officeDocument/2006/relationships/hyperlink" Target="http://www.tst.jus.br/pu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st.jus.br/web/guest/informativo-ts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resumoForm.do?consulta=1&amp;numeroInt=199428&amp;anoInt=201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jur@tst.jus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plicacao5.tst.jus.br/consultaProcessual/resumoForm.do?consulta=1&amp;numeroInt=133381&amp;anoInt=201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plicacao5.tst.jus.br/consultaProcessual/resumoForm.do?consulta=1&amp;numeroInt=178897&amp;anoInt=2017" TargetMode="External"/><Relationship Id="rId14" Type="http://schemas.openxmlformats.org/officeDocument/2006/relationships/hyperlink" Target="http://aplicacao4.tst.jus.br/consultaProcessual/resumoForm.do?consulta=1&amp;numeroInt=208397&amp;anoInt=2018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17E6-AAFC-4A67-B73E-0816C44E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1687</Words>
  <Characters>10321</Characters>
  <Application>Microsoft Office Word</Application>
  <DocSecurity>0</DocSecurity>
  <Lines>86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11985</CharactersWithSpaces>
  <SharedDoc>false</SharedDoc>
  <HLinks>
    <vt:vector size="42" baseType="variant">
      <vt:variant>
        <vt:i4>6422567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http://www.tst.jus.br/push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http://www.tst.jus.br/informativos</vt:lpwstr>
      </vt:variant>
      <vt:variant>
        <vt:lpwstr/>
      </vt:variant>
      <vt:variant>
        <vt:i4>4194345</vt:i4>
      </vt:variant>
      <vt:variant>
        <vt:i4>12</vt:i4>
      </vt:variant>
      <vt:variant>
        <vt:i4>0</vt:i4>
      </vt:variant>
      <vt:variant>
        <vt:i4>5</vt:i4>
      </vt:variant>
      <vt:variant>
        <vt:lpwstr>mailto:cjur@tst.jus.br</vt:lpwstr>
      </vt:variant>
      <vt:variant>
        <vt:lpwstr/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http://aplicacao4.tst.jus.br/consultaProcessual/consultaTstNumUnica.do?consulta=Consultar&amp;conscsjt=&amp;numeroTst=293&amp;digitoTst=31&amp;anoTst=2016&amp;orgaoTst=5&amp;tribunalTst=&amp;varaTst=</vt:lpwstr>
      </vt:variant>
      <vt:variant>
        <vt:lpwstr/>
      </vt:variant>
      <vt:variant>
        <vt:i4>1048646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http://aplicacao4.tst.jus.br/consultaProcessual/consultaTstNumUnica.do?consulta=Consultar&amp;conscsjt=&amp;numeroTst=74&amp;digitoTst=70&amp;anoTst=2014&amp;orgaoTst=5&amp;tribunalTst=17&amp;varaTst=0000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http://aplicacao4.tst.jus.br/consultaProcessual/consultaTstNumUnica.do?consulta=Consultar&amp;conscsjt=&amp;numeroTst=162&amp;digitoTst=89&amp;anoTst=2016&amp;orgaoTst=5&amp;tribunalTst=&amp;varaTst=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http://aplicacao4.tst.jus.br/consultaProcessual/consultaTstNumUnica.do?consulta=Consultar&amp;conscsjt=&amp;numeroTst=1384&amp;digitoTst=61&amp;anoTst=2012&amp;orgaoTst=5&amp;tribunalTst=&amp;varaTst=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c037092</cp:lastModifiedBy>
  <cp:revision>4</cp:revision>
  <cp:lastPrinted>2019-10-29T20:50:00Z</cp:lastPrinted>
  <dcterms:created xsi:type="dcterms:W3CDTF">2019-10-29T20:43:00Z</dcterms:created>
  <dcterms:modified xsi:type="dcterms:W3CDTF">2019-10-29T20:51:00Z</dcterms:modified>
</cp:coreProperties>
</file>