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bookmarkStart w:id="0" w:name="_GoBack"/>
            <w:bookmarkEnd w:id="0"/>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7D2DB0" w:rsidRPr="004B3120" w:rsidRDefault="007159C7"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4B3120" w:rsidRPr="004B3120" w:rsidRDefault="004B3120" w:rsidP="000132A3">
      <w:pPr>
        <w:pStyle w:val="Identificao"/>
        <w:rPr>
          <w:rFonts w:ascii="Times New Roman" w:hAnsi="Times New Roman" w:cs="Times New Roman"/>
          <w:color w:val="auto"/>
          <w:sz w:val="20"/>
          <w:szCs w:val="20"/>
          <w:lang w:val="pt-BR"/>
        </w:rPr>
      </w:pPr>
    </w:p>
    <w:p w:rsidR="00752730" w:rsidRPr="00752730" w:rsidRDefault="00752730" w:rsidP="00752730">
      <w:pPr>
        <w:jc w:val="both"/>
        <w:rPr>
          <w:b/>
          <w:i/>
          <w:sz w:val="24"/>
          <w:szCs w:val="24"/>
        </w:rPr>
      </w:pPr>
      <w:r w:rsidRPr="00752730">
        <w:rPr>
          <w:b/>
          <w:i/>
          <w:sz w:val="24"/>
          <w:szCs w:val="24"/>
        </w:rPr>
        <w:t xml:space="preserve">Intervalo intrajornada. Concessão parcial. Minutos gastos pelo empregado no deslocamento até o refeitório. Tempo à disposição do empregador. Não configuração. </w:t>
      </w:r>
    </w:p>
    <w:p w:rsidR="00752730" w:rsidRPr="00752730" w:rsidRDefault="00752730" w:rsidP="00752730">
      <w:pPr>
        <w:pStyle w:val="Corpo"/>
        <w:spacing w:line="240" w:lineRule="auto"/>
        <w:ind w:firstLine="0"/>
        <w:rPr>
          <w:rFonts w:ascii="Times New Roman" w:eastAsiaTheme="minorHAnsi" w:hAnsi="Times New Roman" w:cs="Times New Roman"/>
          <w:color w:val="auto"/>
          <w:lang w:val="pt-BR" w:eastAsia="en-US"/>
        </w:rPr>
      </w:pPr>
      <w:r w:rsidRPr="00752730">
        <w:rPr>
          <w:rFonts w:ascii="Times New Roman" w:eastAsiaTheme="minorHAnsi" w:hAnsi="Times New Roman" w:cs="Times New Roman"/>
          <w:color w:val="auto"/>
          <w:lang w:val="pt-BR" w:eastAsia="en-US"/>
        </w:rPr>
        <w:t xml:space="preserve">A SBDI-I, por unanimidade, conheceu dos embargos da empresa ré e, no mérito, deu-lhes provimento para restabelecer o acórdão do Tribunal Regional que indeferira o pagamento do intervalo intrajornada supostamente suprimido em razão dos minutos gastos pelo empregado no deslocamento do local de trabalho até o refeitório.  Prevaleceu o entendimento de que o período gasto com o deslocamento não implica redução do intervalo intrajornada, visto que, durante esse tempo, o empregado não está executando serviços, nem está à disposição do empregador, mas efetivamente usufruindo do intervalo que é destinado não apenas à alimentação, mas também ao descanso físico e mental. No caso, a decisão recorrida havia adotado tese no sentido de que o trabalhador não usufruía integralmente do intervalo, uma vez que quinze minutos eram destinados ao deslocamento, em transporte fornecido pelo empregador, até o refeitório. </w:t>
      </w:r>
      <w:r w:rsidR="001D1134">
        <w:fldChar w:fldCharType="begin"/>
      </w:r>
      <w:r w:rsidR="001D1134" w:rsidRPr="001D1134">
        <w:rPr>
          <w:lang w:val="pt-BR"/>
        </w:rPr>
        <w:instrText xml:space="preserve"> HYPERLINK "http://aplicacao5.tst.jus.br/consultaProcessual/resumoForm.do?consulta=1&amp;numeroInt=127567&amp;anoInt=2015" </w:instrText>
      </w:r>
      <w:r w:rsidR="001D1134">
        <w:fldChar w:fldCharType="separate"/>
      </w:r>
      <w:r w:rsidRPr="00752730">
        <w:rPr>
          <w:rStyle w:val="Hyperlink"/>
          <w:rFonts w:ascii="Times New Roman" w:hAnsi="Times New Roman"/>
          <w:lang w:val="pt-BR"/>
        </w:rPr>
        <w:t>TST-E-ED-RR-993-42.2013.5.09.0671</w:t>
      </w:r>
      <w:r w:rsidR="001D1134">
        <w:rPr>
          <w:rStyle w:val="Hyperlink"/>
          <w:rFonts w:ascii="Times New Roman" w:hAnsi="Times New Roman"/>
          <w:lang w:val="pt-BR"/>
        </w:rPr>
        <w:fldChar w:fldCharType="end"/>
      </w:r>
      <w:r w:rsidRPr="00752730">
        <w:rPr>
          <w:rFonts w:ascii="Times New Roman" w:hAnsi="Times New Roman" w:cs="Times New Roman"/>
          <w:u w:val="single"/>
          <w:lang w:val="pt-BR"/>
        </w:rPr>
        <w:t xml:space="preserve">, SBDI-I, </w:t>
      </w:r>
      <w:r w:rsidRPr="00752730">
        <w:rPr>
          <w:rFonts w:ascii="Times New Roman" w:hAnsi="Times New Roman" w:cs="Times New Roman"/>
          <w:u w:val="single"/>
          <w:lang w:val="pt-BR" w:eastAsia="en-US"/>
        </w:rPr>
        <w:t>rel.</w:t>
      </w:r>
      <w:r w:rsidRPr="00752730">
        <w:rPr>
          <w:rFonts w:ascii="Times New Roman" w:hAnsi="Times New Roman" w:cs="Times New Roman"/>
          <w:u w:val="single"/>
          <w:lang w:val="pt-BR"/>
        </w:rPr>
        <w:t xml:space="preserve"> Min. Cláudio Mascarenhas Brandão,</w:t>
      </w:r>
      <w:r w:rsidRPr="00752730">
        <w:rPr>
          <w:rFonts w:ascii="Times New Roman" w:hAnsi="Times New Roman" w:cs="Times New Roman"/>
          <w:u w:val="single"/>
          <w:lang w:val="pt-BR" w:eastAsia="en-US"/>
        </w:rPr>
        <w:t xml:space="preserve"> </w:t>
      </w:r>
      <w:proofErr w:type="gramStart"/>
      <w:r w:rsidRPr="00752730">
        <w:rPr>
          <w:rFonts w:ascii="Times New Roman" w:hAnsi="Times New Roman" w:cs="Times New Roman"/>
          <w:u w:val="single"/>
          <w:lang w:val="pt-BR" w:eastAsia="en-US"/>
        </w:rPr>
        <w:t>3.10.2019</w:t>
      </w:r>
      <w:proofErr w:type="gramEnd"/>
    </w:p>
    <w:p w:rsidR="00F74361" w:rsidRPr="00752730" w:rsidRDefault="00F74361" w:rsidP="005848D7">
      <w:pPr>
        <w:pStyle w:val="Identificao"/>
        <w:rPr>
          <w:rFonts w:ascii="Times New Roman" w:hAnsi="Times New Roman" w:cs="Times New Roman"/>
          <w:color w:val="auto"/>
          <w:sz w:val="20"/>
          <w:szCs w:val="20"/>
          <w:u w:val="single"/>
          <w:lang w:val="pt-BR"/>
        </w:rPr>
      </w:pPr>
    </w:p>
    <w:p w:rsidR="00F74361" w:rsidRPr="004B3120" w:rsidRDefault="00F74361" w:rsidP="00F7436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7159C7" w:rsidRPr="00F74361" w:rsidRDefault="007159C7" w:rsidP="005848D7">
      <w:pPr>
        <w:pStyle w:val="Identificao"/>
        <w:rPr>
          <w:rFonts w:ascii="Times New Roman" w:hAnsi="Times New Roman" w:cs="Times New Roman"/>
          <w:color w:val="auto"/>
          <w:sz w:val="20"/>
          <w:szCs w:val="20"/>
          <w:lang w:val="pt-BR"/>
        </w:rPr>
      </w:pPr>
    </w:p>
    <w:p w:rsidR="00752730" w:rsidRPr="00752730" w:rsidRDefault="00752730" w:rsidP="00752730">
      <w:pPr>
        <w:adjustRightInd w:val="0"/>
        <w:jc w:val="both"/>
        <w:rPr>
          <w:b/>
          <w:bCs/>
          <w:i/>
          <w:iCs/>
          <w:sz w:val="24"/>
          <w:szCs w:val="24"/>
        </w:rPr>
      </w:pPr>
      <w:r w:rsidRPr="00752730">
        <w:rPr>
          <w:b/>
          <w:bCs/>
          <w:i/>
          <w:iCs/>
          <w:sz w:val="24"/>
          <w:szCs w:val="24"/>
        </w:rPr>
        <w:t>Mandado de segurança. Cabimento. Determinação judicial de emenda da petição inicial para juntar planilha contábil. Art. 840, § 1º da CLT. Ato teratológico. Não incidência da Orientação Jurisprudencial nº 92 da SBDI-II.</w:t>
      </w:r>
    </w:p>
    <w:p w:rsidR="00752730" w:rsidRPr="00752730" w:rsidRDefault="00752730" w:rsidP="00752730">
      <w:pPr>
        <w:adjustRightInd w:val="0"/>
        <w:jc w:val="both"/>
        <w:rPr>
          <w:bCs/>
          <w:iCs/>
          <w:sz w:val="24"/>
          <w:szCs w:val="24"/>
        </w:rPr>
      </w:pPr>
      <w:r w:rsidRPr="00752730">
        <w:rPr>
          <w:bCs/>
          <w:iCs/>
          <w:sz w:val="24"/>
          <w:szCs w:val="24"/>
        </w:rPr>
        <w:t xml:space="preserve">Cabe, excepcionalmente, mandado de segurança para impugnar decisão que determinou a emenda à petição inicial de reclamação trabalhista para que o autor juntasse planilha contábil, </w:t>
      </w:r>
      <w:proofErr w:type="gramStart"/>
      <w:r w:rsidRPr="00752730">
        <w:rPr>
          <w:bCs/>
          <w:iCs/>
          <w:sz w:val="24"/>
          <w:szCs w:val="24"/>
        </w:rPr>
        <w:t>sob pena</w:t>
      </w:r>
      <w:proofErr w:type="gramEnd"/>
      <w:r w:rsidRPr="00752730">
        <w:rPr>
          <w:bCs/>
          <w:iCs/>
          <w:sz w:val="24"/>
          <w:szCs w:val="24"/>
        </w:rPr>
        <w:t xml:space="preserve"> de extinção do processo sem resolução de mérito. Trata-se de decisão teratológica, a afastar a incidência da Orientação Jurisprudencial nº 92 da SBDI-II, pois impõe ônus ilegal ao exercício do direito de ação, visto que a planilha contábil não é documento indispensável à propositura da reclamação, nos termos do art. 840, § 1º, da CLT e dos </w:t>
      </w:r>
      <w:proofErr w:type="spellStart"/>
      <w:r w:rsidRPr="00752730">
        <w:rPr>
          <w:bCs/>
          <w:iCs/>
          <w:sz w:val="24"/>
          <w:szCs w:val="24"/>
        </w:rPr>
        <w:t>arts</w:t>
      </w:r>
      <w:proofErr w:type="spellEnd"/>
      <w:r w:rsidRPr="00752730">
        <w:rPr>
          <w:bCs/>
          <w:iCs/>
          <w:sz w:val="24"/>
          <w:szCs w:val="24"/>
        </w:rPr>
        <w:t xml:space="preserve">. </w:t>
      </w:r>
      <w:proofErr w:type="gramStart"/>
      <w:r w:rsidRPr="00752730">
        <w:rPr>
          <w:bCs/>
          <w:iCs/>
          <w:sz w:val="24"/>
          <w:szCs w:val="24"/>
        </w:rPr>
        <w:t>319, IV</w:t>
      </w:r>
      <w:proofErr w:type="gramEnd"/>
      <w:r w:rsidRPr="00752730">
        <w:rPr>
          <w:bCs/>
          <w:iCs/>
          <w:sz w:val="24"/>
          <w:szCs w:val="24"/>
        </w:rPr>
        <w:t xml:space="preserve"> e V; 320; 322, </w:t>
      </w:r>
      <w:r w:rsidRPr="00752730">
        <w:rPr>
          <w:bCs/>
          <w:i/>
          <w:iCs/>
          <w:sz w:val="24"/>
          <w:szCs w:val="24"/>
        </w:rPr>
        <w:t>caput</w:t>
      </w:r>
      <w:r w:rsidRPr="00752730">
        <w:rPr>
          <w:bCs/>
          <w:iCs/>
          <w:sz w:val="24"/>
          <w:szCs w:val="24"/>
        </w:rPr>
        <w:t xml:space="preserve">, § 2º e 324, todos do CPC de 2015. Ademais, exigir que o reclamante aguardasse a prolação da sentença de extinção do processo, sem julgamento do mérito, para só então se valer da medida processual cabível atenta contra a celeridade da prestação jurisdicional. Sob esses fundamentos, a SBDI-II, por maioria, deu provimento ao recurso ordinário para conceder a segurança e determinar o prosseguimento da reclamação trabalhista em questão, independentemente da juntada da planilha contábil. Vencidos os Ministros Renato de Lacerda Paiva, Luiz José Dezena da Silva e Evandro Valadão. </w:t>
      </w:r>
      <w:hyperlink r:id="rId9" w:history="1">
        <w:r w:rsidRPr="00752730">
          <w:rPr>
            <w:rStyle w:val="Hyperlink"/>
            <w:sz w:val="24"/>
            <w:szCs w:val="24"/>
            <w:shd w:val="clear" w:color="auto" w:fill="FFFFFF"/>
          </w:rPr>
          <w:t>TST-RO-368-24.2018.5.12.0000</w:t>
        </w:r>
      </w:hyperlink>
      <w:r w:rsidRPr="00752730">
        <w:rPr>
          <w:color w:val="000000"/>
          <w:sz w:val="24"/>
          <w:szCs w:val="24"/>
          <w:u w:val="single"/>
          <w:shd w:val="clear" w:color="auto" w:fill="FFFFFF"/>
        </w:rPr>
        <w:t xml:space="preserve">, SBDI-II, </w:t>
      </w:r>
      <w:r w:rsidRPr="00752730">
        <w:rPr>
          <w:sz w:val="24"/>
          <w:szCs w:val="24"/>
          <w:u w:val="single"/>
          <w:shd w:val="clear" w:color="auto" w:fill="FFFFFF"/>
        </w:rPr>
        <w:t xml:space="preserve">rel. Min. </w:t>
      </w:r>
      <w:r w:rsidRPr="00752730">
        <w:rPr>
          <w:bCs/>
          <w:sz w:val="24"/>
          <w:szCs w:val="24"/>
          <w:u w:val="single"/>
          <w:shd w:val="clear" w:color="auto" w:fill="FFFFFF"/>
        </w:rPr>
        <w:t xml:space="preserve">Maria Helena </w:t>
      </w:r>
      <w:proofErr w:type="spellStart"/>
      <w:r w:rsidRPr="00752730">
        <w:rPr>
          <w:bCs/>
          <w:sz w:val="24"/>
          <w:szCs w:val="24"/>
          <w:u w:val="single"/>
          <w:shd w:val="clear" w:color="auto" w:fill="FFFFFF"/>
        </w:rPr>
        <w:t>Mallmann</w:t>
      </w:r>
      <w:proofErr w:type="spellEnd"/>
      <w:r w:rsidRPr="00752730">
        <w:rPr>
          <w:bCs/>
          <w:sz w:val="24"/>
          <w:szCs w:val="24"/>
          <w:u w:val="single"/>
          <w:shd w:val="clear" w:color="auto" w:fill="FFFFFF"/>
        </w:rPr>
        <w:t xml:space="preserve">, </w:t>
      </w:r>
      <w:proofErr w:type="gramStart"/>
      <w:r w:rsidRPr="00752730">
        <w:rPr>
          <w:bCs/>
          <w:sz w:val="24"/>
          <w:szCs w:val="24"/>
          <w:u w:val="single"/>
          <w:shd w:val="clear" w:color="auto" w:fill="FFFFFF"/>
        </w:rPr>
        <w:t>1º.</w:t>
      </w:r>
      <w:proofErr w:type="gramEnd"/>
      <w:r w:rsidRPr="00752730">
        <w:rPr>
          <w:bCs/>
          <w:sz w:val="24"/>
          <w:szCs w:val="24"/>
          <w:u w:val="single"/>
          <w:shd w:val="clear" w:color="auto" w:fill="FFFFFF"/>
        </w:rPr>
        <w:t>10.2019</w:t>
      </w:r>
    </w:p>
    <w:p w:rsidR="00752730" w:rsidRPr="00752730" w:rsidRDefault="00752730" w:rsidP="00752730">
      <w:pPr>
        <w:jc w:val="both"/>
        <w:outlineLvl w:val="0"/>
        <w:rPr>
          <w:rFonts w:eastAsiaTheme="minorEastAsia"/>
          <w:b/>
          <w:i/>
          <w:color w:val="000000"/>
          <w:sz w:val="24"/>
          <w:szCs w:val="24"/>
        </w:rPr>
      </w:pPr>
    </w:p>
    <w:p w:rsidR="00752730" w:rsidRPr="00752730" w:rsidRDefault="00752730" w:rsidP="00752730">
      <w:pPr>
        <w:jc w:val="both"/>
        <w:rPr>
          <w:rFonts w:eastAsia="Calibri"/>
          <w:b/>
          <w:i/>
          <w:sz w:val="24"/>
          <w:szCs w:val="24"/>
        </w:rPr>
      </w:pPr>
      <w:r w:rsidRPr="00752730">
        <w:rPr>
          <w:rFonts w:eastAsia="Calibri"/>
          <w:b/>
          <w:i/>
          <w:sz w:val="24"/>
          <w:szCs w:val="24"/>
        </w:rPr>
        <w:t xml:space="preserve">Recurso ordinário. Cabimento. Agravo regimental que confirma decisão monocrática em ação rescisória. Determinação de intimação da parte para complementação do depósito prévio </w:t>
      </w:r>
      <w:proofErr w:type="gramStart"/>
      <w:r w:rsidRPr="00752730">
        <w:rPr>
          <w:rFonts w:eastAsia="Calibri"/>
          <w:b/>
          <w:i/>
          <w:sz w:val="24"/>
          <w:szCs w:val="24"/>
        </w:rPr>
        <w:t>sob pena</w:t>
      </w:r>
      <w:proofErr w:type="gramEnd"/>
      <w:r w:rsidRPr="00752730">
        <w:rPr>
          <w:rFonts w:eastAsia="Calibri"/>
          <w:b/>
          <w:i/>
          <w:sz w:val="24"/>
          <w:szCs w:val="24"/>
        </w:rPr>
        <w:t xml:space="preserve"> de indeferimento liminar da inicial. Antecipação da extinção do processo, sem resolução de mérito. Recorribilidade imediata. </w:t>
      </w:r>
    </w:p>
    <w:p w:rsidR="00752730" w:rsidRPr="00752730" w:rsidRDefault="00752730" w:rsidP="00752730">
      <w:pPr>
        <w:jc w:val="both"/>
        <w:rPr>
          <w:rFonts w:eastAsia="Calibri"/>
          <w:sz w:val="24"/>
          <w:szCs w:val="24"/>
        </w:rPr>
      </w:pPr>
      <w:r w:rsidRPr="00752730">
        <w:rPr>
          <w:rFonts w:eastAsia="Calibri"/>
          <w:sz w:val="24"/>
          <w:szCs w:val="24"/>
        </w:rPr>
        <w:t xml:space="preserve">Cabe recurso ordinário contra decisão de TRT que, ao analisar agravo regimental, confirma decisão monocrática em ação rescisória determinando a intimação da autora para complementação do depósito prévio, </w:t>
      </w:r>
      <w:proofErr w:type="gramStart"/>
      <w:r w:rsidRPr="00752730">
        <w:rPr>
          <w:rFonts w:eastAsia="Calibri"/>
          <w:sz w:val="24"/>
          <w:szCs w:val="24"/>
        </w:rPr>
        <w:t>sob pena</w:t>
      </w:r>
      <w:proofErr w:type="gramEnd"/>
      <w:r w:rsidRPr="00752730">
        <w:rPr>
          <w:rFonts w:eastAsia="Calibri"/>
          <w:sz w:val="24"/>
          <w:szCs w:val="24"/>
        </w:rPr>
        <w:t xml:space="preserve"> de indeferimento da petição inicial. Trata-se de decisão que antecipa a </w:t>
      </w:r>
      <w:r w:rsidRPr="00752730">
        <w:rPr>
          <w:rFonts w:eastAsia="Calibri"/>
          <w:sz w:val="24"/>
          <w:szCs w:val="24"/>
        </w:rPr>
        <w:lastRenderedPageBreak/>
        <w:t>extinção do processo, sem resolução de mérito (art. 485, IV, do CPC de 2015), ostentando, portanto, natureza jurídica de decisão terminativa a autorizar o cabimento de recurso ordinário ao TST, em atenção aos princípios da economia, utilidade e celeridade processuais. Sob esse fundamento, a SBDI-II, por unanimidade, conheceu do recurso ordinário e, no mérito, por maioria, deu-lhes provimento para, afastado o ônus processual imposto à parte relativamente à complementação do depósito prévio, determinar o retorno dos autos ao TRT de origem para que prossiga no exame da ação rescisória, como entender de direito.</w:t>
      </w:r>
      <w:r w:rsidRPr="00752730">
        <w:rPr>
          <w:sz w:val="24"/>
          <w:szCs w:val="24"/>
        </w:rPr>
        <w:t xml:space="preserve"> </w:t>
      </w:r>
      <w:r w:rsidRPr="00752730">
        <w:rPr>
          <w:rFonts w:eastAsia="Calibri"/>
          <w:sz w:val="24"/>
          <w:szCs w:val="24"/>
        </w:rPr>
        <w:t>Vencidos os Ministros</w:t>
      </w:r>
      <w:r w:rsidRPr="00752730">
        <w:rPr>
          <w:sz w:val="24"/>
          <w:szCs w:val="24"/>
        </w:rPr>
        <w:t xml:space="preserve"> </w:t>
      </w:r>
      <w:r w:rsidRPr="00752730">
        <w:rPr>
          <w:rFonts w:eastAsia="Calibri"/>
          <w:sz w:val="24"/>
          <w:szCs w:val="24"/>
        </w:rPr>
        <w:t xml:space="preserve">Luiz Jose Dezena da Silva, Douglas Alencar Rodrigues, Evandro Valadão e Renato de Lacerda Paiva. </w:t>
      </w:r>
      <w:hyperlink r:id="rId10" w:history="1">
        <w:r w:rsidRPr="00752730">
          <w:rPr>
            <w:rStyle w:val="Hyperlink"/>
            <w:rFonts w:eastAsia="Calibri"/>
            <w:sz w:val="24"/>
            <w:szCs w:val="24"/>
          </w:rPr>
          <w:t>TST-RO-7878-41.2017.5.15.0000</w:t>
        </w:r>
      </w:hyperlink>
      <w:r w:rsidRPr="00752730">
        <w:rPr>
          <w:rFonts w:eastAsia="Calibri"/>
          <w:sz w:val="24"/>
          <w:szCs w:val="24"/>
          <w:u w:val="single"/>
        </w:rPr>
        <w:t>, SBDI-II, rel. Min.</w:t>
      </w:r>
      <w:r w:rsidRPr="00752730">
        <w:rPr>
          <w:sz w:val="24"/>
          <w:szCs w:val="24"/>
          <w:u w:val="single"/>
        </w:rPr>
        <w:t xml:space="preserve"> </w:t>
      </w:r>
      <w:r w:rsidRPr="00752730">
        <w:rPr>
          <w:rFonts w:eastAsia="Calibri"/>
          <w:sz w:val="24"/>
          <w:szCs w:val="24"/>
          <w:u w:val="single"/>
        </w:rPr>
        <w:t xml:space="preserve">Alexandre Agra Belmonte, </w:t>
      </w:r>
      <w:proofErr w:type="gramStart"/>
      <w:r w:rsidRPr="00752730">
        <w:rPr>
          <w:rFonts w:eastAsia="Calibri"/>
          <w:sz w:val="24"/>
          <w:szCs w:val="24"/>
          <w:u w:val="single"/>
        </w:rPr>
        <w:t>1º.</w:t>
      </w:r>
      <w:proofErr w:type="gramEnd"/>
      <w:r w:rsidRPr="00752730">
        <w:rPr>
          <w:rFonts w:eastAsia="Calibri"/>
          <w:sz w:val="24"/>
          <w:szCs w:val="24"/>
          <w:u w:val="single"/>
        </w:rPr>
        <w:t>10.2019</w:t>
      </w:r>
    </w:p>
    <w:p w:rsidR="005848D7" w:rsidRPr="005848D7" w:rsidRDefault="005848D7" w:rsidP="00F53215">
      <w:pPr>
        <w:jc w:val="both"/>
        <w:rPr>
          <w:u w:val="single"/>
        </w:rPr>
      </w:pPr>
    </w:p>
    <w:p w:rsidR="009A76A2" w:rsidRPr="004B312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1" w:name="Ementa"/>
      <w:bookmarkStart w:id="2" w:name="tempEmenta"/>
    </w:p>
    <w:p w:rsidR="00752730" w:rsidRPr="000B27FD" w:rsidRDefault="00752730" w:rsidP="00752730">
      <w:pPr>
        <w:jc w:val="both"/>
        <w:outlineLvl w:val="0"/>
        <w:rPr>
          <w:bCs/>
          <w:i/>
          <w:color w:val="000000"/>
          <w:sz w:val="24"/>
          <w:szCs w:val="24"/>
        </w:rPr>
      </w:pPr>
      <w:r w:rsidRPr="000B27FD">
        <w:rPr>
          <w:i/>
          <w:color w:val="000000"/>
          <w:sz w:val="24"/>
          <w:szCs w:val="24"/>
        </w:rPr>
        <w:t>“(...)</w:t>
      </w:r>
      <w:r w:rsidRPr="000B27FD">
        <w:rPr>
          <w:bCs/>
          <w:i/>
          <w:color w:val="000000"/>
          <w:sz w:val="24"/>
          <w:szCs w:val="24"/>
        </w:rPr>
        <w:t xml:space="preserve">1 - FÉRIAS INTERROMPIDAS. PAGAMENTO EM DOBRO DO PERÍODO INTEGRAL E NÃO APENAS DOS DIAS TRABALHADOS. No caso concreto, restou demonstrado que a reclamante foi chamada para trabalhar por três dias nas férias. Todavia, a Corte de origem manteve a condenação da reclamada ao pagamento em dobro apenas dos três dias trabalhados. O trabalho durante as férias torna irregular a sua concessão, porquanto frustra a finalidade do instituto, gerando, assim, o direito de o trabalhador recebê-las integralmente em dobro, e não apenas dos dias trabalhados, nos termos do artigo 137 da CLT. Precedente. Recurso de revista conhecido e provido. (...)” </w:t>
      </w:r>
      <w:r w:rsidRPr="000B27FD">
        <w:rPr>
          <w:bCs/>
          <w:color w:val="000000"/>
          <w:sz w:val="24"/>
          <w:szCs w:val="24"/>
        </w:rPr>
        <w:t>(</w:t>
      </w:r>
      <w:hyperlink r:id="rId11" w:history="1">
        <w:r w:rsidRPr="000B27FD">
          <w:rPr>
            <w:rStyle w:val="Hyperlink"/>
            <w:bCs/>
            <w:sz w:val="24"/>
            <w:szCs w:val="24"/>
          </w:rPr>
          <w:t>TST-RR-684-94.2012.5.04.0024</w:t>
        </w:r>
      </w:hyperlink>
      <w:r w:rsidRPr="000B27FD">
        <w:rPr>
          <w:bCs/>
          <w:color w:val="000000"/>
          <w:sz w:val="24"/>
          <w:szCs w:val="24"/>
        </w:rPr>
        <w:t xml:space="preserve">, 2ª Turma, rel. Min. </w:t>
      </w:r>
      <w:proofErr w:type="spellStart"/>
      <w:r w:rsidRPr="000B27FD">
        <w:rPr>
          <w:bCs/>
          <w:color w:val="000000"/>
          <w:sz w:val="24"/>
          <w:szCs w:val="24"/>
        </w:rPr>
        <w:t>Delaíde</w:t>
      </w:r>
      <w:proofErr w:type="spellEnd"/>
      <w:r w:rsidRPr="000B27FD">
        <w:rPr>
          <w:bCs/>
          <w:color w:val="000000"/>
          <w:sz w:val="24"/>
          <w:szCs w:val="24"/>
        </w:rPr>
        <w:t xml:space="preserve"> Miranda Arantes, julgado em </w:t>
      </w:r>
      <w:proofErr w:type="gramStart"/>
      <w:r w:rsidRPr="000B27FD">
        <w:rPr>
          <w:bCs/>
          <w:color w:val="000000"/>
          <w:sz w:val="24"/>
          <w:szCs w:val="24"/>
        </w:rPr>
        <w:t>2.10.2019)</w:t>
      </w:r>
      <w:proofErr w:type="gramEnd"/>
    </w:p>
    <w:p w:rsidR="00752730" w:rsidRPr="008E7D58" w:rsidRDefault="00752730" w:rsidP="00752730">
      <w:pPr>
        <w:jc w:val="both"/>
        <w:outlineLvl w:val="0"/>
        <w:rPr>
          <w:rFonts w:eastAsiaTheme="minorEastAsia"/>
          <w:b/>
          <w:i/>
          <w:color w:val="000000"/>
        </w:rPr>
      </w:pPr>
    </w:p>
    <w:p w:rsidR="00752730" w:rsidRDefault="00752730" w:rsidP="00752730">
      <w:pPr>
        <w:jc w:val="both"/>
        <w:outlineLvl w:val="0"/>
        <w:rPr>
          <w:bCs/>
          <w:color w:val="000000"/>
          <w:sz w:val="24"/>
          <w:szCs w:val="24"/>
        </w:rPr>
      </w:pPr>
      <w:r w:rsidRPr="000B27FD">
        <w:rPr>
          <w:rFonts w:eastAsiaTheme="minorEastAsia"/>
          <w:i/>
          <w:color w:val="000000"/>
          <w:sz w:val="24"/>
          <w:szCs w:val="24"/>
        </w:rPr>
        <w:t>“(...)</w:t>
      </w:r>
      <w:proofErr w:type="gramStart"/>
      <w:r w:rsidRPr="000B27FD">
        <w:rPr>
          <w:bCs/>
          <w:i/>
          <w:color w:val="000000"/>
          <w:sz w:val="24"/>
          <w:szCs w:val="24"/>
        </w:rPr>
        <w:t>3</w:t>
      </w:r>
      <w:proofErr w:type="gramEnd"/>
      <w:r w:rsidRPr="000B27FD">
        <w:rPr>
          <w:i/>
          <w:color w:val="000000"/>
          <w:sz w:val="24"/>
          <w:szCs w:val="24"/>
        </w:rPr>
        <w:t>. PLANO DE SAÚDE CONCEDIDO PELO EMPREGADOR AOS EMPREGADOS EM REGIME DE COBRANÇA DE MENSALIDADES. ART. 30 DA LEI 9.656/98.</w:t>
      </w:r>
      <w:r w:rsidRPr="000B27FD">
        <w:rPr>
          <w:bCs/>
          <w:i/>
          <w:color w:val="000000"/>
          <w:sz w:val="24"/>
          <w:szCs w:val="24"/>
        </w:rPr>
        <w:t xml:space="preserve"> FALECIMENTO DO TITULAR. MANUTENÇÃO DA COBERTURA ÀS DEPENDENTES. </w:t>
      </w:r>
      <w:r w:rsidRPr="000B27FD">
        <w:rPr>
          <w:bCs/>
          <w:i/>
          <w:color w:val="000000"/>
          <w:sz w:val="24"/>
          <w:szCs w:val="24"/>
          <w:u w:val="single"/>
        </w:rPr>
        <w:t>LIMITAÇÃO TEMPORAL</w:t>
      </w:r>
      <w:r w:rsidRPr="000B27FD">
        <w:rPr>
          <w:bCs/>
          <w:i/>
          <w:color w:val="000000"/>
          <w:sz w:val="24"/>
          <w:szCs w:val="24"/>
        </w:rPr>
        <w:t xml:space="preserve">. </w:t>
      </w:r>
      <w:r w:rsidRPr="000B27FD">
        <w:rPr>
          <w:bCs/>
          <w:i/>
          <w:color w:val="000000"/>
          <w:sz w:val="24"/>
          <w:szCs w:val="24"/>
          <w:u w:val="single"/>
        </w:rPr>
        <w:t>TERMO INICIAL</w:t>
      </w:r>
      <w:r w:rsidRPr="000B27FD">
        <w:rPr>
          <w:bCs/>
          <w:i/>
          <w:color w:val="000000"/>
          <w:sz w:val="24"/>
          <w:szCs w:val="24"/>
        </w:rPr>
        <w:t xml:space="preserve">. ART. 30, § 1º, DA LEI 9.656/98. 3.1 </w:t>
      </w:r>
      <w:r w:rsidRPr="000B27FD">
        <w:rPr>
          <w:i/>
          <w:color w:val="000000"/>
          <w:sz w:val="24"/>
          <w:szCs w:val="24"/>
        </w:rPr>
        <w:t xml:space="preserve">Cinge-se a controvérsia à definição do termo inicial do prazo previsto o § 1º do art. 30 da Lei 9.656/98, atinente à manutenção dos dependentes do </w:t>
      </w:r>
      <w:proofErr w:type="spellStart"/>
      <w:r w:rsidRPr="000B27FD">
        <w:rPr>
          <w:i/>
          <w:color w:val="000000"/>
          <w:sz w:val="24"/>
          <w:szCs w:val="24"/>
        </w:rPr>
        <w:t>ex-empregado</w:t>
      </w:r>
      <w:proofErr w:type="spellEnd"/>
      <w:r w:rsidRPr="000B27FD">
        <w:rPr>
          <w:i/>
          <w:color w:val="000000"/>
          <w:sz w:val="24"/>
          <w:szCs w:val="24"/>
        </w:rPr>
        <w:t xml:space="preserve"> falecido no plano de saúde ofertado pela Reclamada. 3.2 Antes de adentrar na análise do tema, importante destacar alguns dados fáticos essenciais para o deslinde da controvérsia: (a) o contrato de trabalho do de cujus vigorou de 18.04.2008 a 01.11.2012; (b) a Reclamada disponibiliza plano de saúde a seus empregados cujo custeio é arcado por contribuições e </w:t>
      </w:r>
      <w:proofErr w:type="spellStart"/>
      <w:r w:rsidRPr="000B27FD">
        <w:rPr>
          <w:i/>
          <w:color w:val="000000"/>
          <w:sz w:val="24"/>
          <w:szCs w:val="24"/>
        </w:rPr>
        <w:t>co-participações</w:t>
      </w:r>
      <w:proofErr w:type="spellEnd"/>
      <w:r w:rsidRPr="000B27FD">
        <w:rPr>
          <w:i/>
          <w:color w:val="000000"/>
          <w:sz w:val="24"/>
          <w:szCs w:val="24"/>
        </w:rPr>
        <w:t xml:space="preserve"> vertidas pelos seus empregados; (c) as Reclamantes são dependentes do </w:t>
      </w:r>
      <w:proofErr w:type="spellStart"/>
      <w:r w:rsidRPr="000B27FD">
        <w:rPr>
          <w:i/>
          <w:color w:val="000000"/>
          <w:sz w:val="24"/>
          <w:szCs w:val="24"/>
        </w:rPr>
        <w:t>ex-titular</w:t>
      </w:r>
      <w:proofErr w:type="spellEnd"/>
      <w:r w:rsidRPr="000B27FD">
        <w:rPr>
          <w:i/>
          <w:color w:val="000000"/>
          <w:sz w:val="24"/>
          <w:szCs w:val="24"/>
        </w:rPr>
        <w:t xml:space="preserve"> do plano de saúde. 3.3 A questão referente à manutenção em plano de saúde ofertado pela empregadora é disciplinado pelo art. 30 da Lei 9.656/98, que assegura ao </w:t>
      </w:r>
      <w:proofErr w:type="spellStart"/>
      <w:r w:rsidRPr="000B27FD">
        <w:rPr>
          <w:i/>
          <w:color w:val="000000"/>
          <w:sz w:val="24"/>
          <w:szCs w:val="24"/>
        </w:rPr>
        <w:t>ex-empregado</w:t>
      </w:r>
      <w:proofErr w:type="spellEnd"/>
      <w:r w:rsidRPr="000B27FD">
        <w:rPr>
          <w:i/>
          <w:color w:val="000000"/>
          <w:sz w:val="24"/>
          <w:szCs w:val="24"/>
        </w:rPr>
        <w:t xml:space="preserve"> que contribui para o plano, no caso de rescisão ou exoneração do contrato de trabalho sem justa causa – assim como a seus dependentes, na hipótese de falecimento do titular –, o direito à manutenção do plano de saúde nas mesma condições vigorantes no contrato de trabalho, no prazo "de um terço do tempo de permanência nos produtos de que tratam o inciso I e o § 1o do art. 1o, ou sucessores, com um mínimo assegurado de seis meses e um máximo de vinte e quatro meses". Referido artigo, ao assegurar a </w:t>
      </w:r>
      <w:r w:rsidRPr="000B27FD">
        <w:rPr>
          <w:i/>
          <w:color w:val="000000"/>
          <w:sz w:val="24"/>
          <w:szCs w:val="24"/>
          <w:u w:val="single"/>
        </w:rPr>
        <w:t xml:space="preserve">manutenção </w:t>
      </w:r>
      <w:r w:rsidRPr="000B27FD">
        <w:rPr>
          <w:i/>
          <w:color w:val="000000"/>
          <w:sz w:val="24"/>
          <w:szCs w:val="24"/>
        </w:rPr>
        <w:t xml:space="preserve">dos dependentes no plano de saúde do de cujus nas mesmas condições ofertadas enquanto vigorava o contrato de trabalho, evidencia a relação de continuidade da cobertura que almeja, justamente, a </w:t>
      </w:r>
      <w:proofErr w:type="spellStart"/>
      <w:r w:rsidRPr="000B27FD">
        <w:rPr>
          <w:i/>
          <w:color w:val="000000"/>
          <w:sz w:val="24"/>
          <w:szCs w:val="24"/>
        </w:rPr>
        <w:t>ininterruptividade</w:t>
      </w:r>
      <w:proofErr w:type="spellEnd"/>
      <w:r w:rsidRPr="000B27FD">
        <w:rPr>
          <w:i/>
          <w:color w:val="000000"/>
          <w:sz w:val="24"/>
          <w:szCs w:val="24"/>
        </w:rPr>
        <w:t xml:space="preserve"> e a regularidade da proteção à saúde dos beneficiários. Dessa forma, o termo inicial do prazo previsto no § 1º do art. 30 da Lei 9.656/98 deve ser, </w:t>
      </w:r>
      <w:r w:rsidRPr="000B27FD">
        <w:rPr>
          <w:i/>
          <w:color w:val="000000"/>
          <w:sz w:val="24"/>
          <w:szCs w:val="24"/>
          <w:u w:val="single"/>
        </w:rPr>
        <w:t>via de regra</w:t>
      </w:r>
      <w:r w:rsidRPr="000B27FD">
        <w:rPr>
          <w:i/>
          <w:color w:val="000000"/>
          <w:sz w:val="24"/>
          <w:szCs w:val="24"/>
        </w:rPr>
        <w:t xml:space="preserve">, o dia seguinte ao término do contrato de trabalho </w:t>
      </w:r>
      <w:proofErr w:type="gramStart"/>
      <w:r w:rsidRPr="000B27FD">
        <w:rPr>
          <w:i/>
          <w:color w:val="000000"/>
          <w:sz w:val="24"/>
          <w:szCs w:val="24"/>
        </w:rPr>
        <w:t>entabulado</w:t>
      </w:r>
      <w:proofErr w:type="gramEnd"/>
      <w:r w:rsidRPr="000B27FD">
        <w:rPr>
          <w:i/>
          <w:color w:val="000000"/>
          <w:sz w:val="24"/>
          <w:szCs w:val="24"/>
        </w:rPr>
        <w:t xml:space="preserve"> entre o de cujus e a Reclamada, de maneira que eventual suspensão indevida da cobertura pela Reclamada, a partir desta data, deveria ser solucionada na seara da responsabilidade civil, com as pretensões </w:t>
      </w:r>
      <w:proofErr w:type="spellStart"/>
      <w:r w:rsidRPr="000B27FD">
        <w:rPr>
          <w:i/>
          <w:color w:val="000000"/>
          <w:sz w:val="24"/>
          <w:szCs w:val="24"/>
        </w:rPr>
        <w:t>ressarcitórias</w:t>
      </w:r>
      <w:proofErr w:type="spellEnd"/>
      <w:r w:rsidRPr="000B27FD">
        <w:rPr>
          <w:i/>
          <w:color w:val="000000"/>
          <w:sz w:val="24"/>
          <w:szCs w:val="24"/>
        </w:rPr>
        <w:t xml:space="preserve"> correspondentes (</w:t>
      </w:r>
      <w:proofErr w:type="spellStart"/>
      <w:r w:rsidRPr="000B27FD">
        <w:rPr>
          <w:i/>
          <w:color w:val="000000"/>
          <w:sz w:val="24"/>
          <w:szCs w:val="24"/>
        </w:rPr>
        <w:t>arts</w:t>
      </w:r>
      <w:proofErr w:type="spellEnd"/>
      <w:r w:rsidRPr="000B27FD">
        <w:rPr>
          <w:i/>
          <w:color w:val="000000"/>
          <w:sz w:val="24"/>
          <w:szCs w:val="24"/>
        </w:rPr>
        <w:t xml:space="preserve">. 186, 927 e 944 do CCB/002) - o que foi pleiteado na presente demanda. 3.4 </w:t>
      </w:r>
      <w:r w:rsidRPr="000B27FD">
        <w:rPr>
          <w:i/>
          <w:color w:val="000000"/>
          <w:sz w:val="24"/>
          <w:szCs w:val="24"/>
          <w:u w:val="single"/>
        </w:rPr>
        <w:t xml:space="preserve">Todavia, no presente apelo, a Reclamada requereu a data da prolação da sentença (05.03.2015) como termo inicial para a contagem do prazo para a manutenção das dependentes no plano de saúde. Dessa maneira, em atendimento ao princípio da congruência, acolhe-se a pretensão recursal para reformar o acórdão e restabelecer </w:t>
      </w:r>
      <w:r w:rsidRPr="000B27FD">
        <w:rPr>
          <w:i/>
          <w:color w:val="000000"/>
          <w:sz w:val="24"/>
          <w:szCs w:val="24"/>
          <w:u w:val="single"/>
        </w:rPr>
        <w:lastRenderedPageBreak/>
        <w:t>os termos da sentença, nesse aspecto.</w:t>
      </w:r>
      <w:r w:rsidRPr="000B27FD">
        <w:rPr>
          <w:i/>
          <w:color w:val="000000"/>
          <w:sz w:val="24"/>
          <w:szCs w:val="24"/>
        </w:rPr>
        <w:t xml:space="preserve"> </w:t>
      </w:r>
      <w:proofErr w:type="gramStart"/>
      <w:r w:rsidRPr="000B27FD">
        <w:rPr>
          <w:bCs/>
          <w:i/>
          <w:color w:val="000000"/>
          <w:sz w:val="24"/>
          <w:szCs w:val="24"/>
        </w:rPr>
        <w:t>Recurso de revista conhecido e provido no particular.”</w:t>
      </w:r>
      <w:proofErr w:type="gramEnd"/>
      <w:r w:rsidRPr="000B27FD">
        <w:rPr>
          <w:bCs/>
          <w:i/>
          <w:color w:val="000000"/>
          <w:sz w:val="24"/>
          <w:szCs w:val="24"/>
        </w:rPr>
        <w:t xml:space="preserve"> </w:t>
      </w:r>
      <w:r w:rsidRPr="000B27FD">
        <w:rPr>
          <w:bCs/>
          <w:color w:val="000000"/>
          <w:sz w:val="24"/>
          <w:szCs w:val="24"/>
        </w:rPr>
        <w:t>(</w:t>
      </w:r>
      <w:hyperlink r:id="rId12" w:history="1">
        <w:r w:rsidRPr="000B27FD">
          <w:rPr>
            <w:rStyle w:val="Hyperlink"/>
            <w:bCs/>
            <w:sz w:val="24"/>
            <w:szCs w:val="24"/>
          </w:rPr>
          <w:t>TST-RR-805-85.2014.5.05.0134</w:t>
        </w:r>
      </w:hyperlink>
      <w:r w:rsidRPr="000B27FD">
        <w:rPr>
          <w:bCs/>
          <w:color w:val="000000"/>
          <w:sz w:val="24"/>
          <w:szCs w:val="24"/>
        </w:rPr>
        <w:t>, 3ª Turma, Mauricio Godinho Delgado, julgado em 2.10.2019)</w:t>
      </w:r>
    </w:p>
    <w:p w:rsidR="00752730" w:rsidRPr="008E7D58" w:rsidRDefault="00752730" w:rsidP="00752730">
      <w:pPr>
        <w:jc w:val="both"/>
        <w:outlineLvl w:val="0"/>
        <w:rPr>
          <w:rFonts w:eastAsiaTheme="minorEastAsia"/>
          <w:i/>
          <w:color w:val="000000"/>
        </w:rPr>
      </w:pPr>
    </w:p>
    <w:p w:rsidR="00752730" w:rsidRPr="000B27FD" w:rsidRDefault="00752730" w:rsidP="00752730">
      <w:pPr>
        <w:jc w:val="both"/>
        <w:outlineLvl w:val="0"/>
        <w:rPr>
          <w:color w:val="000000"/>
          <w:sz w:val="24"/>
          <w:szCs w:val="24"/>
        </w:rPr>
      </w:pPr>
      <w:r w:rsidRPr="000B27FD">
        <w:rPr>
          <w:i/>
          <w:color w:val="000000"/>
          <w:sz w:val="24"/>
          <w:szCs w:val="24"/>
        </w:rPr>
        <w:t>“(...)</w:t>
      </w:r>
      <w:r>
        <w:rPr>
          <w:i/>
          <w:color w:val="000000"/>
          <w:sz w:val="24"/>
          <w:szCs w:val="24"/>
        </w:rPr>
        <w:t xml:space="preserve"> </w:t>
      </w:r>
      <w:r w:rsidRPr="000B27FD">
        <w:rPr>
          <w:i/>
          <w:color w:val="000000"/>
          <w:sz w:val="24"/>
          <w:szCs w:val="24"/>
        </w:rPr>
        <w:t xml:space="preserve">RECURSO DE REVISTA INTERPOSTO NA VIGÊNCIA DA LEI 13.015/2014. ESTABILIDADE PROVISÓRIA. COOPERATIVA. Nº LEI 5.764/71. Cinge-se a controvérsia em averiguar a existência de finalidade lucrativa na cooperativa COOPERREP e, por conseguinte, a impossibilidade de se reconhecer a estabilidade de seus dirigentes. Em essência, a sociedade cooperativa catalisa esforços e interesses comuns para </w:t>
      </w:r>
      <w:proofErr w:type="gramStart"/>
      <w:r w:rsidRPr="000B27FD">
        <w:rPr>
          <w:i/>
          <w:color w:val="000000"/>
          <w:sz w:val="24"/>
          <w:szCs w:val="24"/>
        </w:rPr>
        <w:t>o desenvolvimento de dada atividade econômica</w:t>
      </w:r>
      <w:proofErr w:type="gramEnd"/>
      <w:r w:rsidRPr="000B27FD">
        <w:rPr>
          <w:i/>
          <w:color w:val="000000"/>
          <w:sz w:val="24"/>
          <w:szCs w:val="24"/>
        </w:rPr>
        <w:t xml:space="preserve">. Fundada na mutualidade entre os cooperados, prima pela satisfação das necessidades econômicas e sociais de seus membros. Com efeito, o objetivo central de uma cooperativa não é o lucro, já que são criadas para prestar serviços aos cooperados, realizando negócios com terceiros em benefício de seus integrantes. Todavia, por abranger operações de natureza econômica, a obtenção de recursos decorrentes de suas atividades é consectário, fato este que, por si só, não desvirtua o cerne do instituto. Tanto é assim que a Lei nº 5.764/71, em seu art. 4º, inciso VII, prevê "o retorno das </w:t>
      </w:r>
      <w:r w:rsidRPr="000B27FD">
        <w:rPr>
          <w:i/>
          <w:color w:val="000000"/>
          <w:sz w:val="24"/>
          <w:szCs w:val="24"/>
          <w:u w:val="single"/>
        </w:rPr>
        <w:t>sobras líquidas</w:t>
      </w:r>
      <w:r w:rsidRPr="000B27FD">
        <w:rPr>
          <w:i/>
          <w:color w:val="000000"/>
          <w:sz w:val="24"/>
          <w:szCs w:val="24"/>
        </w:rPr>
        <w:t xml:space="preserve"> do exercício, proporcionalmente às operações realizadas pelo associado (...)". Sobre o tema, PAULO RENATO FERNANDES DA SILVA, esclarece que: (...) Não cabe tecnicamente utilizar as expressões salário e lucro, mas sim a denominação participação nos resultados (art. 1.094, do Código Civil de 2002) das operações econômicas realizadas pela cooperativa. Esses resultados podem ser positivos, quando são chamados de sobras, ou negativos, chamados de prejuízos. (...) As cooperativas não se ocupam em alcançar rendimentos sobre o capital investido (lucro), e sim em viabilizar, de maneira organizada e estruturada, a atividade dos seus associados. Embora isso seja verdade, nada impede que por força das circunstâncias ou da boa administração a cooperativa tenha um superávit, caso em que tais sobras obedecerão à destinação fixada no Estatuto Social da entidade, podendo ser distribuídas aos associados (...)". A questão então não se lastreia na existência de lucro (ou sobras líquidas), mas sim na aplicação e na destinação dos resultados positivos em prol dos cooperados. No caso concreto, o que se constata foi </w:t>
      </w:r>
      <w:proofErr w:type="gramStart"/>
      <w:r w:rsidRPr="000B27FD">
        <w:rPr>
          <w:i/>
          <w:color w:val="000000"/>
          <w:sz w:val="24"/>
          <w:szCs w:val="24"/>
        </w:rPr>
        <w:t>a</w:t>
      </w:r>
      <w:proofErr w:type="gramEnd"/>
      <w:r w:rsidRPr="000B27FD">
        <w:rPr>
          <w:i/>
          <w:color w:val="000000"/>
          <w:sz w:val="24"/>
          <w:szCs w:val="24"/>
        </w:rPr>
        <w:t xml:space="preserve"> criação de uma cooperativa interestadual de consumo dos representantes propagandistas e vendedores de produtos farmacêuticos nos estados de Pernambuco, Paraíba e Rio Grande do Sul – COOPERREP, cuja atividade consiste no "comércio varejista de mercadorias em geral, com predominância de produtos alimentícios, minimercados, mercearias e armazéns, e, como secundária, o comércio de artigos de papelaria, cosméticos, dentre outros". Resta evidenciado, portanto, que os cooperados, em prol da melhoria da qualidade de vida dos seus membros se uniram para satisfazer suas necessidades econômicas. O fato de ter sido criada para o comércio varejista de seus associados não a desnatura como sociedade cooperativa. É que, não é uma espécie de mercado que atende toda a população indistintamente objetivando o lucro, mas sim, minimercados, mercearias que oferecem produtos para atender as necessidades comuns dos associados que compartilham de iguais riscos e benefícios, com evidente proveito comum, já que na maioria das vezes, cooperativas dessa natureza oferecem preços exclusivos aos cooperados. Também não se vislumbra, no acórdão regional, qualquer indício de fraude quanto às regras de atuação da mencionada cooperativa. Partindo dessa premissa, conclui-se que os elementos descritos no acórdão regional não são suficientes para afastar a caracterização da cooperativa. A singularidade do caso concreto consiste na organização de serviços de interesse dos filiados para obter uma vantagem econômica de todos os membros do grupo que se uniu. Dessa forma, tendo em vista que a reclamante foi eleita como membro da diretoria dessa sociedade cooperativa de consumo, faz jus à estabilidade provisória prevista no artigo 55 da Lei nº 5.764/1971. </w:t>
      </w:r>
      <w:proofErr w:type="gramStart"/>
      <w:r w:rsidRPr="000B27FD">
        <w:rPr>
          <w:i/>
          <w:color w:val="000000"/>
          <w:sz w:val="24"/>
          <w:szCs w:val="24"/>
        </w:rPr>
        <w:t>Recurso de revista conhecido e provido.”</w:t>
      </w:r>
      <w:proofErr w:type="gramEnd"/>
      <w:r w:rsidRPr="000B27FD">
        <w:rPr>
          <w:i/>
          <w:color w:val="000000"/>
          <w:sz w:val="24"/>
          <w:szCs w:val="24"/>
        </w:rPr>
        <w:t xml:space="preserve"> </w:t>
      </w:r>
      <w:r w:rsidRPr="000B27FD">
        <w:rPr>
          <w:color w:val="000000"/>
          <w:sz w:val="24"/>
          <w:szCs w:val="24"/>
        </w:rPr>
        <w:t>(</w:t>
      </w:r>
      <w:hyperlink r:id="rId13" w:history="1">
        <w:r w:rsidRPr="000B27FD">
          <w:rPr>
            <w:rStyle w:val="Hyperlink"/>
            <w:sz w:val="24"/>
            <w:szCs w:val="24"/>
          </w:rPr>
          <w:t>TST-RR-345-11.2016.5.06.0002</w:t>
        </w:r>
      </w:hyperlink>
      <w:r w:rsidRPr="000B27FD">
        <w:rPr>
          <w:color w:val="000000"/>
          <w:sz w:val="24"/>
          <w:szCs w:val="24"/>
        </w:rPr>
        <w:t>, 5ª Turma, rel. Min. Breno Medeiros, julgado em 1º.10.2019)</w:t>
      </w:r>
    </w:p>
    <w:p w:rsidR="00752730" w:rsidRPr="008E7D58" w:rsidRDefault="00752730" w:rsidP="00752730">
      <w:pPr>
        <w:jc w:val="both"/>
        <w:outlineLvl w:val="0"/>
        <w:rPr>
          <w:rFonts w:eastAsiaTheme="minorEastAsia"/>
          <w:b/>
          <w:i/>
          <w:color w:val="000000"/>
        </w:rPr>
      </w:pPr>
    </w:p>
    <w:p w:rsidR="00752730" w:rsidRPr="000B27FD" w:rsidRDefault="00752730" w:rsidP="00752730">
      <w:pPr>
        <w:jc w:val="both"/>
        <w:outlineLvl w:val="0"/>
        <w:rPr>
          <w:color w:val="000000"/>
          <w:sz w:val="24"/>
          <w:szCs w:val="24"/>
        </w:rPr>
      </w:pPr>
      <w:r w:rsidRPr="000B27FD">
        <w:rPr>
          <w:i/>
          <w:sz w:val="24"/>
          <w:szCs w:val="24"/>
        </w:rPr>
        <w:t>“(...) IN</w:t>
      </w:r>
      <w:r w:rsidRPr="000B27FD">
        <w:rPr>
          <w:i/>
          <w:color w:val="000000"/>
          <w:sz w:val="24"/>
          <w:szCs w:val="24"/>
        </w:rPr>
        <w:t xml:space="preserve">COMPETÊNCIA DA JUSTIÇA DO TRABALHO – INTEGRAÇÕES DOS REFLEXOS </w:t>
      </w:r>
      <w:r w:rsidRPr="000B27FD">
        <w:rPr>
          <w:i/>
          <w:caps/>
          <w:color w:val="000000"/>
          <w:sz w:val="24"/>
          <w:szCs w:val="24"/>
        </w:rPr>
        <w:t>DAS</w:t>
      </w:r>
      <w:r w:rsidRPr="000B27FD">
        <w:rPr>
          <w:i/>
          <w:color w:val="000000"/>
          <w:sz w:val="24"/>
          <w:szCs w:val="24"/>
        </w:rPr>
        <w:t xml:space="preserve"> VERBAS TRABALHISTAS NAS CONTRIBUIÇÕES DEVIDAS À ENTIDADE DE PREVIDÊNCIA PRIVADA </w:t>
      </w:r>
      <w:proofErr w:type="gramStart"/>
      <w:r w:rsidRPr="000B27FD">
        <w:rPr>
          <w:i/>
          <w:color w:val="000000"/>
          <w:sz w:val="24"/>
          <w:szCs w:val="24"/>
        </w:rPr>
        <w:t>1</w:t>
      </w:r>
      <w:proofErr w:type="gramEnd"/>
      <w:r w:rsidRPr="000B27FD">
        <w:rPr>
          <w:i/>
          <w:color w:val="000000"/>
          <w:sz w:val="24"/>
          <w:szCs w:val="24"/>
        </w:rPr>
        <w:t xml:space="preserve">. Em recentes decisões, o E. STF reformou acórdãos desta Corte e aplicou o entendimento firmado no RE 586.453, quanto à incompetência da Justiça do Trabalho, inclusive em </w:t>
      </w:r>
      <w:r w:rsidRPr="000B27FD">
        <w:rPr>
          <w:i/>
          <w:color w:val="000000"/>
          <w:sz w:val="24"/>
          <w:szCs w:val="24"/>
        </w:rPr>
        <w:lastRenderedPageBreak/>
        <w:t>hipóteses de pleito dirigido exclusivamente ao empregador/</w:t>
      </w:r>
      <w:r w:rsidRPr="000B27FD">
        <w:rPr>
          <w:i/>
          <w:sz w:val="24"/>
          <w:szCs w:val="24"/>
        </w:rPr>
        <w:t>patrocinador</w:t>
      </w:r>
      <w:r w:rsidRPr="000B27FD">
        <w:rPr>
          <w:i/>
          <w:color w:val="000000"/>
          <w:sz w:val="24"/>
          <w:szCs w:val="24"/>
        </w:rPr>
        <w:t xml:space="preserve">, relativo a diferenças de contribuições ao plano de previdência privada complementar, decorrentes de reflexos das parcelas objeto da Reclamação Trabalhista. 2. A exclusão da competência da Justiça do Trabalho em relação aos planos de previdência privada de entidades instituídas e/ou patrocinadas pelo empregador decorreu da interpretação do art. 202, § 2º, da Constituição, que afasta expressamente do contrato de trabalho inclusive as contribuições do empregador, matéria discutida nestes autos. 3. É inadequada a aplicação analógica do art. 114, VIII, da Constituição da República, que trata exclusivamente das contribuições previdenciárias oficiais, enquanto o art. 202, § 2º, referindo-se especificamente ao regime de previdência privada, exclui expressamente do contrato de trabalho as contribuições vertidas ao plano de previdência privada. (...)” </w:t>
      </w:r>
      <w:r w:rsidRPr="000B27FD">
        <w:rPr>
          <w:color w:val="000000"/>
          <w:sz w:val="24"/>
          <w:szCs w:val="24"/>
        </w:rPr>
        <w:t>(</w:t>
      </w:r>
      <w:hyperlink r:id="rId14" w:history="1">
        <w:r w:rsidRPr="000B27FD">
          <w:rPr>
            <w:rStyle w:val="Hyperlink"/>
            <w:sz w:val="24"/>
            <w:szCs w:val="24"/>
          </w:rPr>
          <w:t>TST-RR-1266-68.2017.5.12.0001</w:t>
        </w:r>
      </w:hyperlink>
      <w:r w:rsidRPr="000B27FD">
        <w:rPr>
          <w:color w:val="000000"/>
          <w:sz w:val="24"/>
          <w:szCs w:val="24"/>
        </w:rPr>
        <w:t xml:space="preserve">, 8ª Turma, rel. Min. Maria Cristina </w:t>
      </w:r>
      <w:proofErr w:type="spellStart"/>
      <w:r w:rsidRPr="000B27FD">
        <w:rPr>
          <w:color w:val="000000"/>
          <w:sz w:val="24"/>
          <w:szCs w:val="24"/>
        </w:rPr>
        <w:t>Irigoyen</w:t>
      </w:r>
      <w:proofErr w:type="spellEnd"/>
      <w:r w:rsidRPr="000B27FD">
        <w:rPr>
          <w:color w:val="000000"/>
          <w:sz w:val="24"/>
          <w:szCs w:val="24"/>
        </w:rPr>
        <w:t xml:space="preserve"> </w:t>
      </w:r>
      <w:proofErr w:type="spellStart"/>
      <w:r w:rsidRPr="000B27FD">
        <w:rPr>
          <w:color w:val="000000"/>
          <w:sz w:val="24"/>
          <w:szCs w:val="24"/>
        </w:rPr>
        <w:t>Peduzzi</w:t>
      </w:r>
      <w:proofErr w:type="spellEnd"/>
      <w:r w:rsidRPr="000B27FD">
        <w:rPr>
          <w:color w:val="000000"/>
          <w:sz w:val="24"/>
          <w:szCs w:val="24"/>
        </w:rPr>
        <w:t>, julgado em 2.10.2019)</w:t>
      </w:r>
    </w:p>
    <w:p w:rsidR="00752730" w:rsidRDefault="00752730" w:rsidP="00752730">
      <w:pPr>
        <w:jc w:val="both"/>
        <w:outlineLvl w:val="0"/>
        <w:rPr>
          <w:rFonts w:eastAsiaTheme="minorEastAsia"/>
          <w:b/>
          <w:i/>
          <w:color w:val="000000"/>
          <w:sz w:val="24"/>
          <w:szCs w:val="24"/>
        </w:rPr>
      </w:pPr>
    </w:p>
    <w:bookmarkEnd w:id="1"/>
    <w:bookmarkEnd w:id="2"/>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5"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6"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17"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18"/>
      <w:footerReference w:type="default" r:id="rId19"/>
      <w:headerReference w:type="first" r:id="rId20"/>
      <w:footerReference w:type="first" r:id="rId21"/>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C7" w:rsidRDefault="007159C7">
      <w:r>
        <w:separator/>
      </w:r>
    </w:p>
  </w:endnote>
  <w:endnote w:type="continuationSeparator" w:id="0">
    <w:p w:rsidR="007159C7" w:rsidRDefault="0071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Default="007159C7">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1134">
      <w:rPr>
        <w:rStyle w:val="Nmerodepgina"/>
        <w:noProof/>
      </w:rPr>
      <w:t>2</w:t>
    </w:r>
    <w:r>
      <w:rPr>
        <w:rStyle w:val="Nmerodepgina"/>
      </w:rPr>
      <w:fldChar w:fldCharType="end"/>
    </w:r>
  </w:p>
  <w:p w:rsidR="007159C7" w:rsidRDefault="007159C7">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Default="007159C7">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1D1134">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C7" w:rsidRDefault="007159C7">
      <w:r>
        <w:separator/>
      </w:r>
    </w:p>
  </w:footnote>
  <w:footnote w:type="continuationSeparator" w:id="0">
    <w:p w:rsidR="007159C7" w:rsidRDefault="0071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Pr="008420B2" w:rsidRDefault="007159C7">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sidR="00E428CA">
      <w:rPr>
        <w:sz w:val="24"/>
        <w:szCs w:val="24"/>
        <w14:shadow w14:blurRad="50800" w14:dist="38100" w14:dir="2700000" w14:sx="100000" w14:sy="100000" w14:kx="0" w14:ky="0" w14:algn="tl">
          <w14:srgbClr w14:val="000000">
            <w14:alpha w14:val="60000"/>
          </w14:srgbClr>
        </w14:shadow>
      </w:rPr>
      <w:t>20</w:t>
    </w:r>
    <w:r w:rsidR="00752730">
      <w:rPr>
        <w:sz w:val="24"/>
        <w:szCs w:val="24"/>
        <w14:shadow w14:blurRad="50800" w14:dist="38100" w14:dir="2700000" w14:sx="100000" w14:sy="100000" w14:kx="0" w14:ky="0" w14:algn="tl">
          <w14:srgbClr w14:val="000000">
            <w14:alpha w14:val="60000"/>
          </w14:srgbClr>
        </w14:shadow>
      </w:rPr>
      <w:t>7</w:t>
    </w:r>
  </w:p>
  <w:p w:rsidR="007159C7" w:rsidRDefault="007159C7"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2DC17880" wp14:editId="723895C5">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752730">
      <w:rPr>
        <w:i/>
        <w:iCs/>
      </w:rPr>
      <w:t xml:space="preserve">1º a </w:t>
    </w:r>
    <w:proofErr w:type="gramStart"/>
    <w:r w:rsidR="00752730">
      <w:rPr>
        <w:i/>
        <w:iCs/>
      </w:rPr>
      <w:t>7</w:t>
    </w:r>
    <w:proofErr w:type="gramEnd"/>
    <w:r w:rsidR="00752730">
      <w:rPr>
        <w:i/>
        <w:iCs/>
      </w:rPr>
      <w:t xml:space="preserve"> de outubro </w:t>
    </w:r>
    <w:r>
      <w:rPr>
        <w:i/>
        <w:iCs/>
      </w:rPr>
      <w:t xml:space="preserve"> de 2019</w:t>
    </w:r>
  </w:p>
  <w:p w:rsidR="007159C7" w:rsidRPr="005D1DE4" w:rsidRDefault="007159C7"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C7" w:rsidRDefault="001D113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7159C7">
      <w:rPr>
        <w:noProof/>
      </w:rPr>
      <w:drawing>
        <wp:inline distT="0" distB="0" distL="0" distR="0" wp14:anchorId="4479DB31" wp14:editId="11DACD02">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7159C7" w:rsidRPr="002168DE" w:rsidRDefault="007159C7"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E428CA">
      <w:rPr>
        <w:b/>
        <w:sz w:val="40"/>
        <w:szCs w:val="40"/>
      </w:rPr>
      <w:t>20</w:t>
    </w:r>
    <w:r w:rsidR="00752730">
      <w:rPr>
        <w:b/>
        <w:sz w:val="40"/>
        <w:szCs w:val="40"/>
      </w:rPr>
      <w:t>7</w:t>
    </w:r>
  </w:p>
  <w:p w:rsidR="007159C7" w:rsidRPr="005D1DE4" w:rsidRDefault="007159C7">
    <w:pPr>
      <w:pStyle w:val="Cabealho"/>
      <w:jc w:val="right"/>
      <w:rPr>
        <w:i/>
        <w:iCs/>
        <w:sz w:val="10"/>
        <w:szCs w:val="10"/>
      </w:rPr>
    </w:pPr>
  </w:p>
  <w:p w:rsidR="007159C7" w:rsidRDefault="007159C7" w:rsidP="009A16E8">
    <w:pPr>
      <w:pStyle w:val="Cabealho"/>
      <w:jc w:val="right"/>
      <w:rPr>
        <w:i/>
        <w:iCs/>
      </w:rPr>
    </w:pPr>
    <w:r>
      <w:rPr>
        <w:i/>
        <w:iCs/>
      </w:rPr>
      <w:t xml:space="preserve">Período: </w:t>
    </w:r>
    <w:r w:rsidR="00752730">
      <w:rPr>
        <w:i/>
        <w:iCs/>
      </w:rPr>
      <w:t xml:space="preserve">1º a </w:t>
    </w:r>
    <w:proofErr w:type="gramStart"/>
    <w:r w:rsidR="00752730">
      <w:rPr>
        <w:i/>
        <w:iCs/>
      </w:rPr>
      <w:t>7</w:t>
    </w:r>
    <w:proofErr w:type="gramEnd"/>
    <w:r w:rsidR="00752730">
      <w:rPr>
        <w:i/>
        <w:iCs/>
      </w:rPr>
      <w:t xml:space="preserve"> de outubro </w:t>
    </w:r>
    <w:r>
      <w:rPr>
        <w:i/>
        <w:iCs/>
      </w:rPr>
      <w:t>de 2019</w:t>
    </w:r>
  </w:p>
  <w:p w:rsidR="007159C7" w:rsidRDefault="007159C7"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1134"/>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71776&amp;anoInt=20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148366&amp;anoInt=2018" TargetMode="External"/><Relationship Id="rId17"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www.tst.jus.br/web/guest/informativo-t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resumoForm.do?consulta=1&amp;numeroInt=48908&amp;anoInt=2016" TargetMode="External"/><Relationship Id="rId5" Type="http://schemas.openxmlformats.org/officeDocument/2006/relationships/settings" Target="settings.xml"/><Relationship Id="rId15" Type="http://schemas.openxmlformats.org/officeDocument/2006/relationships/hyperlink" Target="mailto:cjur@tst.jus.br" TargetMode="External"/><Relationship Id="rId23" Type="http://schemas.openxmlformats.org/officeDocument/2006/relationships/theme" Target="theme/theme1.xml"/><Relationship Id="rId10" Type="http://schemas.openxmlformats.org/officeDocument/2006/relationships/hyperlink" Target="http://aplicacao5.tst.jus.br/consultaProcessual/resumoForm.do?consulta=1&amp;numeroInt=185028&amp;anoInt=201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368&amp;digitoTst=24&amp;anoTst=2018&amp;orgaoTst=5&amp;tribunalTst=12&amp;varaTst=0000&amp;submit=Consultar" TargetMode="External"/><Relationship Id="rId14" Type="http://schemas.openxmlformats.org/officeDocument/2006/relationships/hyperlink" Target="http://aplicacao4.tst.jus.br/consultaProcessual/resumoForm.do?consulta=1&amp;numeroInt=169633&amp;anoInt=201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076D-79CF-422E-A786-B963DA27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12833</Characters>
  <Application>Microsoft Office Word</Application>
  <DocSecurity>4</DocSecurity>
  <Lines>106</Lines>
  <Paragraphs>29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14833</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2019-10-16T18:55:00Z</dcterms:created>
  <dcterms:modified xsi:type="dcterms:W3CDTF">2019-10-16T18:55:00Z</dcterms:modified>
</cp:coreProperties>
</file>