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F53215"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SEÇÃO ESPECIALIZADA EM DISSÍDIOS COLETIVOS</w:t>
      </w:r>
    </w:p>
    <w:p w:rsidR="004B3120" w:rsidRPr="004B3120" w:rsidRDefault="004B3120" w:rsidP="000132A3">
      <w:pPr>
        <w:pStyle w:val="Identificao"/>
        <w:rPr>
          <w:rFonts w:ascii="Times New Roman" w:hAnsi="Times New Roman" w:cs="Times New Roman"/>
          <w:color w:val="auto"/>
          <w:sz w:val="20"/>
          <w:szCs w:val="20"/>
          <w:lang w:val="pt-BR"/>
        </w:rPr>
      </w:pPr>
    </w:p>
    <w:p w:rsidR="00F53215" w:rsidRPr="00B4525E" w:rsidRDefault="00F53215" w:rsidP="00F53215">
      <w:pPr>
        <w:jc w:val="both"/>
        <w:rPr>
          <w:b/>
          <w:i/>
          <w:sz w:val="24"/>
          <w:szCs w:val="24"/>
        </w:rPr>
      </w:pPr>
      <w:r>
        <w:rPr>
          <w:b/>
          <w:i/>
          <w:sz w:val="24"/>
          <w:szCs w:val="24"/>
        </w:rPr>
        <w:t>Descumprimento de liminar. Abusividade da greve</w:t>
      </w:r>
      <w:r w:rsidRPr="00BC2624">
        <w:rPr>
          <w:i/>
          <w:sz w:val="24"/>
          <w:szCs w:val="24"/>
        </w:rPr>
        <w:t xml:space="preserve"> </w:t>
      </w:r>
      <w:proofErr w:type="spellStart"/>
      <w:r w:rsidRPr="00BC2624">
        <w:rPr>
          <w:i/>
          <w:sz w:val="24"/>
          <w:szCs w:val="24"/>
        </w:rPr>
        <w:t>Astreintes</w:t>
      </w:r>
      <w:proofErr w:type="spellEnd"/>
      <w:r>
        <w:rPr>
          <w:b/>
          <w:i/>
          <w:sz w:val="24"/>
          <w:szCs w:val="24"/>
        </w:rPr>
        <w:t xml:space="preserve">. Destinação da multa. Valor devido ao exequente. </w:t>
      </w:r>
    </w:p>
    <w:p w:rsidR="00F53215" w:rsidRPr="00B4525E" w:rsidRDefault="00F53215" w:rsidP="00F53215">
      <w:pPr>
        <w:jc w:val="both"/>
        <w:rPr>
          <w:sz w:val="24"/>
          <w:szCs w:val="24"/>
          <w:u w:val="single"/>
        </w:rPr>
      </w:pPr>
      <w:r>
        <w:rPr>
          <w:sz w:val="24"/>
          <w:szCs w:val="24"/>
        </w:rPr>
        <w:t xml:space="preserve">Nos termos do art. 537, § 2º, do CPC de 2015, o valor das </w:t>
      </w:r>
      <w:proofErr w:type="spellStart"/>
      <w:r w:rsidRPr="00BC2624">
        <w:rPr>
          <w:i/>
          <w:sz w:val="24"/>
          <w:szCs w:val="24"/>
        </w:rPr>
        <w:t>astreintes</w:t>
      </w:r>
      <w:proofErr w:type="spellEnd"/>
      <w:r>
        <w:rPr>
          <w:sz w:val="24"/>
          <w:szCs w:val="24"/>
        </w:rPr>
        <w:t xml:space="preserve"> é devido ao exequente, de modo que a sua destinação não pode ser fixada de acordo com a discricionariedade do magistrado. Assim, </w:t>
      </w:r>
      <w:r w:rsidRPr="001C4BA6">
        <w:rPr>
          <w:sz w:val="24"/>
          <w:szCs w:val="24"/>
        </w:rPr>
        <w:t>a</w:t>
      </w:r>
      <w:r>
        <w:rPr>
          <w:sz w:val="24"/>
          <w:szCs w:val="24"/>
        </w:rPr>
        <w:t xml:space="preserve"> decisão judicial que determina</w:t>
      </w:r>
      <w:r w:rsidRPr="001C4BA6">
        <w:rPr>
          <w:sz w:val="24"/>
          <w:szCs w:val="24"/>
        </w:rPr>
        <w:t xml:space="preserve"> </w:t>
      </w:r>
      <w:r>
        <w:rPr>
          <w:sz w:val="24"/>
          <w:szCs w:val="24"/>
        </w:rPr>
        <w:t>que a multa aplicada em razão do descumprimento de liminar seja paga a</w:t>
      </w:r>
      <w:r w:rsidRPr="001C4BA6">
        <w:rPr>
          <w:sz w:val="24"/>
          <w:szCs w:val="24"/>
        </w:rPr>
        <w:t xml:space="preserve"> instituições beneficentes</w:t>
      </w:r>
      <w:r>
        <w:rPr>
          <w:sz w:val="24"/>
          <w:szCs w:val="24"/>
        </w:rPr>
        <w:t xml:space="preserve">, ainda que louvável, contraria </w:t>
      </w:r>
      <w:r w:rsidRPr="001C4BA6">
        <w:rPr>
          <w:sz w:val="24"/>
          <w:szCs w:val="24"/>
        </w:rPr>
        <w:t>o disposto no art. 537, § 2º, do CPC</w:t>
      </w:r>
      <w:r>
        <w:rPr>
          <w:sz w:val="24"/>
          <w:szCs w:val="24"/>
        </w:rPr>
        <w:t xml:space="preserve"> de 2015, pois não atende ao critério objetivo nele fixado</w:t>
      </w:r>
      <w:r w:rsidRPr="001C4BA6">
        <w:rPr>
          <w:sz w:val="24"/>
          <w:szCs w:val="24"/>
        </w:rPr>
        <w:t>.</w:t>
      </w:r>
      <w:r>
        <w:rPr>
          <w:sz w:val="24"/>
          <w:szCs w:val="24"/>
        </w:rPr>
        <w:t xml:space="preserve"> Sob esse fundamento, </w:t>
      </w:r>
      <w:r w:rsidRPr="00B4525E">
        <w:rPr>
          <w:sz w:val="24"/>
          <w:szCs w:val="24"/>
        </w:rPr>
        <w:t>a S</w:t>
      </w:r>
      <w:r>
        <w:rPr>
          <w:sz w:val="24"/>
          <w:szCs w:val="24"/>
        </w:rPr>
        <w:t>DC</w:t>
      </w:r>
      <w:r w:rsidRPr="00B4525E">
        <w:rPr>
          <w:sz w:val="24"/>
          <w:szCs w:val="24"/>
        </w:rPr>
        <w:t xml:space="preserve">, por </w:t>
      </w:r>
      <w:r>
        <w:rPr>
          <w:sz w:val="24"/>
          <w:szCs w:val="24"/>
        </w:rPr>
        <w:t>maioria</w:t>
      </w:r>
      <w:r w:rsidRPr="00B4525E">
        <w:rPr>
          <w:sz w:val="24"/>
          <w:szCs w:val="24"/>
        </w:rPr>
        <w:t xml:space="preserve">, </w:t>
      </w:r>
      <w:r>
        <w:rPr>
          <w:sz w:val="24"/>
          <w:szCs w:val="24"/>
        </w:rPr>
        <w:t xml:space="preserve">deu provimento ao recurso ordinário adesivo para </w:t>
      </w:r>
      <w:r w:rsidRPr="00DF3949">
        <w:rPr>
          <w:sz w:val="24"/>
          <w:szCs w:val="24"/>
        </w:rPr>
        <w:t xml:space="preserve">determinar que o valor total da multa </w:t>
      </w:r>
      <w:bookmarkStart w:id="0" w:name="_GoBack"/>
      <w:bookmarkEnd w:id="0"/>
      <w:r>
        <w:rPr>
          <w:sz w:val="24"/>
          <w:szCs w:val="24"/>
        </w:rPr>
        <w:t>arbitrada pelo Tribunal Regional,</w:t>
      </w:r>
      <w:r w:rsidRPr="00DF3949">
        <w:rPr>
          <w:sz w:val="24"/>
          <w:szCs w:val="24"/>
        </w:rPr>
        <w:t xml:space="preserve"> decorrente d</w:t>
      </w:r>
      <w:r>
        <w:rPr>
          <w:sz w:val="24"/>
          <w:szCs w:val="24"/>
        </w:rPr>
        <w:t xml:space="preserve">o descumprimento da liminar que declarou abusiva a greve, </w:t>
      </w:r>
      <w:r w:rsidRPr="00DF3949">
        <w:rPr>
          <w:sz w:val="24"/>
          <w:szCs w:val="24"/>
        </w:rPr>
        <w:t>seja revertid</w:t>
      </w:r>
      <w:r>
        <w:rPr>
          <w:sz w:val="24"/>
          <w:szCs w:val="24"/>
        </w:rPr>
        <w:t>o</w:t>
      </w:r>
      <w:r w:rsidRPr="00DF3949">
        <w:rPr>
          <w:sz w:val="24"/>
          <w:szCs w:val="24"/>
        </w:rPr>
        <w:t xml:space="preserve"> ao </w:t>
      </w:r>
      <w:r>
        <w:rPr>
          <w:sz w:val="24"/>
          <w:szCs w:val="24"/>
        </w:rPr>
        <w:t>e</w:t>
      </w:r>
      <w:r w:rsidRPr="00DF3949">
        <w:rPr>
          <w:sz w:val="24"/>
          <w:szCs w:val="24"/>
        </w:rPr>
        <w:t xml:space="preserve">xequente, no caso, o </w:t>
      </w:r>
      <w:r>
        <w:rPr>
          <w:sz w:val="24"/>
          <w:szCs w:val="24"/>
        </w:rPr>
        <w:t>s</w:t>
      </w:r>
      <w:r w:rsidRPr="00DF3949">
        <w:rPr>
          <w:sz w:val="24"/>
          <w:szCs w:val="24"/>
        </w:rPr>
        <w:t>indicato patronal</w:t>
      </w:r>
      <w:r w:rsidRPr="00B4525E">
        <w:rPr>
          <w:sz w:val="24"/>
          <w:szCs w:val="24"/>
        </w:rPr>
        <w:t>.</w:t>
      </w:r>
      <w:r>
        <w:rPr>
          <w:sz w:val="24"/>
          <w:szCs w:val="24"/>
        </w:rPr>
        <w:t xml:space="preserve"> Vencidos os Ministros Mauricio Godinho Delgado e </w:t>
      </w:r>
      <w:proofErr w:type="spellStart"/>
      <w:r>
        <w:rPr>
          <w:sz w:val="24"/>
          <w:szCs w:val="24"/>
        </w:rPr>
        <w:t>Lelio</w:t>
      </w:r>
      <w:proofErr w:type="spellEnd"/>
      <w:r>
        <w:rPr>
          <w:sz w:val="24"/>
          <w:szCs w:val="24"/>
        </w:rPr>
        <w:t xml:space="preserve"> Bentes Corrêa.</w:t>
      </w:r>
      <w:r w:rsidRPr="00B4525E">
        <w:rPr>
          <w:sz w:val="24"/>
          <w:szCs w:val="24"/>
        </w:rPr>
        <w:t xml:space="preserve"> </w:t>
      </w:r>
      <w:r w:rsidRPr="00B4525E">
        <w:rPr>
          <w:sz w:val="24"/>
          <w:szCs w:val="24"/>
          <w:u w:val="single"/>
        </w:rPr>
        <w:t>TST-</w:t>
      </w:r>
      <w:r w:rsidRPr="00DE039B">
        <w:rPr>
          <w:sz w:val="24"/>
          <w:szCs w:val="24"/>
          <w:u w:val="single"/>
        </w:rPr>
        <w:t>R</w:t>
      </w:r>
      <w:r>
        <w:rPr>
          <w:sz w:val="24"/>
          <w:szCs w:val="24"/>
          <w:u w:val="single"/>
        </w:rPr>
        <w:t>O</w:t>
      </w:r>
      <w:r w:rsidRPr="00DE039B">
        <w:rPr>
          <w:sz w:val="24"/>
          <w:szCs w:val="24"/>
          <w:u w:val="single"/>
        </w:rPr>
        <w:t>-</w:t>
      </w:r>
      <w:r>
        <w:rPr>
          <w:sz w:val="24"/>
          <w:szCs w:val="24"/>
          <w:u w:val="single"/>
        </w:rPr>
        <w:t>8</w:t>
      </w:r>
      <w:r w:rsidRPr="00DE039B">
        <w:rPr>
          <w:sz w:val="24"/>
          <w:szCs w:val="24"/>
          <w:u w:val="single"/>
        </w:rPr>
        <w:t>-5</w:t>
      </w:r>
      <w:r>
        <w:rPr>
          <w:sz w:val="24"/>
          <w:szCs w:val="24"/>
          <w:u w:val="single"/>
        </w:rPr>
        <w:t>3</w:t>
      </w:r>
      <w:r w:rsidRPr="00DE039B">
        <w:rPr>
          <w:sz w:val="24"/>
          <w:szCs w:val="24"/>
          <w:u w:val="single"/>
        </w:rPr>
        <w:t>.201</w:t>
      </w:r>
      <w:r>
        <w:rPr>
          <w:sz w:val="24"/>
          <w:szCs w:val="24"/>
          <w:u w:val="single"/>
        </w:rPr>
        <w:t>7</w:t>
      </w:r>
      <w:r w:rsidRPr="00DE039B">
        <w:rPr>
          <w:sz w:val="24"/>
          <w:szCs w:val="24"/>
          <w:u w:val="single"/>
        </w:rPr>
        <w:t>.5.</w:t>
      </w:r>
      <w:r>
        <w:rPr>
          <w:sz w:val="24"/>
          <w:szCs w:val="24"/>
          <w:u w:val="single"/>
        </w:rPr>
        <w:t>11</w:t>
      </w:r>
      <w:r w:rsidRPr="00DE039B">
        <w:rPr>
          <w:sz w:val="24"/>
          <w:szCs w:val="24"/>
          <w:u w:val="single"/>
        </w:rPr>
        <w:t>.00</w:t>
      </w:r>
      <w:r>
        <w:rPr>
          <w:sz w:val="24"/>
          <w:szCs w:val="24"/>
          <w:u w:val="single"/>
        </w:rPr>
        <w:t>00</w:t>
      </w:r>
      <w:r w:rsidRPr="00B4525E">
        <w:rPr>
          <w:sz w:val="24"/>
          <w:szCs w:val="24"/>
          <w:u w:val="single"/>
        </w:rPr>
        <w:t>, S</w:t>
      </w:r>
      <w:r>
        <w:rPr>
          <w:sz w:val="24"/>
          <w:szCs w:val="24"/>
          <w:u w:val="single"/>
        </w:rPr>
        <w:t>DC</w:t>
      </w:r>
      <w:r w:rsidRPr="00B4525E">
        <w:rPr>
          <w:sz w:val="24"/>
          <w:szCs w:val="24"/>
          <w:u w:val="single"/>
        </w:rPr>
        <w:t xml:space="preserve">, rel. Min. </w:t>
      </w:r>
      <w:r>
        <w:rPr>
          <w:sz w:val="24"/>
          <w:szCs w:val="24"/>
          <w:u w:val="single"/>
        </w:rPr>
        <w:t>Ives Gandra da Silva Martins Filho</w:t>
      </w:r>
      <w:r w:rsidRPr="00B4525E">
        <w:rPr>
          <w:sz w:val="24"/>
          <w:szCs w:val="24"/>
          <w:u w:val="single"/>
        </w:rPr>
        <w:t xml:space="preserve">, </w:t>
      </w:r>
      <w:proofErr w:type="gramStart"/>
      <w:r>
        <w:rPr>
          <w:sz w:val="24"/>
          <w:szCs w:val="24"/>
          <w:u w:val="single"/>
        </w:rPr>
        <w:t>9</w:t>
      </w:r>
      <w:r w:rsidRPr="00B4525E">
        <w:rPr>
          <w:sz w:val="24"/>
          <w:szCs w:val="24"/>
          <w:u w:val="single"/>
        </w:rPr>
        <w:t>.</w:t>
      </w:r>
      <w:r>
        <w:rPr>
          <w:sz w:val="24"/>
          <w:szCs w:val="24"/>
          <w:u w:val="single"/>
        </w:rPr>
        <w:t>9</w:t>
      </w:r>
      <w:r w:rsidRPr="00B4525E">
        <w:rPr>
          <w:sz w:val="24"/>
          <w:szCs w:val="24"/>
          <w:u w:val="single"/>
        </w:rPr>
        <w:t>.201</w:t>
      </w:r>
      <w:r>
        <w:rPr>
          <w:sz w:val="24"/>
          <w:szCs w:val="24"/>
          <w:u w:val="single"/>
        </w:rPr>
        <w:t>9</w:t>
      </w:r>
      <w:proofErr w:type="gramEnd"/>
    </w:p>
    <w:p w:rsidR="000132A3" w:rsidRPr="004B3120" w:rsidRDefault="000132A3" w:rsidP="00CA4AE6">
      <w:pPr>
        <w:pStyle w:val="Corpo"/>
        <w:spacing w:line="240" w:lineRule="auto"/>
        <w:ind w:firstLine="0"/>
        <w:rPr>
          <w:rFonts w:ascii="Times New Roman" w:hAnsi="Times New Roman" w:cs="Times New Roman"/>
          <w:sz w:val="20"/>
          <w:szCs w:val="20"/>
          <w:lang w:val="pt-BR"/>
        </w:rPr>
      </w:pPr>
    </w:p>
    <w:p w:rsidR="000132A3" w:rsidRPr="004B3120" w:rsidRDefault="000132A3" w:rsidP="000132A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0132A3" w:rsidRPr="004B3120" w:rsidRDefault="000132A3" w:rsidP="000132A3">
      <w:pPr>
        <w:jc w:val="both"/>
        <w:rPr>
          <w:rFonts w:eastAsia="Calibri"/>
          <w:b/>
          <w:i/>
        </w:rPr>
      </w:pPr>
    </w:p>
    <w:p w:rsidR="00F53215" w:rsidRPr="003744AB" w:rsidRDefault="00F53215" w:rsidP="00F53215">
      <w:pPr>
        <w:jc w:val="both"/>
        <w:rPr>
          <w:b/>
          <w:i/>
          <w:sz w:val="24"/>
        </w:rPr>
      </w:pPr>
      <w:r>
        <w:rPr>
          <w:b/>
          <w:bCs/>
          <w:i/>
          <w:iCs/>
          <w:sz w:val="24"/>
          <w:szCs w:val="24"/>
        </w:rPr>
        <w:t>D</w:t>
      </w:r>
      <w:r w:rsidRPr="003744AB">
        <w:rPr>
          <w:b/>
          <w:bCs/>
          <w:i/>
          <w:iCs/>
          <w:sz w:val="24"/>
          <w:szCs w:val="24"/>
        </w:rPr>
        <w:t>ano moral.</w:t>
      </w:r>
      <w:r>
        <w:rPr>
          <w:b/>
          <w:bCs/>
          <w:i/>
          <w:iCs/>
          <w:sz w:val="24"/>
          <w:szCs w:val="24"/>
        </w:rPr>
        <w:t xml:space="preserve"> Configuração. Atividade externa de limpeza urbana.</w:t>
      </w:r>
      <w:r w:rsidRPr="003744AB">
        <w:rPr>
          <w:b/>
          <w:bCs/>
          <w:i/>
          <w:iCs/>
          <w:sz w:val="24"/>
          <w:szCs w:val="24"/>
        </w:rPr>
        <w:t xml:space="preserve"> Ausência de </w:t>
      </w:r>
      <w:r>
        <w:rPr>
          <w:b/>
          <w:bCs/>
          <w:i/>
          <w:iCs/>
          <w:sz w:val="24"/>
          <w:szCs w:val="24"/>
        </w:rPr>
        <w:t>sanitários e refeitórios. Não</w:t>
      </w:r>
      <w:r w:rsidRPr="003744AB">
        <w:rPr>
          <w:b/>
          <w:bCs/>
          <w:i/>
          <w:iCs/>
          <w:sz w:val="24"/>
          <w:szCs w:val="24"/>
        </w:rPr>
        <w:t xml:space="preserve"> fornecimento de água potável. NR</w:t>
      </w:r>
      <w:r>
        <w:rPr>
          <w:b/>
          <w:bCs/>
          <w:i/>
          <w:iCs/>
          <w:sz w:val="24"/>
          <w:szCs w:val="24"/>
        </w:rPr>
        <w:t xml:space="preserve"> </w:t>
      </w:r>
      <w:r w:rsidRPr="003744AB">
        <w:rPr>
          <w:b/>
          <w:bCs/>
          <w:i/>
          <w:iCs/>
          <w:sz w:val="24"/>
          <w:szCs w:val="24"/>
        </w:rPr>
        <w:t xml:space="preserve">nº 24 do </w:t>
      </w:r>
      <w:r>
        <w:rPr>
          <w:b/>
          <w:bCs/>
          <w:i/>
          <w:iCs/>
          <w:sz w:val="24"/>
          <w:szCs w:val="24"/>
        </w:rPr>
        <w:t xml:space="preserve">antigo </w:t>
      </w:r>
      <w:r w:rsidRPr="003744AB">
        <w:rPr>
          <w:b/>
          <w:bCs/>
          <w:i/>
          <w:iCs/>
          <w:sz w:val="24"/>
          <w:szCs w:val="24"/>
        </w:rPr>
        <w:t>Ministério do Trabalho.</w:t>
      </w:r>
      <w:r w:rsidRPr="003744AB">
        <w:rPr>
          <w:b/>
          <w:i/>
          <w:sz w:val="24"/>
        </w:rPr>
        <w:t xml:space="preserve"> </w:t>
      </w:r>
      <w:r>
        <w:rPr>
          <w:b/>
          <w:i/>
          <w:sz w:val="24"/>
        </w:rPr>
        <w:t>Incidência</w:t>
      </w:r>
    </w:p>
    <w:p w:rsidR="00F53215" w:rsidRPr="005C64D4" w:rsidRDefault="00F53215" w:rsidP="00F53215">
      <w:pPr>
        <w:adjustRightInd w:val="0"/>
        <w:jc w:val="both"/>
        <w:rPr>
          <w:bCs/>
          <w:iCs/>
          <w:sz w:val="24"/>
          <w:szCs w:val="24"/>
        </w:rPr>
      </w:pPr>
      <w:r>
        <w:rPr>
          <w:bCs/>
          <w:iCs/>
          <w:sz w:val="24"/>
          <w:szCs w:val="24"/>
        </w:rPr>
        <w:t xml:space="preserve">A Norma Regulamentar nº 24 do antigo Ministério do Trabalho, que garante condições sanitárias e de alimentação minimamente razoáveis, é aplicável aos trabalhadores que realizam atividade externa de limpeza urbana. Ademais, é do </w:t>
      </w:r>
      <w:r w:rsidRPr="003744AB">
        <w:rPr>
          <w:bCs/>
          <w:iCs/>
          <w:sz w:val="24"/>
          <w:szCs w:val="24"/>
        </w:rPr>
        <w:t>empregador o risco do empreendimento</w:t>
      </w:r>
      <w:r>
        <w:rPr>
          <w:bCs/>
          <w:iCs/>
          <w:sz w:val="24"/>
          <w:szCs w:val="24"/>
        </w:rPr>
        <w:t xml:space="preserve"> (</w:t>
      </w:r>
      <w:r w:rsidRPr="003744AB">
        <w:rPr>
          <w:bCs/>
          <w:iCs/>
          <w:sz w:val="24"/>
          <w:szCs w:val="24"/>
        </w:rPr>
        <w:t>art</w:t>
      </w:r>
      <w:r>
        <w:rPr>
          <w:bCs/>
          <w:iCs/>
          <w:sz w:val="24"/>
          <w:szCs w:val="24"/>
        </w:rPr>
        <w:t xml:space="preserve">. </w:t>
      </w:r>
      <w:r w:rsidRPr="003744AB">
        <w:rPr>
          <w:bCs/>
          <w:iCs/>
          <w:sz w:val="24"/>
          <w:szCs w:val="24"/>
        </w:rPr>
        <w:t xml:space="preserve">2º, </w:t>
      </w:r>
      <w:r w:rsidRPr="005F4021">
        <w:rPr>
          <w:bCs/>
          <w:i/>
          <w:iCs/>
          <w:sz w:val="24"/>
          <w:szCs w:val="24"/>
        </w:rPr>
        <w:t>caput</w:t>
      </w:r>
      <w:r w:rsidRPr="003744AB">
        <w:rPr>
          <w:bCs/>
          <w:iCs/>
          <w:sz w:val="24"/>
          <w:szCs w:val="24"/>
        </w:rPr>
        <w:t>, da CLT</w:t>
      </w:r>
      <w:r>
        <w:rPr>
          <w:bCs/>
          <w:iCs/>
          <w:sz w:val="24"/>
          <w:szCs w:val="24"/>
        </w:rPr>
        <w:t>)</w:t>
      </w:r>
      <w:r w:rsidRPr="003744AB">
        <w:rPr>
          <w:bCs/>
          <w:iCs/>
          <w:sz w:val="24"/>
          <w:szCs w:val="24"/>
        </w:rPr>
        <w:t>, razão pela qual cabe a ele arcar com os custos inerentes à ativid</w:t>
      </w:r>
      <w:r>
        <w:rPr>
          <w:bCs/>
          <w:iCs/>
          <w:sz w:val="24"/>
          <w:szCs w:val="24"/>
        </w:rPr>
        <w:t xml:space="preserve">ade empresarial, incluindo </w:t>
      </w:r>
      <w:r w:rsidRPr="003744AB">
        <w:rPr>
          <w:bCs/>
          <w:iCs/>
          <w:sz w:val="24"/>
          <w:szCs w:val="24"/>
        </w:rPr>
        <w:t xml:space="preserve">aqueles relativos ao dever de manter um meio ambiente de trabalho saudável e higiênico, </w:t>
      </w:r>
      <w:r>
        <w:rPr>
          <w:bCs/>
          <w:iCs/>
          <w:sz w:val="24"/>
          <w:szCs w:val="24"/>
        </w:rPr>
        <w:t>em atenção à</w:t>
      </w:r>
      <w:r w:rsidRPr="003744AB">
        <w:rPr>
          <w:bCs/>
          <w:iCs/>
          <w:sz w:val="24"/>
          <w:szCs w:val="24"/>
        </w:rPr>
        <w:t xml:space="preserve"> dignidade dos seus empregados.</w:t>
      </w:r>
      <w:r>
        <w:rPr>
          <w:bCs/>
          <w:iCs/>
          <w:sz w:val="24"/>
          <w:szCs w:val="24"/>
        </w:rPr>
        <w:t xml:space="preserve"> Assim, resta configurado o dano moral quando a empresa reclamada deixa de providenciar aos trabalhadores ativados na coleta de lixo acesso a condições laborais mínimas para o atendimento das necessidades fisiológicas e de higiene pessoal. No caso, restou consignado que, antes da empresa adquirir um ônibus para as refeições, os trabalhadores levavam marmitas as quais eram acondicionadas sobre os pneus </w:t>
      </w:r>
      <w:proofErr w:type="gramStart"/>
      <w:r>
        <w:rPr>
          <w:bCs/>
          <w:iCs/>
          <w:sz w:val="24"/>
          <w:szCs w:val="24"/>
        </w:rPr>
        <w:t>do caminhão, esquentadas em lata contendo álcool e consumidas na rua</w:t>
      </w:r>
      <w:proofErr w:type="gramEnd"/>
      <w:r>
        <w:rPr>
          <w:bCs/>
          <w:iCs/>
          <w:sz w:val="24"/>
          <w:szCs w:val="24"/>
        </w:rPr>
        <w:t xml:space="preserve">. As necessidades fisiológicas eram feitas em árvores e terrenos baldios, as mãos podiam ser lavadas em um galão com água que ficava no caminhão, mas sem toalhas ou sabonetes, e não havia água potável e fresca em quantidade suficiente para a equipe. Sob esse entendimento, a SBDI-I, por unanimidade, conheceu do recurso de embargos, por divergência jurisprudencial, e, no mérito, por maioria, negou-lhe provimento para manter a condenação da reclamada ao pagamento de indenização por danos morais. Vencidos os Ministros Breno Medeiros, Alexandre Luiz Ramos e Renato de Lacerda Paiva. </w:t>
      </w:r>
      <w:hyperlink r:id="rId9" w:history="1">
        <w:r w:rsidRPr="00D80547">
          <w:rPr>
            <w:rStyle w:val="Hyperlink"/>
            <w:sz w:val="24"/>
          </w:rPr>
          <w:t>TST-E-RR-1438-</w:t>
        </w:r>
        <w:proofErr w:type="gramStart"/>
        <w:r w:rsidRPr="00D80547">
          <w:rPr>
            <w:rStyle w:val="Hyperlink"/>
            <w:sz w:val="24"/>
          </w:rPr>
          <w:t>04.2011.5.09.0195,</w:t>
        </w:r>
        <w:proofErr w:type="gramEnd"/>
      </w:hyperlink>
      <w:r w:rsidRPr="00D80547">
        <w:rPr>
          <w:sz w:val="24"/>
          <w:u w:val="single"/>
        </w:rPr>
        <w:t xml:space="preserve"> SBDI-I, rel. Min. José Roberto</w:t>
      </w:r>
      <w:r>
        <w:rPr>
          <w:sz w:val="24"/>
          <w:u w:val="single"/>
        </w:rPr>
        <w:t xml:space="preserve"> Freire</w:t>
      </w:r>
      <w:r w:rsidRPr="00D80547">
        <w:rPr>
          <w:sz w:val="24"/>
          <w:u w:val="single"/>
        </w:rPr>
        <w:t xml:space="preserve"> Pimenta, 5.9.2019</w:t>
      </w:r>
    </w:p>
    <w:p w:rsidR="00F53215" w:rsidRPr="006628FD" w:rsidRDefault="00F53215" w:rsidP="000132A3">
      <w:pPr>
        <w:pStyle w:val="Identificao"/>
        <w:rPr>
          <w:rFonts w:ascii="Times New Roman" w:hAnsi="Times New Roman" w:cs="Times New Roman"/>
          <w:color w:val="auto"/>
          <w:sz w:val="20"/>
          <w:szCs w:val="20"/>
          <w:u w:val="single"/>
          <w:lang w:val="pt-BR"/>
        </w:rPr>
      </w:pPr>
    </w:p>
    <w:p w:rsidR="00F53215" w:rsidRDefault="00F53215" w:rsidP="00F53215">
      <w:pPr>
        <w:jc w:val="both"/>
        <w:rPr>
          <w:b/>
          <w:i/>
          <w:sz w:val="24"/>
          <w:szCs w:val="24"/>
        </w:rPr>
      </w:pPr>
      <w:r>
        <w:rPr>
          <w:b/>
          <w:i/>
          <w:sz w:val="24"/>
          <w:szCs w:val="24"/>
        </w:rPr>
        <w:t xml:space="preserve">Atleta profissional. </w:t>
      </w:r>
      <w:r w:rsidRPr="007B0679">
        <w:rPr>
          <w:b/>
          <w:i/>
          <w:sz w:val="24"/>
          <w:szCs w:val="24"/>
        </w:rPr>
        <w:t>Direito de imagem.</w:t>
      </w:r>
      <w:r>
        <w:rPr>
          <w:b/>
          <w:i/>
          <w:sz w:val="24"/>
          <w:szCs w:val="24"/>
        </w:rPr>
        <w:t xml:space="preserve"> Contraprestação habitual em quantias mensais fixas. Inexistência de correspondência entre os pagamentos e o uso da imagem. Desproporcionalidade do valor contratado. Fraude à legislação trabalhista. Configuração. </w:t>
      </w:r>
    </w:p>
    <w:p w:rsidR="00F53215" w:rsidRDefault="00F53215" w:rsidP="00F53215">
      <w:pPr>
        <w:adjustRightInd w:val="0"/>
        <w:jc w:val="both"/>
        <w:rPr>
          <w:sz w:val="24"/>
          <w:szCs w:val="24"/>
          <w:u w:val="single"/>
        </w:rPr>
      </w:pPr>
      <w:r w:rsidRPr="007B0679">
        <w:rPr>
          <w:sz w:val="24"/>
          <w:szCs w:val="24"/>
        </w:rPr>
        <w:lastRenderedPageBreak/>
        <w:t xml:space="preserve">O direito de imagem do atleta profissional pode ser explorado mediante contrato personalíssimo de natureza civil, desde que fixado </w:t>
      </w:r>
      <w:proofErr w:type="gramStart"/>
      <w:r w:rsidRPr="007B0679">
        <w:rPr>
          <w:sz w:val="24"/>
          <w:szCs w:val="24"/>
        </w:rPr>
        <w:t>sob condições</w:t>
      </w:r>
      <w:proofErr w:type="gramEnd"/>
      <w:r w:rsidRPr="007B0679">
        <w:rPr>
          <w:sz w:val="24"/>
          <w:szCs w:val="24"/>
        </w:rPr>
        <w:t xml:space="preserve"> que sejam inconfundíveis com as do contrato especial de trabalho desportivo, nos termos do art. 87-A da Lei n° 9.615/1998. Portanto, tal ajuste não possui natureza salarial, tampouco configura contrato de trabalho,</w:t>
      </w:r>
      <w:r>
        <w:rPr>
          <w:sz w:val="24"/>
          <w:szCs w:val="24"/>
        </w:rPr>
        <w:t xml:space="preserve"> </w:t>
      </w:r>
      <w:r w:rsidRPr="007B0679">
        <w:rPr>
          <w:sz w:val="24"/>
          <w:szCs w:val="24"/>
        </w:rPr>
        <w:t>salvo nas hipóteses em que restar configurada a intenção de fraude à legislação trabalhista (art. 9º da CLT). No caso,</w:t>
      </w:r>
      <w:r>
        <w:rPr>
          <w:sz w:val="24"/>
          <w:szCs w:val="24"/>
        </w:rPr>
        <w:t xml:space="preserve"> o TRT concluiu que houve intenção fraudulenta não apenas pelo fato </w:t>
      </w:r>
      <w:r w:rsidRPr="007B0679">
        <w:rPr>
          <w:sz w:val="24"/>
          <w:szCs w:val="24"/>
        </w:rPr>
        <w:t>de o pagamento da contraprestação ter ocorrido habitualmente em quantias mensais fixas</w:t>
      </w:r>
      <w:r>
        <w:rPr>
          <w:sz w:val="24"/>
          <w:szCs w:val="24"/>
        </w:rPr>
        <w:t xml:space="preserve"> (</w:t>
      </w:r>
      <w:r w:rsidRPr="00F42554">
        <w:rPr>
          <w:sz w:val="24"/>
          <w:szCs w:val="24"/>
        </w:rPr>
        <w:t>motivo que, por si só, não seria suficiente para o reconhecimento da natureza salarial da parcela paga)</w:t>
      </w:r>
      <w:r>
        <w:rPr>
          <w:sz w:val="24"/>
          <w:szCs w:val="24"/>
        </w:rPr>
        <w:t>,</w:t>
      </w:r>
      <w:r w:rsidRPr="00F42554">
        <w:rPr>
          <w:sz w:val="24"/>
          <w:szCs w:val="24"/>
        </w:rPr>
        <w:t xml:space="preserve"> </w:t>
      </w:r>
      <w:r w:rsidRPr="007B0679">
        <w:rPr>
          <w:sz w:val="24"/>
          <w:szCs w:val="24"/>
        </w:rPr>
        <w:t xml:space="preserve">mas também </w:t>
      </w:r>
      <w:r>
        <w:rPr>
          <w:sz w:val="24"/>
          <w:szCs w:val="24"/>
        </w:rPr>
        <w:t>pela</w:t>
      </w:r>
      <w:r w:rsidRPr="007B0679">
        <w:rPr>
          <w:sz w:val="24"/>
          <w:szCs w:val="24"/>
        </w:rPr>
        <w:t xml:space="preserve"> inexistência de </w:t>
      </w:r>
      <w:r>
        <w:rPr>
          <w:sz w:val="24"/>
          <w:szCs w:val="24"/>
        </w:rPr>
        <w:t xml:space="preserve">correlação entre o pagamento e o uso efetivo da imagem do atleta, e pela manifesta desproporcionalidade quanto ao valor contratado, que correspondia a 400% do salário anotado na CTPS. </w:t>
      </w:r>
      <w:r w:rsidRPr="007B0679">
        <w:rPr>
          <w:sz w:val="24"/>
          <w:szCs w:val="24"/>
        </w:rPr>
        <w:t>Sob esses fundamentos, a SBDI-I, por unanimidade, conheceu do recurso de embargos, por divergência jurisprudencial, e, no mérito, por maioria, negou-lhe provimento</w:t>
      </w:r>
      <w:r>
        <w:rPr>
          <w:sz w:val="24"/>
          <w:szCs w:val="24"/>
        </w:rPr>
        <w:t xml:space="preserve"> para manter a conclusão do TRT e da Turma quanto à configuração de fraude, uma vez que o pagamento efetuado a título de direito de imagem tinha por objetivo desvirtuar a aplicação da legislação trabalhista. </w:t>
      </w:r>
      <w:r w:rsidRPr="007B0679">
        <w:rPr>
          <w:sz w:val="24"/>
          <w:szCs w:val="24"/>
        </w:rPr>
        <w:t xml:space="preserve">Vencidos os Ministros Márcio Eurico Vitral Amaro, Guilherme Augusto Caputo Bastos, Walmir Oliveira da Costa e Breno Medeiros. </w:t>
      </w:r>
      <w:hyperlink r:id="rId10" w:history="1">
        <w:r w:rsidRPr="00EF4865">
          <w:rPr>
            <w:rStyle w:val="Hyperlink"/>
            <w:sz w:val="24"/>
            <w:szCs w:val="24"/>
          </w:rPr>
          <w:t>TST-E-RR-358-48.2014.5.12.0055</w:t>
        </w:r>
      </w:hyperlink>
      <w:r w:rsidRPr="007B0679">
        <w:rPr>
          <w:sz w:val="24"/>
          <w:szCs w:val="24"/>
          <w:u w:val="single"/>
        </w:rPr>
        <w:t xml:space="preserve">, SBDI-I, rel. Min. Alberto Luiz </w:t>
      </w:r>
      <w:proofErr w:type="spellStart"/>
      <w:r w:rsidRPr="007B0679">
        <w:rPr>
          <w:sz w:val="24"/>
          <w:szCs w:val="24"/>
          <w:u w:val="single"/>
        </w:rPr>
        <w:t>Bresci</w:t>
      </w:r>
      <w:r>
        <w:rPr>
          <w:sz w:val="24"/>
          <w:szCs w:val="24"/>
          <w:u w:val="single"/>
        </w:rPr>
        <w:t>ani</w:t>
      </w:r>
      <w:proofErr w:type="spellEnd"/>
      <w:r>
        <w:rPr>
          <w:sz w:val="24"/>
          <w:szCs w:val="24"/>
          <w:u w:val="single"/>
        </w:rPr>
        <w:t xml:space="preserve"> de </w:t>
      </w:r>
      <w:proofErr w:type="spellStart"/>
      <w:r>
        <w:rPr>
          <w:sz w:val="24"/>
          <w:szCs w:val="24"/>
          <w:u w:val="single"/>
        </w:rPr>
        <w:t>Fontan</w:t>
      </w:r>
      <w:proofErr w:type="spellEnd"/>
      <w:r>
        <w:rPr>
          <w:sz w:val="24"/>
          <w:szCs w:val="24"/>
          <w:u w:val="single"/>
        </w:rPr>
        <w:t xml:space="preserve"> Pereira, </w:t>
      </w:r>
      <w:proofErr w:type="gramStart"/>
      <w:r>
        <w:rPr>
          <w:sz w:val="24"/>
          <w:szCs w:val="24"/>
          <w:u w:val="single"/>
        </w:rPr>
        <w:t>5.9.2019</w:t>
      </w:r>
      <w:proofErr w:type="gramEnd"/>
    </w:p>
    <w:p w:rsidR="00F53215" w:rsidRPr="006628FD" w:rsidRDefault="00F53215" w:rsidP="00F53215">
      <w:pPr>
        <w:adjustRightInd w:val="0"/>
        <w:jc w:val="both"/>
        <w:rPr>
          <w:u w:val="single"/>
        </w:rPr>
      </w:pPr>
    </w:p>
    <w:p w:rsidR="00F53215" w:rsidRDefault="00F53215" w:rsidP="00F53215">
      <w:pPr>
        <w:adjustRightInd w:val="0"/>
        <w:jc w:val="both"/>
        <w:rPr>
          <w:b/>
          <w:bCs/>
          <w:i/>
          <w:iCs/>
          <w:sz w:val="24"/>
          <w:szCs w:val="24"/>
        </w:rPr>
      </w:pPr>
      <w:r>
        <w:rPr>
          <w:b/>
          <w:bCs/>
          <w:i/>
          <w:iCs/>
          <w:sz w:val="24"/>
          <w:szCs w:val="24"/>
        </w:rPr>
        <w:t xml:space="preserve">Competência da Justiça do Trabalho. Ação civil pública. Contratação temporária por ente público. Termo de Ajustamento de Conduta. Execução.  </w:t>
      </w:r>
    </w:p>
    <w:p w:rsidR="00F53215" w:rsidRPr="009E5459" w:rsidRDefault="00F53215" w:rsidP="00F53215">
      <w:pPr>
        <w:adjustRightInd w:val="0"/>
        <w:jc w:val="both"/>
        <w:rPr>
          <w:bCs/>
          <w:iCs/>
          <w:sz w:val="24"/>
          <w:szCs w:val="24"/>
        </w:rPr>
      </w:pPr>
      <w:r>
        <w:rPr>
          <w:bCs/>
          <w:iCs/>
          <w:sz w:val="24"/>
          <w:szCs w:val="24"/>
        </w:rPr>
        <w:t>Nos termos do art. 876 da CLT, a</w:t>
      </w:r>
      <w:r w:rsidRPr="009E5459">
        <w:rPr>
          <w:bCs/>
          <w:iCs/>
          <w:sz w:val="24"/>
          <w:szCs w:val="24"/>
        </w:rPr>
        <w:t xml:space="preserve"> Justiça </w:t>
      </w:r>
      <w:r>
        <w:rPr>
          <w:bCs/>
          <w:iCs/>
          <w:sz w:val="24"/>
          <w:szCs w:val="24"/>
        </w:rPr>
        <w:t>d</w:t>
      </w:r>
      <w:r w:rsidRPr="009E5459">
        <w:rPr>
          <w:bCs/>
          <w:iCs/>
          <w:sz w:val="24"/>
          <w:szCs w:val="24"/>
        </w:rPr>
        <w:t xml:space="preserve">o Trabalho é competente para a execução de multa, em razão do inadimplemento, </w:t>
      </w:r>
      <w:r>
        <w:rPr>
          <w:bCs/>
          <w:iCs/>
          <w:sz w:val="24"/>
          <w:szCs w:val="24"/>
        </w:rPr>
        <w:t>por ente público</w:t>
      </w:r>
      <w:r w:rsidRPr="009E5459">
        <w:rPr>
          <w:bCs/>
          <w:iCs/>
          <w:sz w:val="24"/>
          <w:szCs w:val="24"/>
        </w:rPr>
        <w:t xml:space="preserve">, de obrigação prevista </w:t>
      </w:r>
      <w:r>
        <w:rPr>
          <w:bCs/>
          <w:iCs/>
          <w:sz w:val="24"/>
          <w:szCs w:val="24"/>
        </w:rPr>
        <w:t>em Termo de Ajustamento de Conduta (TAC) firmado perante o Ministério Público do Trabalho.</w:t>
      </w:r>
      <w:r w:rsidRPr="009E5459">
        <w:rPr>
          <w:bCs/>
          <w:iCs/>
          <w:sz w:val="24"/>
          <w:szCs w:val="24"/>
        </w:rPr>
        <w:t xml:space="preserve"> No caso, o </w:t>
      </w:r>
      <w:r>
        <w:rPr>
          <w:bCs/>
          <w:iCs/>
          <w:sz w:val="24"/>
          <w:szCs w:val="24"/>
        </w:rPr>
        <w:t xml:space="preserve">Município de Votuporanga/SP descumpriu o compromisso de </w:t>
      </w:r>
      <w:r w:rsidRPr="009E5459">
        <w:rPr>
          <w:bCs/>
          <w:iCs/>
          <w:sz w:val="24"/>
          <w:szCs w:val="24"/>
        </w:rPr>
        <w:t xml:space="preserve">contratar por tempo determinado somente para atender a necessidade temporária de excepcional interesse público, mediante prévia aprovação em processo seletivo. </w:t>
      </w:r>
      <w:r>
        <w:rPr>
          <w:bCs/>
          <w:iCs/>
          <w:sz w:val="24"/>
          <w:szCs w:val="24"/>
        </w:rPr>
        <w:t xml:space="preserve">Segundo a jurisprudência do STF, a execução de TAC não se confunde com o decidido na ADI 3395-MC, que afastou a competência da Justiça do Trabalho para processar e julgar causas instauradas entre o Poder Público e o servidor vinculado a ele por relação jurídico-administrativa. Assim, a SBDI-I, por unanimidade, conheceu dos embargos, por divergência jurisprudencial, e, no mérito, por maioria, deu-lhes provimento para determinar o retorno dos autos ao TRT de origem para que, superada a arguição de incompetência, julgue os agravos de petição das partes como entender de direito. Vencidos os Ministros Aloysio Corrêa da Veiga, relator, Breno Medeiros, Alexandre Luiz Ramos, Renato de Lacerda Paiva e Brito Pereira. </w:t>
      </w:r>
      <w:hyperlink r:id="rId11" w:history="1">
        <w:r w:rsidRPr="009E5459">
          <w:rPr>
            <w:rStyle w:val="Hyperlink"/>
            <w:iCs/>
            <w:sz w:val="24"/>
            <w:szCs w:val="24"/>
          </w:rPr>
          <w:t>TST-E-ED-RR-1156-17.2011.5.15.0027</w:t>
        </w:r>
      </w:hyperlink>
      <w:r w:rsidRPr="009E5459">
        <w:rPr>
          <w:bCs/>
          <w:iCs/>
          <w:sz w:val="24"/>
          <w:szCs w:val="24"/>
          <w:u w:val="single"/>
        </w:rPr>
        <w:t xml:space="preserve">, rel. Min. Aloysio Corrêa da Veiga, red. p/ acórdão Min. Augusto César Leite de Carvalho, </w:t>
      </w:r>
      <w:proofErr w:type="gramStart"/>
      <w:r w:rsidRPr="009E5459">
        <w:rPr>
          <w:bCs/>
          <w:iCs/>
          <w:sz w:val="24"/>
          <w:szCs w:val="24"/>
          <w:u w:val="single"/>
        </w:rPr>
        <w:t>5.9.2019</w:t>
      </w:r>
      <w:proofErr w:type="gramEnd"/>
    </w:p>
    <w:p w:rsidR="00F53215" w:rsidRPr="004B3120" w:rsidRDefault="00F53215" w:rsidP="000132A3">
      <w:pPr>
        <w:pStyle w:val="Identificao"/>
        <w:rPr>
          <w:rFonts w:ascii="Times New Roman" w:hAnsi="Times New Roman" w:cs="Times New Roman"/>
          <w:sz w:val="20"/>
          <w:szCs w:val="20"/>
          <w:u w:val="single"/>
          <w:lang w:val="pt-BR" w:eastAsia="zh-CN"/>
        </w:rPr>
      </w:pPr>
    </w:p>
    <w:p w:rsidR="00B15004" w:rsidRPr="004B3120" w:rsidRDefault="00B15004" w:rsidP="00B1500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735B8F" w:rsidRPr="00735B8F" w:rsidRDefault="00735B8F" w:rsidP="00735B8F">
      <w:pPr>
        <w:jc w:val="both"/>
        <w:rPr>
          <w:b/>
          <w:i/>
        </w:rPr>
      </w:pPr>
    </w:p>
    <w:p w:rsidR="00F53215" w:rsidRDefault="00F53215" w:rsidP="00F53215">
      <w:pPr>
        <w:jc w:val="both"/>
        <w:rPr>
          <w:b/>
          <w:i/>
          <w:sz w:val="24"/>
          <w:szCs w:val="24"/>
        </w:rPr>
      </w:pPr>
      <w:r>
        <w:rPr>
          <w:b/>
          <w:i/>
          <w:sz w:val="24"/>
          <w:szCs w:val="24"/>
        </w:rPr>
        <w:t xml:space="preserve">Ação rescisória. Colusão. </w:t>
      </w:r>
      <w:r w:rsidRPr="00A50A3C">
        <w:rPr>
          <w:b/>
          <w:i/>
        </w:rPr>
        <w:t xml:space="preserve">Ministério Público do Trabalho. </w:t>
      </w:r>
      <w:r>
        <w:rPr>
          <w:b/>
          <w:i/>
        </w:rPr>
        <w:t xml:space="preserve"> </w:t>
      </w:r>
      <w:r>
        <w:rPr>
          <w:b/>
          <w:i/>
          <w:sz w:val="24"/>
          <w:szCs w:val="24"/>
        </w:rPr>
        <w:t>Decadência. Termo inicial. Ciência da fraude. Súmula nº 100</w:t>
      </w:r>
      <w:proofErr w:type="gramStart"/>
      <w:r>
        <w:rPr>
          <w:b/>
          <w:i/>
          <w:sz w:val="24"/>
          <w:szCs w:val="24"/>
        </w:rPr>
        <w:t>, VI</w:t>
      </w:r>
      <w:proofErr w:type="gramEnd"/>
      <w:r>
        <w:rPr>
          <w:b/>
          <w:i/>
          <w:sz w:val="24"/>
          <w:szCs w:val="24"/>
        </w:rPr>
        <w:t>, do TST.</w:t>
      </w:r>
    </w:p>
    <w:p w:rsidR="00F53215" w:rsidRDefault="00F53215" w:rsidP="00F53215">
      <w:pPr>
        <w:adjustRightInd w:val="0"/>
        <w:jc w:val="both"/>
        <w:rPr>
          <w:sz w:val="24"/>
          <w:szCs w:val="24"/>
        </w:rPr>
      </w:pPr>
      <w:r>
        <w:rPr>
          <w:sz w:val="24"/>
          <w:szCs w:val="24"/>
        </w:rPr>
        <w:t xml:space="preserve">A SBDI-II, por unanimidade, conheceu do recurso ordinário da empresa ré e, reconhecendo a decadência, deu-lhe provimento para extinguir o feito com julgamento do mérito. No caso, prevaleceu o entendimento de que a data da ciência da fraude pelo Ministério Público do Trabalho, para fins de contagem do prazo decadencial da ação rescisória calcada em colusão (item VI da Súmula nº 100 do TST), não poderia ser 29.11.2013, data da instauração do inquérito, mas sim 2.7.2013, data da emissão do </w:t>
      </w:r>
      <w:r w:rsidRPr="008D1F57">
        <w:rPr>
          <w:sz w:val="24"/>
          <w:szCs w:val="24"/>
        </w:rPr>
        <w:t>Memorando 008/TMA/2013</w:t>
      </w:r>
      <w:r>
        <w:rPr>
          <w:sz w:val="24"/>
          <w:szCs w:val="24"/>
        </w:rPr>
        <w:t xml:space="preserve">, </w:t>
      </w:r>
      <w:r w:rsidRPr="008D1F57">
        <w:rPr>
          <w:sz w:val="24"/>
          <w:szCs w:val="24"/>
        </w:rPr>
        <w:t>pela Procuradoria do Trabalho do Município de Joinville - 12ª Região</w:t>
      </w:r>
      <w:r>
        <w:rPr>
          <w:sz w:val="24"/>
          <w:szCs w:val="24"/>
        </w:rPr>
        <w:t xml:space="preserve">. Nesse documento, houve o registro de que um dos membros do MPT recebeu uma ligação telefônica de um advogado informando a existência de várias </w:t>
      </w:r>
      <w:r w:rsidRPr="001738B3">
        <w:rPr>
          <w:sz w:val="24"/>
          <w:szCs w:val="24"/>
        </w:rPr>
        <w:t>ações trabalhistas</w:t>
      </w:r>
      <w:r>
        <w:rPr>
          <w:sz w:val="24"/>
          <w:szCs w:val="24"/>
        </w:rPr>
        <w:t xml:space="preserve"> simuladas</w:t>
      </w:r>
      <w:r w:rsidRPr="001738B3">
        <w:rPr>
          <w:sz w:val="24"/>
          <w:szCs w:val="24"/>
        </w:rPr>
        <w:t xml:space="preserve">, </w:t>
      </w:r>
      <w:r>
        <w:rPr>
          <w:sz w:val="24"/>
          <w:szCs w:val="24"/>
        </w:rPr>
        <w:t xml:space="preserve">nas quais </w:t>
      </w:r>
      <w:r w:rsidRPr="005E0310">
        <w:rPr>
          <w:sz w:val="24"/>
          <w:szCs w:val="24"/>
        </w:rPr>
        <w:t xml:space="preserve">seriam </w:t>
      </w:r>
      <w:r>
        <w:rPr>
          <w:sz w:val="24"/>
          <w:szCs w:val="24"/>
        </w:rPr>
        <w:t>celebrados</w:t>
      </w:r>
      <w:r w:rsidRPr="005E0310">
        <w:rPr>
          <w:sz w:val="24"/>
          <w:szCs w:val="24"/>
        </w:rPr>
        <w:t xml:space="preserve"> acordos em audiência sem a presença dos trabalhadores</w:t>
      </w:r>
      <w:r>
        <w:rPr>
          <w:sz w:val="24"/>
          <w:szCs w:val="24"/>
        </w:rPr>
        <w:t xml:space="preserve">. Ressaltou-se, na hipótese, que a simples existência de indícios já seria suficiente para a propositura da ação rescisória, não se admitindo que o </w:t>
      </w:r>
      <w:r w:rsidRPr="00BB39FD">
        <w:rPr>
          <w:i/>
          <w:sz w:val="24"/>
          <w:szCs w:val="24"/>
        </w:rPr>
        <w:t>dies a quo</w:t>
      </w:r>
      <w:r>
        <w:rPr>
          <w:i/>
          <w:sz w:val="24"/>
          <w:szCs w:val="24"/>
        </w:rPr>
        <w:t xml:space="preserve"> </w:t>
      </w:r>
      <w:r>
        <w:rPr>
          <w:sz w:val="24"/>
          <w:szCs w:val="24"/>
        </w:rPr>
        <w:t xml:space="preserve">para a contagem do prazo decadencial seja a data em que o </w:t>
      </w:r>
      <w:r w:rsidRPr="00BB39FD">
        <w:rPr>
          <w:iCs/>
          <w:sz w:val="24"/>
          <w:szCs w:val="24"/>
        </w:rPr>
        <w:t>MPT</w:t>
      </w:r>
      <w:r>
        <w:rPr>
          <w:iCs/>
          <w:sz w:val="24"/>
          <w:szCs w:val="24"/>
        </w:rPr>
        <w:t xml:space="preserve"> instaurou o inquérito ou concluiu</w:t>
      </w:r>
      <w:r w:rsidRPr="00BB39FD">
        <w:rPr>
          <w:iCs/>
          <w:sz w:val="24"/>
          <w:szCs w:val="24"/>
        </w:rPr>
        <w:t xml:space="preserve"> </w:t>
      </w:r>
      <w:r>
        <w:rPr>
          <w:sz w:val="24"/>
          <w:szCs w:val="24"/>
        </w:rPr>
        <w:t xml:space="preserve">acerca da existência ou não </w:t>
      </w:r>
      <w:r>
        <w:rPr>
          <w:sz w:val="24"/>
          <w:szCs w:val="24"/>
        </w:rPr>
        <w:lastRenderedPageBreak/>
        <w:t xml:space="preserve">da fraude, já que cabe ao Poder Judiciário decidir a respeito, mediante ampla dilação probatória. Vencidas, </w:t>
      </w:r>
      <w:r w:rsidRPr="006D3318">
        <w:rPr>
          <w:sz w:val="24"/>
          <w:szCs w:val="24"/>
        </w:rPr>
        <w:t xml:space="preserve">quanto à fundamentação, as Ministras Maria Helena </w:t>
      </w:r>
      <w:proofErr w:type="spellStart"/>
      <w:r w:rsidRPr="006D3318">
        <w:rPr>
          <w:sz w:val="24"/>
          <w:szCs w:val="24"/>
        </w:rPr>
        <w:t>Mallmann</w:t>
      </w:r>
      <w:proofErr w:type="spellEnd"/>
      <w:r w:rsidRPr="006D3318">
        <w:rPr>
          <w:sz w:val="24"/>
          <w:szCs w:val="24"/>
        </w:rPr>
        <w:t xml:space="preserve"> e </w:t>
      </w:r>
      <w:proofErr w:type="spellStart"/>
      <w:r w:rsidRPr="006D3318">
        <w:rPr>
          <w:sz w:val="24"/>
          <w:szCs w:val="24"/>
        </w:rPr>
        <w:t>Delaíde</w:t>
      </w:r>
      <w:proofErr w:type="spellEnd"/>
      <w:r w:rsidRPr="006D3318">
        <w:rPr>
          <w:sz w:val="24"/>
          <w:szCs w:val="24"/>
        </w:rPr>
        <w:t xml:space="preserve"> Miranda Arante</w:t>
      </w:r>
      <w:r>
        <w:rPr>
          <w:sz w:val="24"/>
          <w:szCs w:val="24"/>
        </w:rPr>
        <w:t xml:space="preserve">s. </w:t>
      </w:r>
      <w:hyperlink r:id="rId12" w:history="1">
        <w:r w:rsidRPr="00193126">
          <w:rPr>
            <w:rStyle w:val="Hyperlink"/>
            <w:sz w:val="24"/>
            <w:szCs w:val="24"/>
          </w:rPr>
          <w:t>TST-RO-5564-61.2015.5.09.0000</w:t>
        </w:r>
      </w:hyperlink>
      <w:r w:rsidRPr="00193126">
        <w:rPr>
          <w:sz w:val="24"/>
          <w:szCs w:val="24"/>
          <w:u w:val="single"/>
        </w:rPr>
        <w:t>, SBDI-II</w:t>
      </w:r>
      <w:r w:rsidRPr="006628FD">
        <w:rPr>
          <w:sz w:val="24"/>
          <w:szCs w:val="24"/>
          <w:u w:val="single"/>
        </w:rPr>
        <w:t xml:space="preserve">, </w:t>
      </w:r>
      <w:r w:rsidRPr="006628FD">
        <w:rPr>
          <w:sz w:val="24"/>
          <w:szCs w:val="24"/>
          <w:u w:val="single"/>
          <w:lang w:eastAsia="zh-CN"/>
        </w:rPr>
        <w:t xml:space="preserve">rel. Min. Maria Helena </w:t>
      </w:r>
      <w:proofErr w:type="spellStart"/>
      <w:r w:rsidRPr="006628FD">
        <w:rPr>
          <w:sz w:val="24"/>
          <w:szCs w:val="24"/>
          <w:u w:val="single"/>
          <w:lang w:eastAsia="zh-CN"/>
        </w:rPr>
        <w:t>Mallmann</w:t>
      </w:r>
      <w:proofErr w:type="spellEnd"/>
      <w:r w:rsidRPr="006628FD">
        <w:rPr>
          <w:sz w:val="24"/>
          <w:szCs w:val="24"/>
          <w:u w:val="single"/>
          <w:lang w:eastAsia="zh-CN"/>
        </w:rPr>
        <w:t xml:space="preserve">, </w:t>
      </w:r>
      <w:r w:rsidRPr="006628FD">
        <w:rPr>
          <w:sz w:val="24"/>
          <w:szCs w:val="24"/>
          <w:u w:val="single"/>
        </w:rPr>
        <w:t>red. p/ acórdão Min. Douglas Alencar Rodrigues,</w:t>
      </w:r>
      <w:r w:rsidRPr="006628FD">
        <w:rPr>
          <w:sz w:val="24"/>
          <w:szCs w:val="24"/>
          <w:u w:val="single"/>
          <w:lang w:eastAsia="zh-CN"/>
        </w:rPr>
        <w:t xml:space="preserve"> </w:t>
      </w:r>
      <w:proofErr w:type="gramStart"/>
      <w:r w:rsidRPr="006628FD">
        <w:rPr>
          <w:sz w:val="24"/>
          <w:szCs w:val="24"/>
          <w:u w:val="single"/>
          <w:lang w:eastAsia="zh-CN"/>
        </w:rPr>
        <w:t>3.9.2019</w:t>
      </w:r>
      <w:proofErr w:type="gramEnd"/>
    </w:p>
    <w:p w:rsidR="004B3120" w:rsidRPr="004B3120" w:rsidRDefault="004B3120" w:rsidP="00B15004">
      <w:pPr>
        <w:pStyle w:val="Identificao"/>
        <w:rPr>
          <w:rFonts w:ascii="Times New Roman" w:hAnsi="Times New Roman" w:cs="Times New Roman"/>
          <w:color w:val="auto"/>
          <w:sz w:val="20"/>
          <w:szCs w:val="20"/>
          <w:lang w:val="pt-BR"/>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p w:rsidR="0001790D" w:rsidRDefault="0001790D" w:rsidP="0001790D">
      <w:pPr>
        <w:jc w:val="both"/>
        <w:outlineLvl w:val="0"/>
        <w:rPr>
          <w:rFonts w:eastAsiaTheme="minorEastAsia"/>
          <w:b/>
          <w:i/>
          <w:color w:val="000000"/>
          <w:sz w:val="24"/>
          <w:szCs w:val="24"/>
        </w:rPr>
      </w:pPr>
      <w:r>
        <w:rPr>
          <w:rFonts w:eastAsiaTheme="minorEastAsia"/>
          <w:b/>
          <w:i/>
          <w:color w:val="000000"/>
          <w:sz w:val="24"/>
          <w:szCs w:val="24"/>
        </w:rPr>
        <w:t xml:space="preserve">Sociedade de crédito ao microempreendedor e à empresa de pequeno porte. Instituição financeira. Empregado enquadrado como </w:t>
      </w:r>
      <w:proofErr w:type="spellStart"/>
      <w:r>
        <w:rPr>
          <w:rFonts w:eastAsiaTheme="minorEastAsia"/>
          <w:b/>
          <w:i/>
          <w:color w:val="000000"/>
          <w:sz w:val="24"/>
          <w:szCs w:val="24"/>
        </w:rPr>
        <w:t>financiário</w:t>
      </w:r>
      <w:proofErr w:type="spellEnd"/>
      <w:r>
        <w:rPr>
          <w:rFonts w:eastAsiaTheme="minorEastAsia"/>
          <w:b/>
          <w:i/>
          <w:color w:val="000000"/>
          <w:sz w:val="24"/>
          <w:szCs w:val="24"/>
        </w:rPr>
        <w:t>.</w:t>
      </w:r>
    </w:p>
    <w:p w:rsidR="0001790D" w:rsidRPr="006628FD" w:rsidRDefault="0001790D" w:rsidP="0001790D">
      <w:pPr>
        <w:ind w:left="567"/>
        <w:jc w:val="both"/>
        <w:outlineLvl w:val="0"/>
        <w:rPr>
          <w:rFonts w:eastAsiaTheme="minorEastAsia"/>
          <w:b/>
          <w:i/>
          <w:color w:val="000000"/>
        </w:rPr>
      </w:pPr>
    </w:p>
    <w:p w:rsidR="0001790D" w:rsidRPr="001A52B8" w:rsidRDefault="0001790D" w:rsidP="0001790D">
      <w:pPr>
        <w:ind w:left="567"/>
        <w:jc w:val="both"/>
        <w:outlineLvl w:val="0"/>
        <w:rPr>
          <w:rFonts w:eastAsiaTheme="minorEastAsia"/>
          <w:b/>
          <w:i/>
          <w:color w:val="000000"/>
          <w:sz w:val="24"/>
          <w:szCs w:val="24"/>
        </w:rPr>
      </w:pPr>
      <w:r w:rsidRPr="001A52B8">
        <w:rPr>
          <w:i/>
          <w:sz w:val="24"/>
          <w:szCs w:val="24"/>
        </w:rPr>
        <w:t xml:space="preserve">“(...) II - RECURSO DE REVISTA INTERPOSTO SOB A ÉGIDE DAS LEIS Nos 13. 015/2014 E 13.105/2015 E ANTES DA VIGÊNCIA DA LEI Nº 13.467/2017. SOCIEDADE DE CRÉDITO AO MICROEMPREENDEDOR E À EMPRESA DE PEQUENO PORTE. INSTITUIÇÃO FINANCEIRA. ENQUADRAMENTO DO EMPREGADO COMO FINANCIÁRIO. </w:t>
      </w:r>
      <w:proofErr w:type="gramStart"/>
      <w:r w:rsidRPr="001A52B8">
        <w:rPr>
          <w:i/>
          <w:sz w:val="24"/>
          <w:szCs w:val="24"/>
        </w:rPr>
        <w:t>1</w:t>
      </w:r>
      <w:proofErr w:type="gramEnd"/>
      <w:r w:rsidRPr="001A52B8">
        <w:rPr>
          <w:i/>
          <w:sz w:val="24"/>
          <w:szCs w:val="24"/>
        </w:rPr>
        <w:t>. A impossibilidade de captação de recursos de terceiros, inerente às sociedades de crédito ao microempreendedor e à empresa de pequeno porte (SCM EPP), não descaracteriza a atividade financeira. 2. O art. 1º, I, da Lei nº 10.194/2001 expressamente equipara as Sociedades de Crédito ao Microempreendedor e à Empresa de Pequeno Porte “às instituições financeiras para os efeitos da legislação em vigor”. 3. A recorrente ostenta forma de pessoa jurídica de direito privado, alheia à Administração Pública, constituída como sociedade de capital, o que revela sua singularidade entre as outras pessoas jurídicas autorizadas inicialmente a promover o financiamento de microcrédito. 4. De toda forma, o rol de habilitados foi alterado pela Lei nº 13.636/2018, que em seu art. 3º, incluiu bancos comerciais, bancos múltiplos com carteira comercial e sociedades que prestam serviços financeiros por meio de plataformas eletrônicas, entre outros. Recurso de revista conhecido e desprovido.”</w:t>
      </w:r>
      <w:r w:rsidRPr="001A52B8">
        <w:rPr>
          <w:sz w:val="24"/>
          <w:szCs w:val="24"/>
        </w:rPr>
        <w:t xml:space="preserve"> (</w:t>
      </w:r>
      <w:hyperlink r:id="rId13" w:history="1">
        <w:r w:rsidRPr="001A52B8">
          <w:rPr>
            <w:rStyle w:val="Hyperlink"/>
            <w:sz w:val="24"/>
            <w:szCs w:val="24"/>
          </w:rPr>
          <w:t>TST-RR-872-40.2015.5.06.0311</w:t>
        </w:r>
      </w:hyperlink>
      <w:r w:rsidRPr="001A52B8">
        <w:rPr>
          <w:sz w:val="24"/>
          <w:szCs w:val="24"/>
        </w:rPr>
        <w:t xml:space="preserve">, 3ª Turma, rel. Min. Alberto Luiz </w:t>
      </w:r>
      <w:proofErr w:type="spellStart"/>
      <w:r w:rsidRPr="001A52B8">
        <w:rPr>
          <w:sz w:val="24"/>
          <w:szCs w:val="24"/>
        </w:rPr>
        <w:t>Bresciani</w:t>
      </w:r>
      <w:proofErr w:type="spellEnd"/>
      <w:r w:rsidRPr="001A52B8">
        <w:rPr>
          <w:sz w:val="24"/>
          <w:szCs w:val="24"/>
        </w:rPr>
        <w:t xml:space="preserve"> de </w:t>
      </w:r>
      <w:proofErr w:type="spellStart"/>
      <w:r w:rsidRPr="001A52B8">
        <w:rPr>
          <w:sz w:val="24"/>
          <w:szCs w:val="24"/>
        </w:rPr>
        <w:t>Fontan</w:t>
      </w:r>
      <w:proofErr w:type="spellEnd"/>
      <w:r w:rsidRPr="001A52B8">
        <w:rPr>
          <w:sz w:val="24"/>
          <w:szCs w:val="24"/>
        </w:rPr>
        <w:t xml:space="preserve"> Pereira, julgado em 4.9.2019)</w:t>
      </w:r>
    </w:p>
    <w:p w:rsidR="0001790D" w:rsidRPr="006628FD" w:rsidRDefault="0001790D" w:rsidP="0001790D">
      <w:pPr>
        <w:ind w:left="567"/>
        <w:jc w:val="both"/>
        <w:rPr>
          <w:b/>
        </w:rPr>
      </w:pPr>
    </w:p>
    <w:p w:rsidR="0001790D" w:rsidRDefault="0001790D" w:rsidP="0001790D">
      <w:pPr>
        <w:jc w:val="both"/>
        <w:outlineLvl w:val="0"/>
        <w:rPr>
          <w:rFonts w:eastAsiaTheme="minorEastAsia"/>
          <w:b/>
          <w:i/>
          <w:color w:val="000000"/>
          <w:sz w:val="24"/>
          <w:szCs w:val="24"/>
        </w:rPr>
      </w:pPr>
      <w:r>
        <w:rPr>
          <w:rFonts w:eastAsiaTheme="minorEastAsia"/>
          <w:b/>
          <w:i/>
          <w:color w:val="000000"/>
          <w:sz w:val="24"/>
          <w:szCs w:val="24"/>
        </w:rPr>
        <w:t>Empregado falecido após a extinção do contrato de trabalho. Indenização por dano moral. Acidente do trabalho. Legitimidade ativa do espólio. Direito patrimonial.</w:t>
      </w:r>
    </w:p>
    <w:p w:rsidR="0001790D" w:rsidRPr="006628FD" w:rsidRDefault="0001790D" w:rsidP="0001790D">
      <w:pPr>
        <w:ind w:left="567"/>
        <w:jc w:val="both"/>
        <w:rPr>
          <w:b/>
        </w:rPr>
      </w:pPr>
    </w:p>
    <w:p w:rsidR="0001790D" w:rsidRPr="001A52B8" w:rsidRDefault="0001790D" w:rsidP="0001790D">
      <w:pPr>
        <w:ind w:left="567"/>
        <w:jc w:val="both"/>
        <w:rPr>
          <w:i/>
          <w:sz w:val="24"/>
          <w:szCs w:val="24"/>
        </w:rPr>
      </w:pPr>
      <w:r w:rsidRPr="001A52B8">
        <w:rPr>
          <w:i/>
          <w:sz w:val="24"/>
          <w:szCs w:val="24"/>
        </w:rPr>
        <w:t xml:space="preserve">“(...) </w:t>
      </w:r>
      <w:proofErr w:type="gramStart"/>
      <w:r w:rsidRPr="001A52B8">
        <w:rPr>
          <w:i/>
          <w:sz w:val="24"/>
          <w:szCs w:val="24"/>
        </w:rPr>
        <w:t>1</w:t>
      </w:r>
      <w:proofErr w:type="gramEnd"/>
      <w:r w:rsidRPr="001A52B8">
        <w:rPr>
          <w:i/>
          <w:sz w:val="24"/>
          <w:szCs w:val="24"/>
        </w:rPr>
        <w:t>. FALECIMENTO DO EMPREGADO APÓS A EXTINÇÃO DO CONTRATO DE TRABALHO. INDENIZAÇÃO POR DANO MORAL DECORRENTE DE ACIDENTE DE TRABALHO. LEGITIMIDADE ATIVA DO ESPÓLIO PARA PLEITEAR DANO MORAL EM NOME DO DE CUJUS</w:t>
      </w:r>
      <w:r>
        <w:rPr>
          <w:i/>
          <w:sz w:val="24"/>
          <w:szCs w:val="24"/>
        </w:rPr>
        <w:t xml:space="preserve">. CONHECIMENTO E PROVIMENTO. </w:t>
      </w:r>
      <w:r w:rsidRPr="001A52B8">
        <w:rPr>
          <w:i/>
          <w:sz w:val="24"/>
          <w:szCs w:val="24"/>
        </w:rPr>
        <w:t xml:space="preserve">I. No caso dos autos, o trabalhador sofreu acidente de trabalho em 25/02/2012 e pediu demissão em 18/09/2012. Consta, ainda, que "o reclamante não ajuizou ação de indenização por danos morais antes de seu falecimento, ocorrido em 03/11/2012". II. A Corte Regional manteve a sentença em que se reconheceu a ilegitimidade ativa da sucessão do Autor, representada por sua genitora e única herdeira, para pleitear indenização pelo pagamento de indenização por dano moral decorrente do acidente de trabalho sofrido pelo de cujus. Assim, entendeu que "o direito à indenização por danos morais é personalíssimo, intransmissível e irrenunciável". III. O pedido de indenização por danos morais trata-se de direito patrimonial transmissível por herança, nos termos do art. 943 do Código Civil. Diante disso, conclui-se que os sucessores do trabalhador possuem legitimidade ativa para ajuizar ação, pretendendo reparação por dano moral e material, tratando-se de direito patrimonial, decorrente do contrato de trabalho havido entre o empregador e o de cujus. IV. A esse respeito, no julgamento do processo nº RR-94385-95.2005.5.12.0036, esta Quarta Turma já se manifestou no sentido de que "os sucessores têm legitimidade para propor qualquer ação de indenização, por tratar-se de direito patrimonial. </w:t>
      </w:r>
      <w:proofErr w:type="gramStart"/>
      <w:r w:rsidRPr="001A52B8">
        <w:rPr>
          <w:i/>
          <w:sz w:val="24"/>
          <w:szCs w:val="24"/>
        </w:rPr>
        <w:t xml:space="preserve">Isso porque o que se transmite é o direito de ação, e não o direito material em si, pelo fato de não se tratar de direito personalíssimo, o que impediria sua </w:t>
      </w:r>
      <w:r w:rsidRPr="001A52B8">
        <w:rPr>
          <w:i/>
          <w:sz w:val="24"/>
          <w:szCs w:val="24"/>
        </w:rPr>
        <w:lastRenderedPageBreak/>
        <w:t>transmissão a terceiros"</w:t>
      </w:r>
      <w:proofErr w:type="gramEnd"/>
      <w:r w:rsidRPr="001A52B8">
        <w:rPr>
          <w:i/>
          <w:sz w:val="24"/>
          <w:szCs w:val="24"/>
        </w:rPr>
        <w:t xml:space="preserve">. V. Recurso de revista de que se conhece, por violação do art. 943 do Código Civil, e a que se dá provimento.” </w:t>
      </w:r>
      <w:r w:rsidRPr="001A52B8">
        <w:rPr>
          <w:sz w:val="24"/>
          <w:szCs w:val="24"/>
        </w:rPr>
        <w:t>(</w:t>
      </w:r>
      <w:hyperlink r:id="rId14" w:history="1">
        <w:r w:rsidRPr="001A52B8">
          <w:rPr>
            <w:rStyle w:val="Hyperlink"/>
            <w:sz w:val="24"/>
            <w:szCs w:val="24"/>
          </w:rPr>
          <w:t>TST-RR-133-44.2014.5.04.0251</w:t>
        </w:r>
      </w:hyperlink>
      <w:r w:rsidRPr="001A52B8">
        <w:rPr>
          <w:sz w:val="24"/>
          <w:szCs w:val="24"/>
        </w:rPr>
        <w:t>, 4ª Turma, rel. Min. Alexandre Luiz Ramos, julgado em 3.9.2019)</w:t>
      </w:r>
    </w:p>
    <w:p w:rsidR="0001790D" w:rsidRPr="006628FD" w:rsidRDefault="0001790D" w:rsidP="0001790D">
      <w:pPr>
        <w:ind w:left="567"/>
        <w:jc w:val="both"/>
        <w:outlineLvl w:val="0"/>
        <w:rPr>
          <w:rFonts w:eastAsiaTheme="minorEastAsia"/>
          <w:b/>
          <w:i/>
          <w:color w:val="000000"/>
        </w:rPr>
      </w:pPr>
    </w:p>
    <w:p w:rsidR="0001790D" w:rsidRDefault="0001790D" w:rsidP="0001790D">
      <w:pPr>
        <w:jc w:val="both"/>
        <w:outlineLvl w:val="0"/>
        <w:rPr>
          <w:rFonts w:eastAsiaTheme="minorEastAsia"/>
          <w:b/>
          <w:i/>
          <w:color w:val="000000"/>
          <w:sz w:val="24"/>
          <w:szCs w:val="24"/>
        </w:rPr>
      </w:pPr>
      <w:r>
        <w:rPr>
          <w:rFonts w:eastAsiaTheme="minorEastAsia"/>
          <w:b/>
          <w:i/>
          <w:color w:val="000000"/>
          <w:sz w:val="24"/>
          <w:szCs w:val="24"/>
        </w:rPr>
        <w:t>Apex. Serviço social autônomo. Dispensa imotivada. Possibilidade.</w:t>
      </w:r>
    </w:p>
    <w:p w:rsidR="0001790D" w:rsidRPr="006628FD" w:rsidRDefault="0001790D" w:rsidP="0001790D">
      <w:pPr>
        <w:ind w:left="567"/>
        <w:jc w:val="both"/>
        <w:outlineLvl w:val="0"/>
        <w:rPr>
          <w:rFonts w:eastAsiaTheme="minorEastAsia"/>
          <w:b/>
          <w:i/>
          <w:color w:val="000000"/>
        </w:rPr>
      </w:pPr>
    </w:p>
    <w:p w:rsidR="0001790D" w:rsidRPr="001A52B8" w:rsidRDefault="0001790D" w:rsidP="0001790D">
      <w:pPr>
        <w:ind w:left="567"/>
        <w:jc w:val="both"/>
        <w:outlineLvl w:val="0"/>
        <w:rPr>
          <w:bCs/>
          <w:i/>
          <w:color w:val="000000"/>
          <w:sz w:val="24"/>
          <w:szCs w:val="24"/>
        </w:rPr>
      </w:pPr>
      <w:r w:rsidRPr="001A52B8">
        <w:rPr>
          <w:bCs/>
          <w:i/>
          <w:color w:val="000000"/>
          <w:sz w:val="24"/>
          <w:szCs w:val="24"/>
        </w:rPr>
        <w:t>“AGRAVO INTERNO. AGRAVO DE INSTRUMENTO EM RECURSO DE REVISTA. DECISÃO MONOCRÁTICA. APEX. SERVIÇO SOCIAL AUTÔNOMO. DESPEDIDA IMOTIVADA.</w:t>
      </w:r>
      <w:r>
        <w:rPr>
          <w:bCs/>
          <w:i/>
          <w:color w:val="000000"/>
          <w:sz w:val="24"/>
          <w:szCs w:val="24"/>
        </w:rPr>
        <w:t xml:space="preserve"> </w:t>
      </w:r>
      <w:r w:rsidRPr="001A52B8">
        <w:rPr>
          <w:i/>
          <w:color w:val="000000"/>
          <w:sz w:val="24"/>
          <w:szCs w:val="24"/>
        </w:rPr>
        <w:t>A decisão monocrática proferida nestes autos merece ser mantida. No tocante à despedida imotivada, a reclamada APEX (Agência Brasileira de Promoção de Exportações e Investimentos), conforme seu estatuto</w:t>
      </w:r>
      <w:proofErr w:type="gramStart"/>
      <w:r w:rsidRPr="001A52B8">
        <w:rPr>
          <w:i/>
          <w:color w:val="000000"/>
          <w:sz w:val="24"/>
          <w:szCs w:val="24"/>
        </w:rPr>
        <w:t>, é</w:t>
      </w:r>
      <w:proofErr w:type="gramEnd"/>
      <w:r w:rsidRPr="001A52B8">
        <w:rPr>
          <w:i/>
          <w:color w:val="000000"/>
          <w:sz w:val="24"/>
          <w:szCs w:val="24"/>
        </w:rPr>
        <w:t xml:space="preserve"> de uma associação civil, sem fins lucrativos, de direito privado, instituída na forma de serviço social autônomo. Nesses termos, o posicionamento adotado pelo TRT foi no sentido de que a ré se trata de entidade paraestatal, e que, portanto, a dispensa de seus empregados não precisa ser motivada. Conforme a jurisprudência emanada do STF, no âmbito do Recurso Extraordinário (RE) 789874, as entidades que compõem os serviços sociais autônomos, por possuírem natureza jurídica de direito privado e não integrarem a administração direta e indireta, não estão sujeitas à regra prevista no artigo 37, II, da Constituição Federal, mesmo que desempenhem atividades de interesse público em cooperação com o Estado. Precedentes. Agravo interno a que se nega provimento.” </w:t>
      </w:r>
      <w:r w:rsidRPr="001A52B8">
        <w:rPr>
          <w:color w:val="000000"/>
          <w:sz w:val="24"/>
          <w:szCs w:val="24"/>
        </w:rPr>
        <w:t>(</w:t>
      </w:r>
      <w:hyperlink r:id="rId15" w:history="1">
        <w:r w:rsidRPr="001A52B8">
          <w:rPr>
            <w:rStyle w:val="Hyperlink"/>
            <w:sz w:val="24"/>
            <w:szCs w:val="24"/>
          </w:rPr>
          <w:t>TST-Ag-AIRR-179-66.2015.5.10.0013</w:t>
        </w:r>
      </w:hyperlink>
      <w:r w:rsidRPr="001A52B8">
        <w:rPr>
          <w:color w:val="000000"/>
          <w:sz w:val="24"/>
          <w:szCs w:val="24"/>
        </w:rPr>
        <w:t xml:space="preserve">, 5ª Turma, rel. Min. </w:t>
      </w:r>
      <w:proofErr w:type="spellStart"/>
      <w:r w:rsidRPr="001A52B8">
        <w:rPr>
          <w:color w:val="000000"/>
          <w:sz w:val="24"/>
          <w:szCs w:val="24"/>
        </w:rPr>
        <w:t>Emmanoel</w:t>
      </w:r>
      <w:proofErr w:type="spellEnd"/>
      <w:r w:rsidRPr="001A52B8">
        <w:rPr>
          <w:color w:val="000000"/>
          <w:sz w:val="24"/>
          <w:szCs w:val="24"/>
        </w:rPr>
        <w:t xml:space="preserve"> Pereira, julgado em 4.9.2019)</w:t>
      </w:r>
    </w:p>
    <w:p w:rsidR="0001790D" w:rsidRPr="006628FD" w:rsidRDefault="0001790D" w:rsidP="0001790D">
      <w:pPr>
        <w:ind w:left="567"/>
      </w:pPr>
    </w:p>
    <w:p w:rsidR="0001790D" w:rsidRDefault="0001790D" w:rsidP="0001790D">
      <w:pPr>
        <w:jc w:val="both"/>
        <w:outlineLvl w:val="0"/>
        <w:rPr>
          <w:rFonts w:eastAsiaTheme="minorEastAsia"/>
          <w:b/>
          <w:i/>
          <w:color w:val="000000"/>
          <w:sz w:val="24"/>
          <w:szCs w:val="24"/>
        </w:rPr>
      </w:pPr>
      <w:r>
        <w:rPr>
          <w:rFonts w:eastAsiaTheme="minorEastAsia"/>
          <w:b/>
          <w:i/>
          <w:color w:val="000000"/>
          <w:sz w:val="24"/>
          <w:szCs w:val="24"/>
        </w:rPr>
        <w:t>Trabalho a bordo de cruzeiros marítimos.</w:t>
      </w:r>
      <w:r w:rsidRPr="003E2B05">
        <w:rPr>
          <w:rFonts w:eastAsiaTheme="minorEastAsia"/>
          <w:b/>
          <w:i/>
          <w:color w:val="000000"/>
          <w:sz w:val="24"/>
          <w:szCs w:val="24"/>
        </w:rPr>
        <w:t xml:space="preserve"> </w:t>
      </w:r>
      <w:r>
        <w:rPr>
          <w:rFonts w:eastAsiaTheme="minorEastAsia"/>
          <w:b/>
          <w:i/>
          <w:color w:val="000000"/>
          <w:sz w:val="24"/>
          <w:szCs w:val="24"/>
        </w:rPr>
        <w:t>Navio estrangeiro. Pré-seleção no Brasil. Serviços prestados em águas territoriais de países diversos. Aplicação da legislação brasileira.</w:t>
      </w:r>
    </w:p>
    <w:p w:rsidR="0001790D" w:rsidRPr="006628FD" w:rsidRDefault="0001790D" w:rsidP="0001790D">
      <w:pPr>
        <w:ind w:left="567"/>
      </w:pPr>
    </w:p>
    <w:p w:rsidR="0001790D" w:rsidRDefault="0001790D" w:rsidP="0001790D">
      <w:pPr>
        <w:ind w:left="567"/>
        <w:jc w:val="both"/>
        <w:rPr>
          <w:sz w:val="24"/>
          <w:szCs w:val="24"/>
        </w:rPr>
      </w:pPr>
      <w:r w:rsidRPr="001A52B8">
        <w:rPr>
          <w:i/>
          <w:sz w:val="24"/>
          <w:szCs w:val="24"/>
        </w:rPr>
        <w:t xml:space="preserve">“(...) </w:t>
      </w:r>
      <w:proofErr w:type="gramStart"/>
      <w:r w:rsidRPr="001A52B8">
        <w:rPr>
          <w:i/>
          <w:sz w:val="24"/>
          <w:szCs w:val="24"/>
        </w:rPr>
        <w:t>3</w:t>
      </w:r>
      <w:proofErr w:type="gramEnd"/>
      <w:r w:rsidRPr="001A52B8">
        <w:rPr>
          <w:i/>
          <w:sz w:val="24"/>
          <w:szCs w:val="24"/>
        </w:rPr>
        <w:t xml:space="preserve">. CONTRATO INTERNACIONAL DE TRABALHO A BORDO DE NAVIO DE CRUZEIROS MARÍTIMOS. EMPREGADO PRÉ-SELECIONADO NO BRASIL PARA TRABALHAR EM NAVIO ESTRANGEIRO. DESEMPENHO DAS ATIVIDADES EM ÁGUAS TERRITORIAIS DE DIVERSOS PAÍSES E TAMBÉM NA COSTA BRASILEIRA. LEGISLAÇÃO APLICÁVEL. 1. Caso em que a Corte Regional concluiu que o contrato de trabalho mantido entre as partes – trabalhador nacional e empresa que explora cruzeiros marítimos - deveria ser regulado pela CLT, norma mais benéfica em relação à Convenção das Nações Unidas sobre o Direito do Mar e que foi incorporada ao ordenamento jurídico pátrio por meio do Decreto n.º 99.165, de 12/03/1990. A Corte Regional concluiu que o contrato de trabalho mantido entre as partes – trabalhador nacional e empresa que explora cruzeiros marítimos - deveria ser regulado pela CLT, norma mais benéfica em relação à Convenção das Nações Unidas sobre o Direito do Mar e que foi incorporada ao ordenamento jurídico pátrio por meio do Decreto n.º 99.165, de 12/03/1990. A motivação adotada pelo Regional está amparada na seguinte ordem de considerações: a) o trabalho em embarcações é regulado, em princípio, pela “lei do pavilhão” – lei do local da matrícula da embarcação (Código de Bustamante); b) entre as exceções à regra do pavilhão, construídas pela doutrina e jurisprudência, está a chamada “bandeira de favor”, aplicável quando não há vínculo entre o país em que matriculada a embarcação e o explorador da atividade (armador); c) no caso, situado o armador em Nassau, Bahamas, é inaplicável a legislação maltesa, cumprindo examinar o local da contratação e da prestação de serviços; d) a prova produzida revelou que a segunda reclamada possui sede em São Paulo e que a </w:t>
      </w:r>
      <w:proofErr w:type="spellStart"/>
      <w:r w:rsidRPr="001A52B8">
        <w:rPr>
          <w:i/>
          <w:sz w:val="24"/>
          <w:szCs w:val="24"/>
        </w:rPr>
        <w:t>pré</w:t>
      </w:r>
      <w:proofErr w:type="spellEnd"/>
      <w:r w:rsidRPr="001A52B8">
        <w:rPr>
          <w:i/>
          <w:sz w:val="24"/>
          <w:szCs w:val="24"/>
        </w:rPr>
        <w:t xml:space="preserve">- contratação do reclamante foi feita no Brasil, tendo ele atuado, pelo menos em alguns meses do ano, em águas brasileiras; e) aplicável o art. 8º da Resolução Normativa nº 71/2006, do Conselho Nacional de Imigração (MTE), segundo o qual “Os brasileiros recrutados no Brasil e </w:t>
      </w:r>
      <w:proofErr w:type="gramStart"/>
      <w:r w:rsidRPr="001A52B8">
        <w:rPr>
          <w:i/>
          <w:sz w:val="24"/>
          <w:szCs w:val="24"/>
        </w:rPr>
        <w:t>embarcados</w:t>
      </w:r>
      <w:proofErr w:type="gramEnd"/>
      <w:r w:rsidRPr="001A52B8">
        <w:rPr>
          <w:i/>
          <w:sz w:val="24"/>
          <w:szCs w:val="24"/>
        </w:rPr>
        <w:t xml:space="preserve"> para laborar apenas durante a temporada de cruzeiros marítimos pela costa brasileira deverão ser contratados pela empresa estabelecida no Brasil ou na ausência desta, pelo agente marítimo responsável pela operação da embarcação, cujo contrato de trabalho será </w:t>
      </w:r>
      <w:r w:rsidRPr="001A52B8">
        <w:rPr>
          <w:i/>
          <w:sz w:val="24"/>
          <w:szCs w:val="24"/>
        </w:rPr>
        <w:lastRenderedPageBreak/>
        <w:t xml:space="preserve">vinculado à legislação trabalhista brasileira aplicável à espécie.”; f) cancelada a Súmula 207 do TST, deve prevalecer a norma mais favorável, na forma do art. 3º, II, da Lei 7.064/82 (alterada pela Lei 11.962/2009); e g) a Convenção das Nações Unidas sobre Direito do Mar (CNUDM) não contempla conteúdo material protetivo de direitos humanos e, portanto, não se sobrepõe à CLT. A situação fática e jurídica de trabalhadores nacionais admitidos para atuação em empresas de cruzeiros marítimos é singular e diferenciada, sujeitando-se a tratamento normativo próprio e específico, composto, entre outras normas, pela Convenção das Nações Unidas sobre o Direito do Mar (ratificada pelo Decreto n.º 99.165, de 12/03/1990) e pela Resolução Normativa nº 71/2006 do Conselho Nacional de Imigração do Ministério do Trabalho e Emprego. Buscando equacionar conflitos de leis no espaço, o art. 9º da LINDB dispõe que “Para qualificar e reger as obrigações, aplicar-se-á a lei do país em que se constituírem.” No campo das relações de trabalho, o Código de Bustamante (Convenção de Havana) consagra o princípio da territorialidade, segundo o qual "Também é territorial a legislação sobre acidentes do trabalho e proteção social do trabalhador" (art. 198). No entanto, a aplicação desse princípio da territorialidade, inscrito no art. 198 do Código de Bustamante, e a própria incorporação da Convenção das Nações Unidas sobre Direito do Mar não configuram, objetivamente, renúncia ao sistema jurídico nacional de proteção social dos trabalhadores, notadamente em face do que se contem no § 2º do art. 5º da CF, segundo o qual “Os direitos e garantias expressos nesta Constituição não excluem outros decorrentes do regime e dos princípios por </w:t>
      </w:r>
      <w:proofErr w:type="gramStart"/>
      <w:r w:rsidRPr="001A52B8">
        <w:rPr>
          <w:i/>
          <w:sz w:val="24"/>
          <w:szCs w:val="24"/>
        </w:rPr>
        <w:t>ela</w:t>
      </w:r>
      <w:proofErr w:type="gramEnd"/>
      <w:r w:rsidRPr="001A52B8">
        <w:rPr>
          <w:i/>
          <w:sz w:val="24"/>
          <w:szCs w:val="24"/>
        </w:rPr>
        <w:t xml:space="preserve"> adotados, ou dos tratados internacionais em que a República Federativa do Brasil seja parte.” Ainda relevante notar que os direitos trabalhistas, como espécie de direitos humanos fundamentais, estão vinculados ao espectro de proteção presente no caput do art. 7º da CF, que consagra, de modo expresso, o princípio da proibição do retrocesso, disso resultando que a mera incorporação de diplomas internacionais de conteúdo genérico – como no caso da Convenção das Nações Unidas sobre Direito do Mar - não pode significar a exclusão dos direitos assegurados na legislação doméstica. Significa dizer, ainda com fundamento no § 2º do art. 5º da CF e seguindo a linha histórico-evolutiva ou da progressividade dos direitos humanos, que o conjunto de direitos e garantias já consagrados pela Carta Política pode ser acrescido por direitos e garantias outros, desde que compatíveis com o regime e princípios por ela reconhecidos ou que sejam originários de normas internacionais. Feitas essas considerações, observa-se que a Convenção das Nações Unidas sobre Direito do Mar, relativamente às questões sociais ligadas ao trabalho, apenas estatui obrigações para os Estados signatários no sentido de garantir medidas necessárias para garantir a segurança no mar, no que se refere, “à composição, condições de trabalho e formação das tripulações, tendo em conta os instrumentos internacionais aplicáveis” (art. 94, III, b), também fixando a obrigação aos países de exercício de “(...) sua jurisdição de conformidade com o seu direito interno sobre todo o navio que arvore a sua bandeira e sobre o capitão, os oficiais e a tripulação, em questões administrativas, técnicas e sociais que se relacionem com o navio.” (art. 94, II, b). A Lei 7.064/82, editada muitos anos após a ratificação das Convenções de Havana (Bustamante) e das Nações Unidas sobre Direito do Mar, disciplina a situação de trabalhadores contratados no Brasil ou transferidos para prestar serviço no exterior, assegurando-lhes “a </w:t>
      </w:r>
      <w:proofErr w:type="gramStart"/>
      <w:r w:rsidRPr="001A52B8">
        <w:rPr>
          <w:i/>
          <w:sz w:val="24"/>
          <w:szCs w:val="24"/>
        </w:rPr>
        <w:t>aplicação</w:t>
      </w:r>
      <w:proofErr w:type="gramEnd"/>
      <w:r w:rsidRPr="001A52B8">
        <w:rPr>
          <w:i/>
          <w:sz w:val="24"/>
          <w:szCs w:val="24"/>
        </w:rPr>
        <w:t xml:space="preserve"> da legislação brasileira de proteção ao trabalho, naquilo que não for incompatível com o disposto nesta Lei, quando mais favorável do que a legislação territorial, no conjunto de normas e em relação a cada matéria.” (art. 3º, II). Por sua vez, o art. 19, item 8, da Constituição da Organização Internacional do Trabalho (OIT), no qual inscrito, em plano internacional, o princípio da norma mais favorável ao trabalhador, assim dispõe”: "Em caso algum, a adoção, pela Conferência, de uma convenção ou recomendação, ou a ratificação, por um Estado-Membro, de uma convenção, deverão ser consideradas como afetando qualquer lei, sentença, costumes ou acordos que assegurem aos trabalhadores interessados condições mais favoráveis que as previstas pela convenção ou recomendação". Desse complexo sistema de normas jurídicas, de origem doméstica e internacional (nesse </w:t>
      </w:r>
      <w:r w:rsidRPr="001A52B8">
        <w:rPr>
          <w:i/>
          <w:sz w:val="24"/>
          <w:szCs w:val="24"/>
        </w:rPr>
        <w:lastRenderedPageBreak/>
        <w:t>caso incorporadas com status de lei ordinária), resta claro que deve prevalecer o postulado da norma mais favorável ao trabalhador. No caso presente, das premissas fáticas contidas no acórdão regional, extrai</w:t>
      </w:r>
      <w:r>
        <w:rPr>
          <w:i/>
          <w:sz w:val="24"/>
          <w:szCs w:val="24"/>
        </w:rPr>
        <w:t>-</w:t>
      </w:r>
      <w:r w:rsidRPr="001A52B8">
        <w:rPr>
          <w:i/>
          <w:sz w:val="24"/>
          <w:szCs w:val="24"/>
        </w:rPr>
        <w:t xml:space="preserve">se que as tratativas antecedentes à contratação e a própria contratação ocorreram no Brasil, por empresa sediada na cidade de São Paulo, havendo labor em águas brasileiras e estrangeiras. Consta também que o embarque dos “pré-selecionados” em navios dependia da exibição de carta de emprego. Logo, além de competente a Justiça brasileira, o conteúdo obrigacional do pacto jurídico celebrado apenas poderia ser fixado a partir da legislação nacional, mais benéfica em relação à Convenção das Nações Unidas sobre Direito do Mar, por expressa imposição dos </w:t>
      </w:r>
      <w:proofErr w:type="spellStart"/>
      <w:r w:rsidRPr="001A52B8">
        <w:rPr>
          <w:i/>
          <w:sz w:val="24"/>
          <w:szCs w:val="24"/>
        </w:rPr>
        <w:t>arts</w:t>
      </w:r>
      <w:proofErr w:type="spellEnd"/>
      <w:r w:rsidRPr="001A52B8">
        <w:rPr>
          <w:i/>
          <w:sz w:val="24"/>
          <w:szCs w:val="24"/>
        </w:rPr>
        <w:t xml:space="preserve">. 5º, § 2º, da CF, 9º da LINDB e 3º, II, da Lei 7064/82 e 19, item </w:t>
      </w:r>
      <w:proofErr w:type="gramStart"/>
      <w:r w:rsidRPr="001A52B8">
        <w:rPr>
          <w:i/>
          <w:sz w:val="24"/>
          <w:szCs w:val="24"/>
        </w:rPr>
        <w:t>8</w:t>
      </w:r>
      <w:proofErr w:type="gramEnd"/>
      <w:r w:rsidRPr="001A52B8">
        <w:rPr>
          <w:i/>
          <w:sz w:val="24"/>
          <w:szCs w:val="24"/>
        </w:rPr>
        <w:t xml:space="preserve">, da Constituição da Organização Internacional do Trabalho (OIT). Não se divisa, portanto, ofensa aos artigos 5º, II e §§ 2º e 3º, da CF, 9º da Lei de Introdução às Normas do Direito Brasileiro, 1º, 2º e 3° da Lei nº 7.064/82 e 198 da Convenção de Havana. A matéria não foi </w:t>
      </w:r>
      <w:proofErr w:type="spellStart"/>
      <w:r w:rsidRPr="001A52B8">
        <w:rPr>
          <w:i/>
          <w:sz w:val="24"/>
          <w:szCs w:val="24"/>
        </w:rPr>
        <w:t>prequestionada</w:t>
      </w:r>
      <w:proofErr w:type="spellEnd"/>
      <w:r w:rsidRPr="001A52B8">
        <w:rPr>
          <w:i/>
          <w:sz w:val="24"/>
          <w:szCs w:val="24"/>
        </w:rPr>
        <w:t xml:space="preserve"> à luz do disposto nos artigos 274, 279 e 281 da Convenção de Havana, 91 da Convenção da ONU sobre o Direito do Mar de 1982, 27 da Convenção de Viena da ONU sobre o Direito dos Tratados de 1969, 1º e 2º da Declaração relativa aos princípios e direitos fundamentais do trabalho da OIT, 427 e 435 do Código Civil (Súmula 297 do TST). Sem embargo da discussão processual fundada na admissibilidade do recurso de revista, diante dos limites objetivos do art. 896 da CLT, não foi examinada pela Corte de origem a sugerida contrariedade à Tese 210, fixada em regime de repercussão geral no julgamento dos </w:t>
      </w:r>
      <w:proofErr w:type="spellStart"/>
      <w:r w:rsidRPr="001A52B8">
        <w:rPr>
          <w:i/>
          <w:sz w:val="24"/>
          <w:szCs w:val="24"/>
        </w:rPr>
        <w:t>RE’s</w:t>
      </w:r>
      <w:proofErr w:type="spellEnd"/>
      <w:r w:rsidRPr="001A52B8">
        <w:rPr>
          <w:i/>
          <w:sz w:val="24"/>
          <w:szCs w:val="24"/>
        </w:rPr>
        <w:t xml:space="preserve"> 636.331 e 466.343-1 (Súmula 297 do TST). Recurso de revista não conhecido. (</w:t>
      </w:r>
      <w:proofErr w:type="gramStart"/>
      <w:r w:rsidRPr="001A52B8">
        <w:rPr>
          <w:i/>
          <w:sz w:val="24"/>
          <w:szCs w:val="24"/>
        </w:rPr>
        <w:t>...)”</w:t>
      </w:r>
      <w:proofErr w:type="gramEnd"/>
      <w:r w:rsidRPr="001A52B8">
        <w:rPr>
          <w:sz w:val="24"/>
          <w:szCs w:val="24"/>
        </w:rPr>
        <w:t xml:space="preserve"> (</w:t>
      </w:r>
      <w:hyperlink r:id="rId16" w:history="1">
        <w:r w:rsidRPr="001A52B8">
          <w:rPr>
            <w:rStyle w:val="Hyperlink"/>
            <w:sz w:val="24"/>
            <w:szCs w:val="24"/>
          </w:rPr>
          <w:t>TST-RR-10285-19.2016.5.09.0001</w:t>
        </w:r>
      </w:hyperlink>
      <w:r w:rsidRPr="001A52B8">
        <w:rPr>
          <w:sz w:val="24"/>
          <w:szCs w:val="24"/>
        </w:rPr>
        <w:t>, 5ª Turma, rel. Min. Douglas Alencar Rodrigues, julgado em 4.9.2019)</w:t>
      </w:r>
    </w:p>
    <w:p w:rsidR="006628FD" w:rsidRPr="006628FD" w:rsidRDefault="006628FD" w:rsidP="0001790D">
      <w:pPr>
        <w:ind w:left="567"/>
        <w:jc w:val="both"/>
      </w:pPr>
    </w:p>
    <w:p w:rsidR="0001790D" w:rsidRDefault="0001790D" w:rsidP="0001790D">
      <w:pPr>
        <w:jc w:val="both"/>
        <w:outlineLvl w:val="0"/>
        <w:rPr>
          <w:rFonts w:eastAsiaTheme="minorEastAsia"/>
          <w:b/>
          <w:i/>
          <w:color w:val="000000"/>
          <w:sz w:val="24"/>
          <w:szCs w:val="24"/>
        </w:rPr>
      </w:pPr>
      <w:r>
        <w:rPr>
          <w:rFonts w:eastAsiaTheme="minorEastAsia"/>
          <w:b/>
          <w:i/>
          <w:color w:val="000000"/>
          <w:sz w:val="24"/>
          <w:szCs w:val="24"/>
        </w:rPr>
        <w:t>Dano moral coletivo. Aprendizes. Não cumprimento da cota. Art. 429 da CLT. Transcendência política reconhecida. Indenização devida.</w:t>
      </w:r>
    </w:p>
    <w:p w:rsidR="0001790D" w:rsidRPr="006628FD" w:rsidRDefault="0001790D" w:rsidP="0001790D">
      <w:pPr>
        <w:jc w:val="both"/>
        <w:outlineLvl w:val="0"/>
        <w:rPr>
          <w:rFonts w:eastAsiaTheme="minorEastAsia"/>
          <w:b/>
          <w:i/>
          <w:color w:val="000000"/>
        </w:rPr>
      </w:pPr>
    </w:p>
    <w:p w:rsidR="0001790D" w:rsidRPr="001A52B8" w:rsidRDefault="0001790D" w:rsidP="0001790D">
      <w:pPr>
        <w:ind w:left="567"/>
        <w:jc w:val="both"/>
        <w:rPr>
          <w:color w:val="000000"/>
          <w:sz w:val="24"/>
          <w:szCs w:val="24"/>
        </w:rPr>
      </w:pPr>
      <w:r w:rsidRPr="001A52B8">
        <w:rPr>
          <w:i/>
          <w:sz w:val="24"/>
          <w:szCs w:val="24"/>
        </w:rPr>
        <w:t xml:space="preserve"> (...) </w:t>
      </w:r>
      <w:r w:rsidRPr="001A52B8">
        <w:rPr>
          <w:i/>
          <w:color w:val="000000"/>
          <w:sz w:val="24"/>
          <w:szCs w:val="24"/>
        </w:rPr>
        <w:t xml:space="preserve">RECURSO DE REVISTA DO MINISTÉRIO PÚBLICO DO TRABALHO. </w:t>
      </w:r>
      <w:r w:rsidRPr="001A52B8">
        <w:rPr>
          <w:bCs/>
          <w:i/>
          <w:color w:val="000000"/>
          <w:sz w:val="24"/>
          <w:szCs w:val="24"/>
        </w:rPr>
        <w:t xml:space="preserve">LEI 13.467/2017. </w:t>
      </w:r>
      <w:r w:rsidRPr="001A52B8">
        <w:rPr>
          <w:i/>
          <w:color w:val="000000"/>
          <w:sz w:val="24"/>
          <w:szCs w:val="24"/>
        </w:rPr>
        <w:t>DANO MORAL COLETIVO. AUSÊNCIA DE CONTRATAÇÃO DE APRENDIZES NA COTA ESTABELECIDA POR MEIO DO ARTIGO 429 DA CLT. TRANSCENDÊNCIA. O art. 896-A, § 1º, II, da CLT prevê como indicação de transcendência política, entre outros, "o desrespeito da instância recorrida à jurisprudência sumulada do Tribunal Superior do Trabalho ou do Supremo Tribunal Federal". Como o dispositivo não é taxativo</w:t>
      </w:r>
      <w:proofErr w:type="gramStart"/>
      <w:r w:rsidRPr="001A52B8">
        <w:rPr>
          <w:i/>
          <w:color w:val="000000"/>
          <w:sz w:val="24"/>
          <w:szCs w:val="24"/>
        </w:rPr>
        <w:t>, deve</w:t>
      </w:r>
      <w:proofErr w:type="gramEnd"/>
      <w:r w:rsidRPr="001A52B8">
        <w:rPr>
          <w:i/>
          <w:color w:val="000000"/>
          <w:sz w:val="24"/>
          <w:szCs w:val="24"/>
        </w:rPr>
        <w:t xml:space="preserve"> ser reconhecida a transcendência política quando há desrespeito à jurisprudência reiterada do Tribunal Superior do Trabalho ou do Supremo Tribunal Federal, ainda que o entendimento não tenha sido objeto de súmula. A matéria diz respeito à exigibilidade da indenização por dano moral coletivo em face do não cumprimento da cota prevista no art. 429 da CLT para a contratação de aprendizes. O </w:t>
      </w:r>
      <w:proofErr w:type="spellStart"/>
      <w:r w:rsidRPr="001A52B8">
        <w:rPr>
          <w:i/>
          <w:color w:val="000000"/>
          <w:sz w:val="24"/>
          <w:szCs w:val="24"/>
        </w:rPr>
        <w:t>eg</w:t>
      </w:r>
      <w:proofErr w:type="spellEnd"/>
      <w:r w:rsidRPr="001A52B8">
        <w:rPr>
          <w:i/>
          <w:color w:val="000000"/>
          <w:sz w:val="24"/>
          <w:szCs w:val="24"/>
        </w:rPr>
        <w:t xml:space="preserve">. Tribunal Regional decidiu ser indevida a indenização pleiteada, por entender que a conduta da reclamada apenas atingiu determinado número de trabalhadores, sem repercussão na coletividade. A causa apresenta transcendência política, uma vez que a decisão regional contraria a jurisprudência pacífica desta Corte Superior, que reconhece a conduta antijurídica da empresa em não cumprir a cota de aprendizagem prevista no art. 429 da CLT e, por conseguinte, o dano extrapatrimonial causado à coletividade, para justificar o deferimento da indenização por dano moral coletivo. De fato, a configuração do dano moral coletivo pressupõe que o ilícito (descumprimento pelo agente de determinadas normas trabalhista) e seus efeitos excedam a esfera individual e atinja o patrimônio da coletividade. Portanto, deve ser apurado se a conduta do empregador atingiu coletividade de empregados e a existência de prejuízo para um grupo ou classe de pessoas bem como a reprovação social de tal procedimento. No presente caso, o </w:t>
      </w:r>
      <w:proofErr w:type="spellStart"/>
      <w:r w:rsidRPr="001A52B8">
        <w:rPr>
          <w:i/>
          <w:color w:val="000000"/>
          <w:sz w:val="24"/>
          <w:szCs w:val="24"/>
        </w:rPr>
        <w:t>eg</w:t>
      </w:r>
      <w:proofErr w:type="spellEnd"/>
      <w:r w:rsidRPr="001A52B8">
        <w:rPr>
          <w:i/>
          <w:color w:val="000000"/>
          <w:sz w:val="24"/>
          <w:szCs w:val="24"/>
        </w:rPr>
        <w:t xml:space="preserve">. TRT evidencia que a empresa ré não observava a cota de aprendizes prevista no art. 429 da CLT. Trata-se de conduta antijurídica, que atinge a coletividade, com grau de reprovabilidade diante da ordem jurídica e cujo dano não exige "prova" para autorizar o deferimento da indenização por dano moral coletivo. </w:t>
      </w:r>
      <w:proofErr w:type="gramStart"/>
      <w:r w:rsidRPr="001A52B8">
        <w:rPr>
          <w:i/>
          <w:color w:val="000000"/>
          <w:sz w:val="24"/>
          <w:szCs w:val="24"/>
        </w:rPr>
        <w:lastRenderedPageBreak/>
        <w:t>Transcendência política reconhecida, recurso de revista de que se conhece e a que se dá provimento.”</w:t>
      </w:r>
      <w:proofErr w:type="gramEnd"/>
      <w:r w:rsidRPr="001A52B8">
        <w:rPr>
          <w:color w:val="000000"/>
          <w:sz w:val="24"/>
          <w:szCs w:val="24"/>
        </w:rPr>
        <w:t xml:space="preserve"> (</w:t>
      </w:r>
      <w:hyperlink r:id="rId17" w:history="1">
        <w:r w:rsidRPr="001A52B8">
          <w:rPr>
            <w:rStyle w:val="Hyperlink"/>
            <w:sz w:val="24"/>
            <w:szCs w:val="24"/>
          </w:rPr>
          <w:t>TST-ARR-1900-11.2015.5.11.0018</w:t>
        </w:r>
      </w:hyperlink>
      <w:r w:rsidRPr="001A52B8">
        <w:rPr>
          <w:color w:val="000000"/>
          <w:sz w:val="24"/>
          <w:szCs w:val="24"/>
        </w:rPr>
        <w:t xml:space="preserve">, 6ª Turma, rel. Des. Cilene Ferreira Amaro Santos, julgado em 4.9.2019) </w:t>
      </w:r>
    </w:p>
    <w:p w:rsidR="004B3120" w:rsidRDefault="004B3120" w:rsidP="000132A3">
      <w:pPr>
        <w:jc w:val="both"/>
        <w:outlineLvl w:val="0"/>
        <w:rPr>
          <w:rFonts w:eastAsiaTheme="minorEastAsia"/>
          <w:b/>
          <w:i/>
          <w:color w:val="000000"/>
          <w:sz w:val="24"/>
          <w:szCs w:val="24"/>
        </w:rPr>
      </w:pPr>
    </w:p>
    <w:p w:rsidR="000132A3" w:rsidRPr="004B3120" w:rsidRDefault="000132A3" w:rsidP="00CA4AE6">
      <w:pPr>
        <w:pStyle w:val="Ementa"/>
        <w:ind w:left="0"/>
        <w:outlineLvl w:val="0"/>
        <w:rPr>
          <w:rFonts w:ascii="Times New Roman" w:hAnsi="Times New Roman" w:cs="Times New Roman"/>
          <w:i/>
          <w:color w:val="auto"/>
          <w:lang w:val="pt-BR"/>
        </w:rPr>
      </w:pPr>
    </w:p>
    <w:p w:rsidR="000132A3" w:rsidRPr="004B3120" w:rsidRDefault="000132A3" w:rsidP="00CA4AE6">
      <w:pPr>
        <w:pStyle w:val="Ementa"/>
        <w:ind w:left="0"/>
        <w:outlineLvl w:val="0"/>
        <w:rPr>
          <w:rFonts w:ascii="Times New Roman" w:hAnsi="Times New Roman" w:cs="Times New Roman"/>
          <w:i/>
          <w:color w:val="auto"/>
          <w:lang w:val="pt-BR"/>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8"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9"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0"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C5" w:rsidRDefault="000816C5">
      <w:r>
        <w:separator/>
      </w:r>
    </w:p>
  </w:endnote>
  <w:endnote w:type="continuationSeparator" w:id="0">
    <w:p w:rsidR="000816C5" w:rsidRDefault="0008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4839">
      <w:rPr>
        <w:rStyle w:val="Nmerodepgina"/>
        <w:noProof/>
      </w:rPr>
      <w:t>7</w:t>
    </w:r>
    <w:r>
      <w:rPr>
        <w:rStyle w:val="Nmerodepgina"/>
      </w:rPr>
      <w:fldChar w:fldCharType="end"/>
    </w:r>
  </w:p>
  <w:p w:rsidR="000816C5" w:rsidRDefault="000816C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C9483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C5" w:rsidRDefault="000816C5">
      <w:r>
        <w:separator/>
      </w:r>
    </w:p>
  </w:footnote>
  <w:footnote w:type="continuationSeparator" w:id="0">
    <w:p w:rsidR="000816C5" w:rsidRDefault="0008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Pr="008420B2" w:rsidRDefault="000816C5">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Pr>
        <w:sz w:val="24"/>
        <w:szCs w:val="24"/>
        <w14:shadow w14:blurRad="50800" w14:dist="38100" w14:dir="2700000" w14:sx="100000" w14:sy="100000" w14:kx="0" w14:ky="0" w14:algn="tl">
          <w14:srgbClr w14:val="000000">
            <w14:alpha w14:val="60000"/>
          </w14:srgbClr>
        </w14:shadow>
      </w:rPr>
      <w:t>20</w:t>
    </w:r>
    <w:r w:rsidR="006628FD">
      <w:rPr>
        <w:sz w:val="24"/>
        <w:szCs w:val="24"/>
        <w14:shadow w14:blurRad="50800" w14:dist="38100" w14:dir="2700000" w14:sx="100000" w14:sy="100000" w14:kx="0" w14:ky="0" w14:algn="tl">
          <w14:srgbClr w14:val="000000">
            <w14:alpha w14:val="60000"/>
          </w14:srgbClr>
        </w14:shadow>
      </w:rPr>
      <w:t>4</w:t>
    </w:r>
  </w:p>
  <w:p w:rsidR="000816C5" w:rsidRDefault="000816C5"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694203C4" wp14:editId="249767B9">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6628FD">
      <w:rPr>
        <w:i/>
        <w:iCs/>
      </w:rPr>
      <w:t>3</w:t>
    </w:r>
    <w:r w:rsidR="00735B8F">
      <w:rPr>
        <w:i/>
        <w:iCs/>
      </w:rPr>
      <w:t xml:space="preserve"> a </w:t>
    </w:r>
    <w:r w:rsidR="006628FD">
      <w:rPr>
        <w:i/>
        <w:iCs/>
      </w:rPr>
      <w:t>9</w:t>
    </w:r>
    <w:r w:rsidR="00735B8F">
      <w:rPr>
        <w:i/>
        <w:iCs/>
      </w:rPr>
      <w:t xml:space="preserve"> de setembro de </w:t>
    </w:r>
    <w:r>
      <w:rPr>
        <w:i/>
        <w:iCs/>
      </w:rPr>
      <w:t>2019</w:t>
    </w:r>
  </w:p>
  <w:p w:rsidR="000816C5" w:rsidRPr="005D1DE4" w:rsidRDefault="000816C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C9483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0816C5">
      <w:rPr>
        <w:noProof/>
      </w:rPr>
      <w:drawing>
        <wp:inline distT="0" distB="0" distL="0" distR="0" wp14:anchorId="078E3DE2" wp14:editId="76E8AD03">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0816C5" w:rsidRPr="002168DE" w:rsidRDefault="000816C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20</w:t>
    </w:r>
    <w:r w:rsidR="00F53215">
      <w:rPr>
        <w:b/>
        <w:sz w:val="40"/>
        <w:szCs w:val="40"/>
      </w:rPr>
      <w:t>4</w:t>
    </w:r>
  </w:p>
  <w:p w:rsidR="000816C5" w:rsidRPr="005D1DE4" w:rsidRDefault="000816C5">
    <w:pPr>
      <w:pStyle w:val="Cabealho"/>
      <w:jc w:val="right"/>
      <w:rPr>
        <w:i/>
        <w:iCs/>
        <w:sz w:val="10"/>
        <w:szCs w:val="10"/>
      </w:rPr>
    </w:pPr>
  </w:p>
  <w:p w:rsidR="000816C5" w:rsidRDefault="000816C5" w:rsidP="009A16E8">
    <w:pPr>
      <w:pStyle w:val="Cabealho"/>
      <w:jc w:val="right"/>
      <w:rPr>
        <w:i/>
        <w:iCs/>
      </w:rPr>
    </w:pPr>
    <w:r>
      <w:rPr>
        <w:i/>
        <w:iCs/>
      </w:rPr>
      <w:t xml:space="preserve">Período: </w:t>
    </w:r>
    <w:r w:rsidR="00F53215">
      <w:rPr>
        <w:i/>
        <w:iCs/>
      </w:rPr>
      <w:t xml:space="preserve">3 a 9 de </w:t>
    </w:r>
    <w:r w:rsidR="00735B8F">
      <w:rPr>
        <w:i/>
        <w:iCs/>
      </w:rPr>
      <w:t xml:space="preserve">setembro </w:t>
    </w:r>
    <w:r>
      <w:rPr>
        <w:i/>
        <w:iCs/>
      </w:rPr>
      <w:t>de 2019</w:t>
    </w:r>
  </w:p>
  <w:p w:rsidR="000816C5" w:rsidRDefault="000816C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35B8F"/>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839"/>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73671&amp;anoInt=2018"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5564&amp;digitoTst=61&amp;anoTst=2015&amp;orgaoTst=5&amp;tribunalTst=09&amp;varaTst=0000&amp;submit=Consultar" TargetMode="External"/><Relationship Id="rId17" Type="http://schemas.openxmlformats.org/officeDocument/2006/relationships/hyperlink" Target="http://aplicacao4.tst.jus.br/consultaProcessual/resumoForm.do?consulta=1&amp;numeroInt=185710&amp;anoInt=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135605&amp;anoInt=2018"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156&amp;digitoTst=17&amp;anoTst=2011&amp;orgaoTst=5&amp;tribunalTst=15&amp;varaTst=0027&amp;submit=Consulta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36391&amp;anoInt=2018"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358&amp;digitoTst=48&amp;anoTst=2014&amp;orgaoTst=5&amp;tribunalTst=12&amp;varaTst=0055" TargetMode="External"/><Relationship Id="rId19" Type="http://schemas.openxmlformats.org/officeDocument/2006/relationships/hyperlink" Target="http://www.tst.jus.br/web/guest/informativo-tst" TargetMode="External"/><Relationship Id="rId4" Type="http://schemas.microsoft.com/office/2007/relationships/stylesWithEffects" Target="stylesWithEffects.xml"/><Relationship Id="rId9" Type="http://schemas.openxmlformats.org/officeDocument/2006/relationships/hyperlink" Target="http://aplicacao4.tst.jus.br/consultaProcessual/resumoForm.do?consulta=1&amp;numeroInt=187375&amp;anoInt=2012" TargetMode="External"/><Relationship Id="rId14" Type="http://schemas.openxmlformats.org/officeDocument/2006/relationships/hyperlink" Target="http://aplicacao4.tst.jus.br/consultaProcessual/resumoForm.do?consulta=1&amp;numeroInt=75433&amp;anoInt=2016"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F003-0904-4B28-97A1-74F25DE2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3774</Words>
  <Characters>22639</Characters>
  <Application>Microsoft Office Word</Application>
  <DocSecurity>4</DocSecurity>
  <Lines>188</Lines>
  <Paragraphs>52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26361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2019-09-17T19:44:00Z</dcterms:created>
  <dcterms:modified xsi:type="dcterms:W3CDTF">2019-09-17T19:44:00Z</dcterms:modified>
</cp:coreProperties>
</file>