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4B3120" w:rsidTr="00E3622E"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E3622E" w:rsidRPr="004B3120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4B3120">
              <w:t>Este Informativo, elaborado a partir de notas tomadas nas sessões de julgamentos, contém resumos não</w:t>
            </w:r>
            <w:r w:rsidR="00DC50EB" w:rsidRPr="004B3120">
              <w:t xml:space="preserve"> </w:t>
            </w:r>
            <w:r w:rsidRPr="004B3120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4B3120">
              <w:t xml:space="preserve"> Eletrônico </w:t>
            </w:r>
            <w:r w:rsidRPr="004B3120">
              <w:t>da Justiça</w:t>
            </w:r>
            <w:r w:rsidR="00980944" w:rsidRPr="004B3120">
              <w:t xml:space="preserve"> do Trabalho</w:t>
            </w:r>
            <w:r w:rsidRPr="004B3120">
              <w:t>.</w:t>
            </w:r>
          </w:p>
          <w:p w:rsidR="00730CC7" w:rsidRPr="004B3120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7D2DB0" w:rsidRPr="004B3120" w:rsidRDefault="00B15004" w:rsidP="007D2DB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120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SEÇÃO ESPECIALIZADA EM DISSÍDIOS COLETIVOS</w:t>
      </w:r>
    </w:p>
    <w:p w:rsidR="004B3120" w:rsidRPr="004B3120" w:rsidRDefault="004B3120" w:rsidP="000132A3">
      <w:pPr>
        <w:pStyle w:val="Identificao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:rsidR="004B3120" w:rsidRPr="004B3120" w:rsidRDefault="004B3120" w:rsidP="004B3120">
      <w:pPr>
        <w:pStyle w:val="Identificao"/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</w:pPr>
      <w:r w:rsidRPr="004B3120"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  <w:t xml:space="preserve">Greve. Serviços essenciais. Multa por descumprimento de ordem judicial que estabelecia quantitativos mínimos de trabalhadores para operar o metrô de Belo Horizonte/MG. Manutenção. </w:t>
      </w:r>
    </w:p>
    <w:p w:rsidR="004B3120" w:rsidRPr="004B3120" w:rsidRDefault="004B3120" w:rsidP="004B3120">
      <w:pPr>
        <w:pStyle w:val="Identificao"/>
        <w:rPr>
          <w:rFonts w:ascii="Times New Roman" w:eastAsiaTheme="minorEastAsia" w:hAnsi="Times New Roman" w:cs="Times New Roman"/>
          <w:color w:val="auto"/>
          <w:u w:val="single"/>
          <w:lang w:val="pt-BR"/>
        </w:rPr>
      </w:pPr>
      <w:r w:rsidRPr="004B3120">
        <w:rPr>
          <w:rFonts w:ascii="Times New Roman" w:hAnsi="Times New Roman" w:cs="Times New Roman"/>
          <w:color w:val="auto"/>
          <w:lang w:val="pt-BR"/>
        </w:rPr>
        <w:t xml:space="preserve">A SDC, por unanimidade, conheceu de recurso ordinário e, no mérito, por maioria, negou-lhe provimento para manter a multa de </w:t>
      </w:r>
      <w:proofErr w:type="gramStart"/>
      <w:r w:rsidRPr="004B3120">
        <w:rPr>
          <w:rFonts w:ascii="Times New Roman" w:hAnsi="Times New Roman" w:cs="Times New Roman"/>
          <w:color w:val="auto"/>
          <w:lang w:val="pt-BR"/>
        </w:rPr>
        <w:t>R$ 250.000,00 aplicada</w:t>
      </w:r>
      <w:proofErr w:type="gramEnd"/>
      <w:r w:rsidRPr="004B3120">
        <w:rPr>
          <w:rFonts w:ascii="Times New Roman" w:hAnsi="Times New Roman" w:cs="Times New Roman"/>
          <w:color w:val="auto"/>
          <w:lang w:val="pt-BR"/>
        </w:rPr>
        <w:t xml:space="preserve"> ao </w:t>
      </w:r>
      <w:proofErr w:type="spellStart"/>
      <w:r w:rsidRPr="004B3120">
        <w:rPr>
          <w:rFonts w:ascii="Times New Roman" w:hAnsi="Times New Roman" w:cs="Times New Roman"/>
          <w:color w:val="auto"/>
          <w:lang w:val="pt-BR"/>
        </w:rPr>
        <w:t>Sindmetro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/MG pelo descumprimento da liminar concedida pelo TRT da 3ª Região que estabelecia quantitativos mínimos de trabalhadores para operarem o Metrô de Belo Horizonte/MG durante greve ocorrida em 28.4.2017. No caso, embora o movimento paredista tenha durado apenas um dia, prevaleceu o entendimento de que o valor fixado para a multa era razoável e proporcional ao caso concreto, pois se trata de serviço essencial cuja paralisação total causou manifesto prejuízo à população. Ademais, o sindicato recorrente, além de se esquivar do recebimento da liminar que determinava os percentuais de trens em funcionamento durante a paralisação, descumpriu a ordem judicial sem justificativa plausível, em descompasso com a lealdade e a boa-fé processuais. Vencidos parcialmente os Ministros </w:t>
      </w:r>
      <w:proofErr w:type="spellStart"/>
      <w:r w:rsidRPr="004B3120">
        <w:rPr>
          <w:rFonts w:ascii="Times New Roman" w:hAnsi="Times New Roman" w:cs="Times New Roman"/>
          <w:color w:val="auto"/>
          <w:lang w:val="pt-BR"/>
        </w:rPr>
        <w:t>Lelio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 Bentes Corrêa, Mauricio Godinho Delgado e Kátia Magalhães Arruda. </w:t>
      </w:r>
      <w:hyperlink r:id="rId9" w:history="1">
        <w:r w:rsidRPr="004B3120">
          <w:rPr>
            <w:rStyle w:val="Hyperlink"/>
            <w:rFonts w:ascii="Times New Roman" w:hAnsi="Times New Roman"/>
            <w:lang w:val="pt-BR"/>
          </w:rPr>
          <w:t>TST-RO-10488-15.2017.5.03.0000</w:t>
        </w:r>
      </w:hyperlink>
      <w:r w:rsidRPr="004B3120">
        <w:rPr>
          <w:rFonts w:ascii="Times New Roman" w:hAnsi="Times New Roman" w:cs="Times New Roman"/>
          <w:color w:val="auto"/>
          <w:u w:val="single"/>
          <w:lang w:val="pt-BR"/>
        </w:rPr>
        <w:t xml:space="preserve">, SDC, rel. Min. Ives Gandra da Silva Martins Filho, </w:t>
      </w:r>
      <w:proofErr w:type="gramStart"/>
      <w:smartTag w:uri="urn:schemas-microsoft-com:office:smarttags" w:element="date">
        <w:smartTagPr>
          <w:attr w:name="ls" w:val="trans"/>
          <w:attr w:name="Month" w:val="8"/>
          <w:attr w:name="Day" w:val="12"/>
          <w:attr w:name="Year" w:val="2019"/>
        </w:smartTagPr>
        <w:r w:rsidRPr="004B3120">
          <w:rPr>
            <w:rFonts w:ascii="Times New Roman" w:hAnsi="Times New Roman" w:cs="Times New Roman"/>
            <w:color w:val="auto"/>
            <w:u w:val="single"/>
            <w:lang w:val="pt-BR"/>
          </w:rPr>
          <w:t>12.8.2019</w:t>
        </w:r>
      </w:smartTag>
      <w:proofErr w:type="gramEnd"/>
    </w:p>
    <w:p w:rsidR="004B3120" w:rsidRPr="004B3120" w:rsidRDefault="004B3120" w:rsidP="004B3120">
      <w:pPr>
        <w:pStyle w:val="Identificao"/>
        <w:rPr>
          <w:rFonts w:ascii="Times New Roman" w:hAnsi="Times New Roman" w:cs="Times New Roman"/>
          <w:color w:val="auto"/>
          <w:sz w:val="20"/>
          <w:szCs w:val="20"/>
          <w:u w:val="single"/>
          <w:lang w:val="pt-BR"/>
        </w:rPr>
      </w:pPr>
    </w:p>
    <w:p w:rsidR="004B3120" w:rsidRPr="004B3120" w:rsidRDefault="004B3120" w:rsidP="004B3120">
      <w:pPr>
        <w:adjustRightInd w:val="0"/>
        <w:jc w:val="both"/>
        <w:rPr>
          <w:b/>
          <w:bCs/>
          <w:i/>
          <w:iCs/>
          <w:sz w:val="24"/>
          <w:szCs w:val="24"/>
        </w:rPr>
      </w:pPr>
      <w:r w:rsidRPr="004B3120">
        <w:rPr>
          <w:b/>
          <w:bCs/>
          <w:i/>
          <w:iCs/>
          <w:sz w:val="24"/>
          <w:szCs w:val="24"/>
        </w:rPr>
        <w:t xml:space="preserve">Dissídio coletivo de greve. Abusividade do movimento paredista. Servidores celetistas de autarquia estadual. Incompetência da Justiça do Trabalho. </w:t>
      </w:r>
    </w:p>
    <w:p w:rsidR="004B3120" w:rsidRPr="004B3120" w:rsidRDefault="004B3120" w:rsidP="004B3120">
      <w:pPr>
        <w:adjustRightInd w:val="0"/>
        <w:jc w:val="both"/>
        <w:rPr>
          <w:bCs/>
          <w:iCs/>
          <w:sz w:val="24"/>
          <w:szCs w:val="24"/>
        </w:rPr>
      </w:pPr>
      <w:r w:rsidRPr="004B3120">
        <w:rPr>
          <w:bCs/>
          <w:iCs/>
          <w:sz w:val="24"/>
          <w:szCs w:val="24"/>
        </w:rPr>
        <w:t xml:space="preserve">Conforme decidido pelo STF, em sede de repercussão geral, </w:t>
      </w:r>
      <w:r w:rsidRPr="004B3120">
        <w:rPr>
          <w:bCs/>
          <w:i/>
          <w:iCs/>
          <w:sz w:val="24"/>
          <w:szCs w:val="24"/>
        </w:rPr>
        <w:t>"a Justiça Comum Federal ou Estadual é competente para julgar a abusividade de greve de servidores públicos celetistas da administração direta, autarquias e fundações de direito público”</w:t>
      </w:r>
      <w:r w:rsidRPr="004B3120">
        <w:rPr>
          <w:bCs/>
          <w:iCs/>
          <w:sz w:val="24"/>
          <w:szCs w:val="24"/>
        </w:rPr>
        <w:t xml:space="preserve"> (Tema 544 - RE nº 846854/SP). Assim, a Justiça do Trabalho é incompetente para apreciar dissídio coletivo de greve em que se discute a abusividade do movimento paredista deflagrado por servidores celetistas do Hospital das Clínicas da Faculdade de Medicina de Ribeirão Preto da Universidade de São Paulo, autarquia estadual. No caso, registrou-se que, embora a decisão recorrida seja anterior à publicação do acórdão da repercussão geral, a tese fixada é aplicável </w:t>
      </w:r>
      <w:proofErr w:type="spellStart"/>
      <w:r w:rsidRPr="004B3120">
        <w:rPr>
          <w:bCs/>
          <w:i/>
          <w:iCs/>
          <w:sz w:val="24"/>
          <w:szCs w:val="24"/>
        </w:rPr>
        <w:t>ex</w:t>
      </w:r>
      <w:proofErr w:type="spellEnd"/>
      <w:r w:rsidRPr="004B3120">
        <w:rPr>
          <w:bCs/>
          <w:i/>
          <w:iCs/>
          <w:sz w:val="24"/>
          <w:szCs w:val="24"/>
        </w:rPr>
        <w:t xml:space="preserve"> </w:t>
      </w:r>
      <w:proofErr w:type="spellStart"/>
      <w:r w:rsidRPr="004B3120">
        <w:rPr>
          <w:bCs/>
          <w:i/>
          <w:iCs/>
          <w:sz w:val="24"/>
          <w:szCs w:val="24"/>
        </w:rPr>
        <w:t>tunc</w:t>
      </w:r>
      <w:proofErr w:type="spellEnd"/>
      <w:r w:rsidRPr="004B3120">
        <w:rPr>
          <w:bCs/>
          <w:iCs/>
          <w:sz w:val="24"/>
          <w:szCs w:val="24"/>
        </w:rPr>
        <w:t xml:space="preserve"> porque não houve modulação dos efeitos. Sob esses fundamentos, a SDC, por maioria, acolheu a preliminar de incompetência absoluta da Justiça do Trabalho e determinou a remessa dos autos à Justiça Comum Estadual. </w:t>
      </w:r>
      <w:r w:rsidRPr="004B3120">
        <w:rPr>
          <w:sz w:val="24"/>
          <w:szCs w:val="24"/>
        </w:rPr>
        <w:t xml:space="preserve">Vencidos os Ministros Mauricio Godinho Delgado e </w:t>
      </w:r>
      <w:proofErr w:type="spellStart"/>
      <w:r w:rsidRPr="004B3120">
        <w:rPr>
          <w:sz w:val="24"/>
          <w:szCs w:val="24"/>
        </w:rPr>
        <w:t>Lelio</w:t>
      </w:r>
      <w:proofErr w:type="spellEnd"/>
      <w:r w:rsidRPr="004B3120">
        <w:rPr>
          <w:sz w:val="24"/>
          <w:szCs w:val="24"/>
        </w:rPr>
        <w:t xml:space="preserve"> Bentes Corrêa. </w:t>
      </w:r>
      <w:hyperlink r:id="rId10" w:history="1">
        <w:r w:rsidRPr="004B3120">
          <w:rPr>
            <w:rStyle w:val="Hyperlink"/>
            <w:sz w:val="24"/>
            <w:szCs w:val="24"/>
          </w:rPr>
          <w:t>TST-</w:t>
        </w:r>
        <w:proofErr w:type="spellStart"/>
        <w:r w:rsidRPr="004B3120">
          <w:rPr>
            <w:rStyle w:val="Hyperlink"/>
            <w:bCs/>
            <w:sz w:val="24"/>
            <w:szCs w:val="24"/>
            <w:shd w:val="clear" w:color="auto" w:fill="FFFFFF"/>
          </w:rPr>
          <w:t>ReeNec</w:t>
        </w:r>
        <w:proofErr w:type="spellEnd"/>
        <w:r w:rsidRPr="004B3120">
          <w:rPr>
            <w:rStyle w:val="Hyperlink"/>
            <w:bCs/>
            <w:sz w:val="24"/>
            <w:szCs w:val="24"/>
            <w:shd w:val="clear" w:color="auto" w:fill="FFFFFF"/>
          </w:rPr>
          <w:t xml:space="preserve"> e RO-6371-79.2016.5.15.0000</w:t>
        </w:r>
      </w:hyperlink>
      <w:r w:rsidRPr="004B3120">
        <w:rPr>
          <w:sz w:val="24"/>
          <w:szCs w:val="24"/>
          <w:u w:val="single"/>
        </w:rPr>
        <w:t xml:space="preserve">, SDC, rel. Min. </w:t>
      </w:r>
      <w:r w:rsidRPr="004B3120">
        <w:rPr>
          <w:bCs/>
          <w:sz w:val="24"/>
          <w:szCs w:val="24"/>
          <w:u w:val="single"/>
          <w:shd w:val="clear" w:color="auto" w:fill="FFFFFF"/>
        </w:rPr>
        <w:t>Ives Gandra da Silva Martins Filho</w:t>
      </w:r>
      <w:r w:rsidRPr="004B3120">
        <w:rPr>
          <w:sz w:val="24"/>
          <w:szCs w:val="24"/>
          <w:u w:val="single"/>
        </w:rPr>
        <w:t xml:space="preserve">, </w:t>
      </w:r>
      <w:proofErr w:type="gramStart"/>
      <w:r w:rsidRPr="004B3120">
        <w:rPr>
          <w:sz w:val="24"/>
          <w:szCs w:val="24"/>
          <w:u w:val="single"/>
        </w:rPr>
        <w:t>12.8.2019</w:t>
      </w:r>
      <w:proofErr w:type="gramEnd"/>
    </w:p>
    <w:p w:rsidR="000132A3" w:rsidRPr="004B3120" w:rsidRDefault="000132A3" w:rsidP="00CA4AE6">
      <w:pPr>
        <w:pStyle w:val="Corpo"/>
        <w:spacing w:line="240" w:lineRule="auto"/>
        <w:ind w:firstLine="0"/>
        <w:rPr>
          <w:rFonts w:ascii="Times New Roman" w:hAnsi="Times New Roman" w:cs="Times New Roman"/>
          <w:sz w:val="20"/>
          <w:szCs w:val="20"/>
          <w:lang w:val="pt-BR"/>
        </w:rPr>
      </w:pPr>
    </w:p>
    <w:p w:rsidR="000132A3" w:rsidRPr="004B3120" w:rsidRDefault="000132A3" w:rsidP="000132A3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120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0132A3" w:rsidRPr="004B3120" w:rsidRDefault="000132A3" w:rsidP="000132A3">
      <w:pPr>
        <w:jc w:val="both"/>
        <w:rPr>
          <w:rFonts w:eastAsia="Calibri"/>
          <w:b/>
          <w:i/>
        </w:rPr>
      </w:pPr>
    </w:p>
    <w:p w:rsidR="004B3120" w:rsidRPr="004B3120" w:rsidRDefault="004B3120" w:rsidP="004B3120">
      <w:pPr>
        <w:pStyle w:val="Identificao"/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</w:pPr>
      <w:r w:rsidRPr="004B3120"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  <w:t>Banco de horas. Extrapolação habitual do limite máximo de dez horas diárias. Cômputo das horas</w:t>
      </w:r>
      <w:r w:rsidRPr="004B3120">
        <w:rPr>
          <w:rFonts w:ascii="Times New Roman" w:eastAsiaTheme="minorHAnsi" w:hAnsi="Times New Roman" w:cs="Times New Roman"/>
          <w:i/>
          <w:color w:val="auto"/>
          <w:lang w:val="pt-BR" w:eastAsia="en-US"/>
        </w:rPr>
        <w:t xml:space="preserve"> in </w:t>
      </w:r>
      <w:proofErr w:type="spellStart"/>
      <w:r w:rsidRPr="004B3120">
        <w:rPr>
          <w:rFonts w:ascii="Times New Roman" w:eastAsiaTheme="minorHAnsi" w:hAnsi="Times New Roman" w:cs="Times New Roman"/>
          <w:i/>
          <w:color w:val="auto"/>
          <w:lang w:val="pt-BR" w:eastAsia="en-US"/>
        </w:rPr>
        <w:t>itinere</w:t>
      </w:r>
      <w:proofErr w:type="spellEnd"/>
      <w:r w:rsidRPr="004B3120"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  <w:t>. Impossibilidade.</w:t>
      </w:r>
    </w:p>
    <w:p w:rsidR="004B3120" w:rsidRPr="004B3120" w:rsidRDefault="004B3120" w:rsidP="004B3120">
      <w:pPr>
        <w:pStyle w:val="Identificao"/>
        <w:rPr>
          <w:rFonts w:ascii="Times New Roman" w:eastAsiaTheme="minorEastAsia" w:hAnsi="Times New Roman" w:cs="Times New Roman"/>
          <w:color w:val="auto"/>
          <w:lang w:val="pt-BR"/>
        </w:rPr>
      </w:pPr>
      <w:r w:rsidRPr="004B3120">
        <w:rPr>
          <w:rFonts w:ascii="Times New Roman" w:hAnsi="Times New Roman" w:cs="Times New Roman"/>
          <w:color w:val="auto"/>
          <w:lang w:val="pt-BR"/>
        </w:rPr>
        <w:t xml:space="preserve">O tempo de deslocamento no trajeto da residência até o local de trabalho não é considerado para fins de aferição de irregularidade no regime de compensação de banco de horas, no que diz respeito à extrapolação habitual do limite diário de dez horas de trabalho (art. 59, § 2º, da CLT). Ainda que configurem tempo à disposição do empregador, sendo computadas na jornada de trabalho (Súmula nº 90, V, do TST), as horas </w:t>
      </w:r>
      <w:r w:rsidRPr="004B3120">
        <w:rPr>
          <w:rFonts w:ascii="Times New Roman" w:hAnsi="Times New Roman" w:cs="Times New Roman"/>
          <w:i/>
          <w:color w:val="auto"/>
          <w:lang w:val="pt-BR"/>
        </w:rPr>
        <w:t xml:space="preserve">in </w:t>
      </w:r>
      <w:proofErr w:type="spellStart"/>
      <w:r w:rsidRPr="004B3120">
        <w:rPr>
          <w:rFonts w:ascii="Times New Roman" w:hAnsi="Times New Roman" w:cs="Times New Roman"/>
          <w:i/>
          <w:color w:val="auto"/>
          <w:lang w:val="pt-BR"/>
        </w:rPr>
        <w:t>itinere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 não se afiguram como labor em </w:t>
      </w:r>
      <w:proofErr w:type="spellStart"/>
      <w:r w:rsidRPr="004B3120">
        <w:rPr>
          <w:rFonts w:ascii="Times New Roman" w:hAnsi="Times New Roman" w:cs="Times New Roman"/>
          <w:color w:val="auto"/>
          <w:lang w:val="pt-BR"/>
        </w:rPr>
        <w:t>sobrejornada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 em sentido </w:t>
      </w:r>
      <w:r w:rsidRPr="004B3120">
        <w:rPr>
          <w:rFonts w:ascii="Times New Roman" w:hAnsi="Times New Roman" w:cs="Times New Roman"/>
          <w:color w:val="auto"/>
          <w:lang w:val="pt-BR"/>
        </w:rPr>
        <w:lastRenderedPageBreak/>
        <w:t xml:space="preserve">estrito, pois não há efetiva prestação de serviços. Assim, não devem ser consideradas para fim de invalidação do banco de horas regularmente pactuado e devidamente observado entre as partes. Sob esse fundamento, a SBDI-I, por unanimidade, conheceu dos embargos interpostos pela reclamada, por divergência jurisprudencial e, no mérito, por maioria, deu-lhes provimento para determinar o retorno dos autos ao TRT de origem, a fim de que prossiga no exame da regularidade do banco de horas adotado, afastado o cômputo das horas </w:t>
      </w:r>
      <w:r w:rsidRPr="004B3120">
        <w:rPr>
          <w:rFonts w:ascii="Times New Roman" w:hAnsi="Times New Roman" w:cs="Times New Roman"/>
          <w:i/>
          <w:color w:val="auto"/>
          <w:lang w:val="pt-BR"/>
        </w:rPr>
        <w:t xml:space="preserve">in </w:t>
      </w:r>
      <w:proofErr w:type="spellStart"/>
      <w:r w:rsidRPr="004B3120">
        <w:rPr>
          <w:rFonts w:ascii="Times New Roman" w:hAnsi="Times New Roman" w:cs="Times New Roman"/>
          <w:i/>
          <w:color w:val="auto"/>
          <w:lang w:val="pt-BR"/>
        </w:rPr>
        <w:t>itinere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 como critério de aferição. Vencidos os Ministros </w:t>
      </w:r>
      <w:proofErr w:type="spellStart"/>
      <w:r w:rsidRPr="004B3120">
        <w:rPr>
          <w:rFonts w:ascii="Times New Roman" w:hAnsi="Times New Roman" w:cs="Times New Roman"/>
          <w:color w:val="auto"/>
          <w:lang w:val="pt-BR"/>
        </w:rPr>
        <w:t>Lelio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 Bentes Corrêa, Alberto Luiz </w:t>
      </w:r>
      <w:proofErr w:type="spellStart"/>
      <w:r w:rsidRPr="004B3120">
        <w:rPr>
          <w:rFonts w:ascii="Times New Roman" w:hAnsi="Times New Roman" w:cs="Times New Roman"/>
          <w:color w:val="auto"/>
          <w:lang w:val="pt-BR"/>
        </w:rPr>
        <w:t>Bresciani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 de </w:t>
      </w:r>
      <w:proofErr w:type="spellStart"/>
      <w:r w:rsidRPr="004B3120">
        <w:rPr>
          <w:rFonts w:ascii="Times New Roman" w:hAnsi="Times New Roman" w:cs="Times New Roman"/>
          <w:color w:val="auto"/>
          <w:lang w:val="pt-BR"/>
        </w:rPr>
        <w:t>Fontan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 Pereira, José Roberto Freire Pimenta e Hugo Carlos </w:t>
      </w:r>
      <w:proofErr w:type="spellStart"/>
      <w:r w:rsidRPr="004B3120">
        <w:rPr>
          <w:rFonts w:ascii="Times New Roman" w:hAnsi="Times New Roman" w:cs="Times New Roman"/>
          <w:color w:val="auto"/>
          <w:lang w:val="pt-BR"/>
        </w:rPr>
        <w:t>Scheuermann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. </w:t>
      </w:r>
      <w:hyperlink r:id="rId11" w:history="1">
        <w:r w:rsidRPr="004B3120">
          <w:rPr>
            <w:rStyle w:val="Hyperlink"/>
            <w:rFonts w:ascii="Times New Roman" w:hAnsi="Times New Roman"/>
            <w:lang w:val="pt-BR"/>
          </w:rPr>
          <w:t>TST-E-ED-RR-1554-94.2012.5.09.0091</w:t>
        </w:r>
      </w:hyperlink>
      <w:r w:rsidRPr="004B3120">
        <w:rPr>
          <w:rFonts w:ascii="Times New Roman" w:hAnsi="Times New Roman" w:cs="Times New Roman"/>
          <w:color w:val="auto"/>
          <w:u w:val="single"/>
          <w:lang w:val="pt-BR"/>
        </w:rPr>
        <w:t xml:space="preserve">, SBDI-I, rel. Min. Maria Cristina </w:t>
      </w:r>
      <w:proofErr w:type="spellStart"/>
      <w:r w:rsidRPr="004B3120">
        <w:rPr>
          <w:rFonts w:ascii="Times New Roman" w:hAnsi="Times New Roman" w:cs="Times New Roman"/>
          <w:color w:val="auto"/>
          <w:u w:val="single"/>
          <w:lang w:val="pt-BR"/>
        </w:rPr>
        <w:t>Irigoyen</w:t>
      </w:r>
      <w:proofErr w:type="spellEnd"/>
      <w:r w:rsidRPr="004B3120">
        <w:rPr>
          <w:rFonts w:ascii="Times New Roman" w:hAnsi="Times New Roman" w:cs="Times New Roman"/>
          <w:color w:val="auto"/>
          <w:u w:val="single"/>
          <w:lang w:val="pt-BR"/>
        </w:rPr>
        <w:t xml:space="preserve"> </w:t>
      </w:r>
      <w:proofErr w:type="spellStart"/>
      <w:r w:rsidRPr="004B3120">
        <w:rPr>
          <w:rFonts w:ascii="Times New Roman" w:hAnsi="Times New Roman" w:cs="Times New Roman"/>
          <w:color w:val="auto"/>
          <w:u w:val="single"/>
          <w:lang w:val="pt-BR"/>
        </w:rPr>
        <w:t>Peduzzi</w:t>
      </w:r>
      <w:proofErr w:type="spellEnd"/>
      <w:r w:rsidRPr="004B3120">
        <w:rPr>
          <w:rFonts w:ascii="Times New Roman" w:hAnsi="Times New Roman" w:cs="Times New Roman"/>
          <w:color w:val="auto"/>
          <w:u w:val="single"/>
          <w:lang w:val="pt-BR"/>
        </w:rPr>
        <w:t xml:space="preserve">, </w:t>
      </w:r>
      <w:proofErr w:type="gramStart"/>
      <w:r w:rsidRPr="004B3120">
        <w:rPr>
          <w:rFonts w:ascii="Times New Roman" w:hAnsi="Times New Roman" w:cs="Times New Roman"/>
          <w:color w:val="auto"/>
          <w:u w:val="single"/>
          <w:lang w:val="pt-BR"/>
        </w:rPr>
        <w:t>15.8.2019</w:t>
      </w:r>
      <w:proofErr w:type="gramEnd"/>
    </w:p>
    <w:p w:rsidR="004B3120" w:rsidRPr="004B3120" w:rsidRDefault="004B3120" w:rsidP="000132A3">
      <w:pPr>
        <w:pStyle w:val="Identificao"/>
        <w:rPr>
          <w:rFonts w:ascii="Times New Roman" w:hAnsi="Times New Roman" w:cs="Times New Roman"/>
          <w:sz w:val="20"/>
          <w:szCs w:val="20"/>
          <w:u w:val="single"/>
          <w:lang w:val="pt-BR" w:eastAsia="zh-CN"/>
        </w:rPr>
      </w:pPr>
    </w:p>
    <w:p w:rsidR="00B15004" w:rsidRPr="004B3120" w:rsidRDefault="00B15004" w:rsidP="00B1500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120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II ESPECIALIZADA EM DISSÍDIOS INDIVIDUAIS</w:t>
      </w:r>
    </w:p>
    <w:p w:rsidR="00B15004" w:rsidRPr="004B3120" w:rsidRDefault="00B15004" w:rsidP="00B15004">
      <w:pPr>
        <w:jc w:val="both"/>
        <w:rPr>
          <w:rFonts w:eastAsia="Calibri"/>
          <w:b/>
          <w:i/>
        </w:rPr>
      </w:pPr>
    </w:p>
    <w:p w:rsidR="004B3120" w:rsidRPr="004B3120" w:rsidRDefault="004B3120" w:rsidP="004B3120">
      <w:pPr>
        <w:pStyle w:val="Identificao"/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</w:pPr>
      <w:r w:rsidRPr="004B3120"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  <w:t xml:space="preserve">Ação rescisória. Juntada da certidão de trânsito em julgado. Ausência. Existência de outros elementos nos autos que permitam verificar a ocorrência de coisa julgada e a tempestividade da ação. Afastamento da primeira parte da Orientação Jurisprudencial nº 84 da SBDI-II. Incidência do item IV da Súmula 100 do TST. </w:t>
      </w:r>
    </w:p>
    <w:p w:rsidR="004B3120" w:rsidRPr="004B3120" w:rsidRDefault="006B54A7" w:rsidP="004B312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É </w:t>
      </w:r>
      <w:r w:rsidR="004B3120" w:rsidRPr="004B3120">
        <w:rPr>
          <w:sz w:val="24"/>
          <w:szCs w:val="24"/>
        </w:rPr>
        <w:t>aplicável o item IV da Súmula nº 100 do TST às hipóteses de ausênc</w:t>
      </w:r>
      <w:r>
        <w:rPr>
          <w:sz w:val="24"/>
          <w:szCs w:val="24"/>
        </w:rPr>
        <w:t>ia de juntada da certidão de trâ</w:t>
      </w:r>
      <w:r w:rsidR="004B3120" w:rsidRPr="004B3120">
        <w:rPr>
          <w:sz w:val="24"/>
          <w:szCs w:val="24"/>
        </w:rPr>
        <w:t>nsito em julgado em ações rescisórias, não obstante a diretriz da primeira parte da Orientação Jurisprudencial nº 84 da SBDI-II. Assim, embora a prova do trânsito em julgado da decisão rescindenda seja indispensável (Súmula nº 299, I, do TST), ela não está adstrita à juntada da referida certidão</w:t>
      </w:r>
      <w:r>
        <w:rPr>
          <w:sz w:val="24"/>
          <w:szCs w:val="24"/>
        </w:rPr>
        <w:t>,</w:t>
      </w:r>
      <w:r w:rsidR="004B3120" w:rsidRPr="004B3120">
        <w:rPr>
          <w:sz w:val="24"/>
          <w:szCs w:val="24"/>
        </w:rPr>
        <w:t xml:space="preserve"> caso haja nos autos outros elementos que permitam ao juízo </w:t>
      </w:r>
      <w:proofErr w:type="spellStart"/>
      <w:r w:rsidR="004B3120" w:rsidRPr="004B3120">
        <w:rPr>
          <w:sz w:val="24"/>
          <w:szCs w:val="24"/>
        </w:rPr>
        <w:t>rescindente</w:t>
      </w:r>
      <w:proofErr w:type="spellEnd"/>
      <w:r w:rsidR="004B3120" w:rsidRPr="004B3120">
        <w:rPr>
          <w:sz w:val="24"/>
          <w:szCs w:val="24"/>
        </w:rPr>
        <w:t xml:space="preserve"> formar sua convicção quanto à existência da coisa julgada e à tempestividade da pretensão </w:t>
      </w:r>
      <w:proofErr w:type="spellStart"/>
      <w:r w:rsidR="004B3120" w:rsidRPr="004B3120">
        <w:rPr>
          <w:sz w:val="24"/>
          <w:szCs w:val="24"/>
        </w:rPr>
        <w:t>desconstitutiva</w:t>
      </w:r>
      <w:proofErr w:type="spellEnd"/>
      <w:r w:rsidR="004B3120" w:rsidRPr="004B3120">
        <w:rPr>
          <w:sz w:val="24"/>
          <w:szCs w:val="24"/>
        </w:rPr>
        <w:t xml:space="preserve">. Sob esse entendimento, a SBDI-II, por maioria, rejeitou a preliminar relativa à ausência de cópia da certidão de trânsito em julgado, considerando superada a primeira parte da Orientação Jurisprudencial nº 84 da SBDI-II, inclusive nas ações rescisórias regidas pelo CPC de 1973. Vencido o Ministro </w:t>
      </w:r>
      <w:proofErr w:type="spellStart"/>
      <w:r w:rsidR="004B3120" w:rsidRPr="004B3120">
        <w:rPr>
          <w:sz w:val="24"/>
          <w:szCs w:val="24"/>
        </w:rPr>
        <w:t>Lelio</w:t>
      </w:r>
      <w:proofErr w:type="spellEnd"/>
      <w:r w:rsidR="004B3120" w:rsidRPr="004B3120">
        <w:rPr>
          <w:sz w:val="24"/>
          <w:szCs w:val="24"/>
        </w:rPr>
        <w:t xml:space="preserve"> Bentes Corrêa. </w:t>
      </w:r>
      <w:hyperlink r:id="rId12" w:history="1">
        <w:r w:rsidR="004B3120" w:rsidRPr="004B3120">
          <w:rPr>
            <w:rStyle w:val="Hyperlink"/>
            <w:sz w:val="24"/>
            <w:szCs w:val="24"/>
          </w:rPr>
          <w:t>TST-RO-27-32.2014.5.05.0000</w:t>
        </w:r>
      </w:hyperlink>
      <w:r w:rsidR="004B3120" w:rsidRPr="004B3120">
        <w:rPr>
          <w:sz w:val="24"/>
          <w:szCs w:val="24"/>
          <w:u w:val="single"/>
        </w:rPr>
        <w:t xml:space="preserve">, SBDI-II, rel. Min. Maria Helena </w:t>
      </w:r>
      <w:proofErr w:type="spellStart"/>
      <w:r w:rsidR="004B3120" w:rsidRPr="004B3120">
        <w:rPr>
          <w:sz w:val="24"/>
          <w:szCs w:val="24"/>
          <w:u w:val="single"/>
        </w:rPr>
        <w:t>Mallmann</w:t>
      </w:r>
      <w:proofErr w:type="spellEnd"/>
      <w:r w:rsidR="004B3120" w:rsidRPr="004B3120">
        <w:rPr>
          <w:sz w:val="24"/>
          <w:szCs w:val="24"/>
          <w:u w:val="single"/>
        </w:rPr>
        <w:t xml:space="preserve">, </w:t>
      </w:r>
      <w:proofErr w:type="gramStart"/>
      <w:r w:rsidR="004B3120" w:rsidRPr="004B3120">
        <w:rPr>
          <w:sz w:val="24"/>
          <w:szCs w:val="24"/>
          <w:u w:val="single"/>
        </w:rPr>
        <w:t>13.8.2019</w:t>
      </w:r>
      <w:proofErr w:type="gramEnd"/>
    </w:p>
    <w:p w:rsidR="004B3120" w:rsidRPr="004B3120" w:rsidRDefault="004B3120" w:rsidP="00B15004">
      <w:pPr>
        <w:pStyle w:val="Identificao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:rsidR="004B3120" w:rsidRPr="004B3120" w:rsidRDefault="004B3120" w:rsidP="004B3120">
      <w:pPr>
        <w:pStyle w:val="Identificao"/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</w:pPr>
      <w:r w:rsidRPr="004B3120">
        <w:rPr>
          <w:rFonts w:ascii="Times New Roman" w:eastAsiaTheme="minorHAnsi" w:hAnsi="Times New Roman" w:cs="Times New Roman"/>
          <w:b/>
          <w:i/>
          <w:color w:val="auto"/>
          <w:lang w:val="pt-BR" w:eastAsia="en-US"/>
        </w:rPr>
        <w:t xml:space="preserve">Juntada de voto vencido. Ausência. Nulidade absoluta do julgado. Configuração. Art. 941, § 3º, do CPC de 2015. </w:t>
      </w:r>
    </w:p>
    <w:p w:rsidR="004B3120" w:rsidRPr="004B3120" w:rsidRDefault="004B3120" w:rsidP="004B3120">
      <w:pPr>
        <w:pStyle w:val="Identificao"/>
        <w:rPr>
          <w:rFonts w:ascii="Times New Roman" w:eastAsiaTheme="minorEastAsia" w:hAnsi="Times New Roman" w:cs="Times New Roman"/>
          <w:color w:val="auto"/>
          <w:lang w:val="pt-BR"/>
        </w:rPr>
      </w:pPr>
      <w:r w:rsidRPr="004B3120">
        <w:rPr>
          <w:rFonts w:ascii="Times New Roman" w:hAnsi="Times New Roman" w:cs="Times New Roman"/>
          <w:color w:val="auto"/>
          <w:lang w:val="pt-BR"/>
        </w:rPr>
        <w:t xml:space="preserve"> O art. 941, § 3º, do CPC de 2015 determina que “</w:t>
      </w:r>
      <w:r w:rsidRPr="004B3120">
        <w:rPr>
          <w:rFonts w:ascii="Times New Roman" w:hAnsi="Times New Roman" w:cs="Times New Roman"/>
          <w:i/>
          <w:color w:val="auto"/>
          <w:lang w:val="pt-BR"/>
        </w:rPr>
        <w:t>o voto vencido necessariamente será declarado e considerado como parte integrante do acórdão para todos os fins legais, inclusive para o de pré-questionamento</w:t>
      </w:r>
      <w:r w:rsidRPr="004B3120">
        <w:rPr>
          <w:rFonts w:ascii="Times New Roman" w:hAnsi="Times New Roman" w:cs="Times New Roman"/>
          <w:color w:val="auto"/>
          <w:lang w:val="pt-BR"/>
        </w:rPr>
        <w:t xml:space="preserve">”, de forma que o legislador não deixou nenhuma margem interpretativa apta a relativizar a aplicação do dispositivo. A juntada do referido voto, portanto, é condição imprescindível para a efetivação do art. 93, IX, da CF, pois compõe a própria fundamentação da decisão colegiada e possibilita o conhecimento pelas partes de todas as razões (acatadas e rechaçadas) que resultaram no provimento jurisdicional. Assim, a ausência do voto vencido não pode ser considerada uma mera irregularidade passível de ser sanada pela ampla </w:t>
      </w:r>
      <w:proofErr w:type="spellStart"/>
      <w:r w:rsidRPr="004B3120">
        <w:rPr>
          <w:rFonts w:ascii="Times New Roman" w:hAnsi="Times New Roman" w:cs="Times New Roman"/>
          <w:color w:val="auto"/>
          <w:lang w:val="pt-BR"/>
        </w:rPr>
        <w:t>devolutividade</w:t>
      </w:r>
      <w:proofErr w:type="spellEnd"/>
      <w:r w:rsidRPr="004B3120">
        <w:rPr>
          <w:rFonts w:ascii="Times New Roman" w:hAnsi="Times New Roman" w:cs="Times New Roman"/>
          <w:color w:val="auto"/>
          <w:lang w:val="pt-BR"/>
        </w:rPr>
        <w:t xml:space="preserve"> do recurso ordinário, porquanto se trata de providência que, quando não observada, acarreta a nulidade absoluta do julgado. Sob esses fundamentos, a SBDI-II, por maioria, declarou a nulidade dos atos procedimentais a partir da publicação do acórdão do TRT sem o voto vencido, e determinou a devolução dos autos ao Tribunal Regional de origem para que seja sanada a irregularidade apontada, com restituição às partes do prazo para a interposição do recurso ordinário e o regular prosseguimento do feito. Vencidos, em parte, os Ministros Douglas Alencar Rodrigues e Luiz José Dezena da Silva. </w:t>
      </w:r>
      <w:hyperlink r:id="rId13" w:history="1">
        <w:r w:rsidRPr="004B3120">
          <w:rPr>
            <w:rStyle w:val="Hyperlink"/>
            <w:rFonts w:ascii="Times New Roman" w:hAnsi="Times New Roman"/>
            <w:lang w:val="pt-BR"/>
          </w:rPr>
          <w:t>TST-RO-7956-69.2016.5.15.0000</w:t>
        </w:r>
      </w:hyperlink>
      <w:r w:rsidRPr="004B3120">
        <w:rPr>
          <w:rFonts w:ascii="Times New Roman" w:hAnsi="Times New Roman" w:cs="Times New Roman"/>
          <w:color w:val="auto"/>
          <w:u w:val="single"/>
          <w:lang w:val="pt-BR"/>
        </w:rPr>
        <w:t xml:space="preserve">, SBDI-II, rel. Min. Maria Helena </w:t>
      </w:r>
      <w:proofErr w:type="spellStart"/>
      <w:r w:rsidRPr="004B3120">
        <w:rPr>
          <w:rFonts w:ascii="Times New Roman" w:hAnsi="Times New Roman" w:cs="Times New Roman"/>
          <w:color w:val="auto"/>
          <w:u w:val="single"/>
          <w:lang w:val="pt-BR"/>
        </w:rPr>
        <w:t>Mallmann</w:t>
      </w:r>
      <w:proofErr w:type="spellEnd"/>
      <w:r w:rsidRPr="004B3120">
        <w:rPr>
          <w:rFonts w:ascii="Times New Roman" w:hAnsi="Times New Roman" w:cs="Times New Roman"/>
          <w:color w:val="auto"/>
          <w:u w:val="single"/>
          <w:lang w:val="pt-BR"/>
        </w:rPr>
        <w:t xml:space="preserve">, </w:t>
      </w:r>
      <w:proofErr w:type="gramStart"/>
      <w:r w:rsidRPr="004B3120">
        <w:rPr>
          <w:rFonts w:ascii="Times New Roman" w:hAnsi="Times New Roman" w:cs="Times New Roman"/>
          <w:color w:val="auto"/>
          <w:u w:val="single"/>
          <w:lang w:val="pt-BR"/>
        </w:rPr>
        <w:t>13.8.2019</w:t>
      </w:r>
      <w:proofErr w:type="gramEnd"/>
      <w:r w:rsidRPr="004B3120">
        <w:rPr>
          <w:rFonts w:ascii="Times New Roman" w:hAnsi="Times New Roman" w:cs="Times New Roman"/>
          <w:color w:val="auto"/>
          <w:u w:val="single"/>
          <w:lang w:val="pt-BR"/>
        </w:rPr>
        <w:t xml:space="preserve"> </w:t>
      </w:r>
    </w:p>
    <w:p w:rsidR="004B3120" w:rsidRPr="004B3120" w:rsidRDefault="004B3120" w:rsidP="00CA4AE6">
      <w:pPr>
        <w:jc w:val="both"/>
        <w:rPr>
          <w:u w:val="single"/>
        </w:rPr>
      </w:pPr>
    </w:p>
    <w:p w:rsidR="009A76A2" w:rsidRPr="004B3120" w:rsidRDefault="009A76A2" w:rsidP="009A76A2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120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TURMAS</w:t>
      </w:r>
    </w:p>
    <w:p w:rsidR="009A76A2" w:rsidRPr="004B3120" w:rsidRDefault="009A76A2" w:rsidP="009A76A2">
      <w:pPr>
        <w:pStyle w:val="Cabealho"/>
        <w:tabs>
          <w:tab w:val="clear" w:pos="4419"/>
          <w:tab w:val="clear" w:pos="8838"/>
        </w:tabs>
        <w:jc w:val="center"/>
        <w:rPr>
          <w:i/>
        </w:rPr>
      </w:pPr>
      <w:r w:rsidRPr="004B3120">
        <w:rPr>
          <w:i/>
        </w:rPr>
        <w:t xml:space="preserve">Transcrição de ementas selecionadas </w:t>
      </w:r>
      <w:r w:rsidR="009D2FB1" w:rsidRPr="004B3120">
        <w:rPr>
          <w:i/>
        </w:rPr>
        <w:t>n</w:t>
      </w:r>
      <w:r w:rsidRPr="004B3120">
        <w:rPr>
          <w:i/>
        </w:rPr>
        <w:t>as sessões de julgamento das Turmas do TST.</w:t>
      </w:r>
    </w:p>
    <w:p w:rsidR="004B3120" w:rsidRPr="004B3120" w:rsidRDefault="004B3120" w:rsidP="004B3120">
      <w:pPr>
        <w:jc w:val="both"/>
        <w:outlineLvl w:val="0"/>
        <w:rPr>
          <w:rFonts w:eastAsiaTheme="minorEastAsia"/>
          <w:b/>
          <w:i/>
          <w:color w:val="000000"/>
        </w:rPr>
      </w:pPr>
      <w:bookmarkStart w:id="0" w:name="Ementa"/>
      <w:bookmarkStart w:id="1" w:name="tempEmenta"/>
    </w:p>
    <w:p w:rsidR="004B3120" w:rsidRDefault="004B3120" w:rsidP="004B3120">
      <w:pPr>
        <w:jc w:val="both"/>
        <w:outlineLvl w:val="0"/>
        <w:rPr>
          <w:rFonts w:eastAsiaTheme="minorEastAsia"/>
          <w:b/>
          <w:i/>
          <w:color w:val="000000"/>
          <w:sz w:val="24"/>
          <w:szCs w:val="24"/>
        </w:rPr>
      </w:pPr>
      <w:bookmarkStart w:id="2" w:name="_GoBack"/>
      <w:bookmarkEnd w:id="2"/>
      <w:r>
        <w:rPr>
          <w:rFonts w:eastAsiaTheme="minorEastAsia"/>
          <w:b/>
          <w:i/>
          <w:color w:val="000000"/>
          <w:sz w:val="24"/>
          <w:szCs w:val="24"/>
        </w:rPr>
        <w:t>Participação em cursos e treinamentos. Deslocamento entre a residência e o aeroporto e entre o aeroporto e o hotel.  Horas extras. Indevida.</w:t>
      </w:r>
    </w:p>
    <w:p w:rsidR="004B3120" w:rsidRPr="004B3120" w:rsidRDefault="004B3120" w:rsidP="004B3120">
      <w:pPr>
        <w:ind w:left="567"/>
        <w:jc w:val="both"/>
        <w:outlineLvl w:val="0"/>
        <w:rPr>
          <w:rFonts w:eastAsiaTheme="minorHAnsi"/>
          <w:lang w:eastAsia="en-US"/>
        </w:rPr>
      </w:pPr>
    </w:p>
    <w:p w:rsidR="004B3120" w:rsidRDefault="004B3120" w:rsidP="004B3120">
      <w:pPr>
        <w:ind w:left="567"/>
        <w:jc w:val="both"/>
        <w:outlineLvl w:val="0"/>
        <w:rPr>
          <w:rFonts w:eastAsiaTheme="minorEastAsia"/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>
        <w:rPr>
          <w:i/>
          <w:sz w:val="24"/>
          <w:szCs w:val="24"/>
        </w:rPr>
        <w:t>(...) RECURSO DE REVISTA REGIDO PELA LEI 13.015/2014 1 - HORAS EXTRAS. TEMPO DE DESLOCAMENTO EM VIAGENS PARA PARTICIPAÇÃO EM CURSOS E TREINAMENTOS. 1.1. É assente no âmbito desta Corte o entendimento de que, via de regra, o tempo destinado à realização de cursos e treinamentos, sobretudo quando exigidos pela empresa, caracteriza tempo à disposição, nos moldes do art. 4.º da CLT, devendo ser considerado como parte integrante da jornada de trabalho. Afinal, nesse período, a participação do empregado se dá em razão do contrato de trabalho, no interesse e benefício do empregador, e por determinação deste, o que caracteriza sujeição ao seu poder hierárquico e disciplinar. Além disso, não há liberdade do empregado para dispor de seu tempo como lhe aprouver. 1.2. Todavia, conforme salientou a Exma. Ministra Dora Maria da Costa nos autos do ARR-330-59.2016.5.23.0005 (DEJT 26/10/2018), não é razoável computar-se o tempo de deslocamento entre a residência e o aeroporto, bem como entre o aeroporto de destino e o hotel, uma vez que constituem eventos comuns que ocorrem com todo trabalhador que depende de transporte público (ou privado) para o deslocamento da residência para o trabalho e vice-versa (aqui incluído o hotel em que se hospeda no local de destino, considerado como seu domicílio durante a viagem). Recurso de revista conhecido e parcialmente provido. (...)</w:t>
      </w:r>
      <w:r>
        <w:rPr>
          <w:sz w:val="24"/>
          <w:szCs w:val="24"/>
        </w:rPr>
        <w:t>” (</w:t>
      </w:r>
      <w:hyperlink r:id="rId14" w:history="1">
        <w:r>
          <w:rPr>
            <w:rStyle w:val="Hyperlink"/>
            <w:sz w:val="24"/>
            <w:szCs w:val="24"/>
          </w:rPr>
          <w:t>TST-RR-770-74.2011.5.03.0106</w:t>
        </w:r>
      </w:hyperlink>
      <w:r>
        <w:rPr>
          <w:sz w:val="24"/>
          <w:szCs w:val="24"/>
        </w:rPr>
        <w:t xml:space="preserve">, 2ª Turma, rel. Min. </w:t>
      </w:r>
      <w:proofErr w:type="spellStart"/>
      <w:r>
        <w:rPr>
          <w:sz w:val="24"/>
          <w:szCs w:val="24"/>
        </w:rPr>
        <w:t>Delaíde</w:t>
      </w:r>
      <w:proofErr w:type="spellEnd"/>
      <w:r>
        <w:rPr>
          <w:sz w:val="24"/>
          <w:szCs w:val="24"/>
        </w:rPr>
        <w:t xml:space="preserve"> Miranda Arantes, julgado em </w:t>
      </w:r>
      <w:proofErr w:type="gramStart"/>
      <w:r>
        <w:rPr>
          <w:sz w:val="24"/>
          <w:szCs w:val="24"/>
        </w:rPr>
        <w:t>14.8.2019)</w:t>
      </w:r>
      <w:proofErr w:type="gramEnd"/>
    </w:p>
    <w:p w:rsidR="004B3120" w:rsidRPr="004B3120" w:rsidRDefault="004B3120" w:rsidP="004B3120">
      <w:pPr>
        <w:ind w:left="567"/>
        <w:jc w:val="both"/>
        <w:outlineLvl w:val="0"/>
        <w:rPr>
          <w:rFonts w:eastAsiaTheme="minorEastAsia"/>
          <w:b/>
          <w:i/>
          <w:color w:val="000000"/>
        </w:rPr>
      </w:pPr>
    </w:p>
    <w:p w:rsidR="004B3120" w:rsidRDefault="004B3120" w:rsidP="004B3120">
      <w:pPr>
        <w:jc w:val="both"/>
        <w:outlineLvl w:val="0"/>
        <w:rPr>
          <w:rFonts w:eastAsiaTheme="minorEastAsia"/>
          <w:b/>
          <w:i/>
          <w:color w:val="000000"/>
          <w:sz w:val="24"/>
          <w:szCs w:val="24"/>
        </w:rPr>
      </w:pPr>
      <w:r>
        <w:rPr>
          <w:rFonts w:eastAsiaTheme="minorEastAsia"/>
          <w:b/>
          <w:i/>
          <w:color w:val="000000"/>
          <w:sz w:val="24"/>
          <w:szCs w:val="24"/>
        </w:rPr>
        <w:t>Dano moral coletivo. Configuração. Dispensa coletiva. Encerramento das atividades. Ausência de negociação com o sindicato da categoria.</w:t>
      </w:r>
    </w:p>
    <w:p w:rsidR="004B3120" w:rsidRPr="004B3120" w:rsidRDefault="004B3120" w:rsidP="004B3120">
      <w:pPr>
        <w:ind w:left="567"/>
        <w:jc w:val="both"/>
        <w:outlineLvl w:val="0"/>
        <w:rPr>
          <w:rFonts w:eastAsiaTheme="minorEastAsia"/>
          <w:b/>
          <w:i/>
          <w:color w:val="000000"/>
        </w:rPr>
      </w:pPr>
    </w:p>
    <w:p w:rsidR="004B3120" w:rsidRDefault="004B3120" w:rsidP="004B3120">
      <w:pPr>
        <w:ind w:left="567"/>
        <w:jc w:val="both"/>
        <w:rPr>
          <w:rFonts w:eastAsiaTheme="minorHAnsi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>
        <w:rPr>
          <w:i/>
          <w:color w:val="000000"/>
          <w:sz w:val="24"/>
          <w:szCs w:val="24"/>
        </w:rPr>
        <w:t xml:space="preserve">(...) IV - RECURSO DE REVISTA. </w:t>
      </w:r>
      <w:r>
        <w:rPr>
          <w:bCs/>
          <w:i/>
          <w:color w:val="000000"/>
          <w:sz w:val="24"/>
          <w:szCs w:val="24"/>
        </w:rPr>
        <w:t xml:space="preserve">INDENIZAÇÃO POR DANO MORAL COLETIVO. DISPENSA COLETIVA. </w:t>
      </w:r>
      <w:r>
        <w:rPr>
          <w:i/>
          <w:color w:val="000000"/>
          <w:sz w:val="24"/>
          <w:szCs w:val="24"/>
        </w:rPr>
        <w:t>ENCERRAMENTO DAS ATIVIDADES. NECESSIDADE DE PRÉVIA NEGOCIAÇÃO COM O SINDICATO</w:t>
      </w:r>
      <w:r>
        <w:rPr>
          <w:bCs/>
          <w:i/>
          <w:color w:val="000000"/>
          <w:sz w:val="24"/>
          <w:szCs w:val="24"/>
        </w:rPr>
        <w:t xml:space="preserve">. O </w:t>
      </w:r>
      <w:proofErr w:type="spellStart"/>
      <w:r>
        <w:rPr>
          <w:bCs/>
          <w:i/>
          <w:color w:val="000000"/>
          <w:sz w:val="24"/>
          <w:szCs w:val="24"/>
        </w:rPr>
        <w:t>Eg</w:t>
      </w:r>
      <w:proofErr w:type="spellEnd"/>
      <w:r>
        <w:rPr>
          <w:bCs/>
          <w:i/>
          <w:color w:val="000000"/>
          <w:sz w:val="24"/>
          <w:szCs w:val="24"/>
        </w:rPr>
        <w:t>. Regional, conforme o quadro fático-probatório delineado</w:t>
      </w:r>
      <w:proofErr w:type="gramStart"/>
      <w:r>
        <w:rPr>
          <w:bCs/>
          <w:i/>
          <w:color w:val="000000"/>
          <w:sz w:val="24"/>
          <w:szCs w:val="24"/>
        </w:rPr>
        <w:t>, entendeu</w:t>
      </w:r>
      <w:proofErr w:type="gramEnd"/>
      <w:r>
        <w:rPr>
          <w:bCs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incontroversa</w:t>
      </w:r>
      <w:r>
        <w:rPr>
          <w:bCs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dispensa coletiva de todos os empregados, para encerramento da atividade empresarial, sem prévia negociação coletiva. Evidenciou que a ré, percebendo a iminência do término das atividades, deveria ter buscado alternativas, por meio de negociação preliminar, para reduzir o impacto da medida, o que não fez. A jurisprudência da Seção de Dissídios Coletivos desta Corte firmou entendimento de que a negociação coletiva é imprescindível à dispensa em massa, pois tal cenário exige a estipulação de normas e condições para a proteção dos trabalhadores contra o desemprego, além da redução dos impactos sociais e econômicos causados. Ausente tal procedimento, é devida a indenização compensatória, pelo caráter coletivo da lesão. Precedentes. As empresas que se lançam no mercado, assumindo o ônus financeiro de cumprir a legislação trabalhista, perdem competitividade em relação àquelas que reduzem seus custos de produção à custa dos direitos mínimos assegurados aos empregados. Tratando-se de lesão que viola bens jurídicos indiscutivelmente caros a toda a sociedade, surge o dever de indenizar, sendo cabível a reparação por dano moral coletivo (</w:t>
      </w:r>
      <w:proofErr w:type="spellStart"/>
      <w:r>
        <w:rPr>
          <w:i/>
          <w:color w:val="000000"/>
          <w:sz w:val="24"/>
          <w:szCs w:val="24"/>
        </w:rPr>
        <w:t>arts</w:t>
      </w:r>
      <w:proofErr w:type="spellEnd"/>
      <w:r>
        <w:rPr>
          <w:i/>
          <w:color w:val="000000"/>
          <w:sz w:val="24"/>
          <w:szCs w:val="24"/>
        </w:rPr>
        <w:t>. 186 e 927 do CC e 3° e 13 da LACP). Frise-se que, na linha da teoria do "</w:t>
      </w:r>
      <w:proofErr w:type="spellStart"/>
      <w:r>
        <w:rPr>
          <w:i/>
          <w:color w:val="000000"/>
          <w:sz w:val="24"/>
          <w:szCs w:val="24"/>
        </w:rPr>
        <w:t>danum</w:t>
      </w:r>
      <w:proofErr w:type="spellEnd"/>
      <w:r>
        <w:rPr>
          <w:i/>
          <w:color w:val="000000"/>
          <w:sz w:val="24"/>
          <w:szCs w:val="24"/>
        </w:rPr>
        <w:t xml:space="preserve"> in </w:t>
      </w:r>
      <w:proofErr w:type="spellStart"/>
      <w:r>
        <w:rPr>
          <w:i/>
          <w:color w:val="000000"/>
          <w:sz w:val="24"/>
          <w:szCs w:val="24"/>
        </w:rPr>
        <w:t>re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ipsa</w:t>
      </w:r>
      <w:proofErr w:type="spellEnd"/>
      <w:r>
        <w:rPr>
          <w:i/>
          <w:color w:val="000000"/>
          <w:sz w:val="24"/>
          <w:szCs w:val="24"/>
        </w:rPr>
        <w:t xml:space="preserve">", não se exige que o dano moral seja demonstrado. Ele decorre, inexoravelmente, da gravidade do fato ofensivo que, no caso, restou materializado pelo descumprimento de normas que visam à dignidade e à proteção dos trabalhadores contra o desemprego involuntário e a dispensa arbitrária, ocasionados pela demissão em massa, sem prévia negociação com o sindicato. Sob tal contexto, não há dúvidas quanto à caracterização do dano moral coletivo. Recurso de revista conhecido por violação do artigo 186 do CCB </w:t>
      </w:r>
      <w:proofErr w:type="gramStart"/>
      <w:r>
        <w:rPr>
          <w:i/>
          <w:color w:val="000000"/>
          <w:sz w:val="24"/>
          <w:szCs w:val="24"/>
        </w:rPr>
        <w:t>e</w:t>
      </w:r>
      <w:proofErr w:type="gramEnd"/>
      <w:r>
        <w:rPr>
          <w:i/>
          <w:color w:val="000000"/>
          <w:sz w:val="24"/>
          <w:szCs w:val="24"/>
        </w:rPr>
        <w:t xml:space="preserve"> provido.</w:t>
      </w:r>
      <w:r>
        <w:rPr>
          <w:color w:val="000000"/>
          <w:sz w:val="24"/>
          <w:szCs w:val="24"/>
        </w:rPr>
        <w:t>” (</w:t>
      </w:r>
      <w:hyperlink r:id="rId15" w:history="1">
        <w:r>
          <w:rPr>
            <w:rStyle w:val="Hyperlink"/>
            <w:sz w:val="24"/>
            <w:szCs w:val="24"/>
          </w:rPr>
          <w:t>TST-RR-1575-86.2014.5.05.0002</w:t>
        </w:r>
      </w:hyperlink>
      <w:r>
        <w:rPr>
          <w:color w:val="000000"/>
          <w:sz w:val="24"/>
          <w:szCs w:val="24"/>
        </w:rPr>
        <w:t>, 3ª Turma, rel. Min. Alexandre Agra Belmonte, julgado em 14.8.2019)</w:t>
      </w:r>
    </w:p>
    <w:p w:rsidR="004B3120" w:rsidRPr="004B3120" w:rsidRDefault="004B3120" w:rsidP="004B3120">
      <w:pPr>
        <w:ind w:left="567"/>
        <w:jc w:val="both"/>
        <w:outlineLvl w:val="0"/>
        <w:rPr>
          <w:rFonts w:eastAsiaTheme="minorEastAsia"/>
          <w:b/>
          <w:i/>
          <w:color w:val="000000"/>
        </w:rPr>
      </w:pPr>
    </w:p>
    <w:p w:rsidR="004B3120" w:rsidRDefault="004B3120" w:rsidP="004B3120">
      <w:pPr>
        <w:jc w:val="both"/>
        <w:outlineLvl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b/>
          <w:i/>
          <w:color w:val="000000"/>
          <w:sz w:val="24"/>
          <w:szCs w:val="24"/>
        </w:rPr>
        <w:t xml:space="preserve">Dano moral. Configuração. Contratação de pessoal para o exercício de cargos para os quais há candidatos aprovados em concurso público. Transcendência. Desnecessidade de prova do dano sofrido. Dano </w:t>
      </w:r>
      <w:r>
        <w:rPr>
          <w:rFonts w:eastAsiaTheme="minorEastAsia"/>
          <w:i/>
          <w:color w:val="000000"/>
          <w:sz w:val="24"/>
          <w:szCs w:val="24"/>
        </w:rPr>
        <w:t xml:space="preserve">in </w:t>
      </w:r>
      <w:proofErr w:type="spellStart"/>
      <w:r>
        <w:rPr>
          <w:rFonts w:eastAsiaTheme="minorEastAsia"/>
          <w:i/>
          <w:color w:val="000000"/>
          <w:sz w:val="24"/>
          <w:szCs w:val="24"/>
        </w:rPr>
        <w:t>re</w:t>
      </w:r>
      <w:proofErr w:type="spellEnd"/>
      <w:r>
        <w:rPr>
          <w:rFonts w:eastAsiaTheme="minorEastAsia"/>
          <w:i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EastAsia"/>
          <w:i/>
          <w:color w:val="000000"/>
          <w:sz w:val="24"/>
          <w:szCs w:val="24"/>
        </w:rPr>
        <w:t>ipsa</w:t>
      </w:r>
      <w:proofErr w:type="spellEnd"/>
      <w:r>
        <w:rPr>
          <w:rFonts w:eastAsiaTheme="minorEastAsia"/>
          <w:color w:val="000000"/>
          <w:sz w:val="24"/>
          <w:szCs w:val="24"/>
        </w:rPr>
        <w:t>.</w:t>
      </w:r>
    </w:p>
    <w:p w:rsidR="004B3120" w:rsidRPr="004B3120" w:rsidRDefault="004B3120" w:rsidP="004B3120">
      <w:pPr>
        <w:ind w:left="567"/>
        <w:jc w:val="both"/>
        <w:outlineLvl w:val="0"/>
        <w:rPr>
          <w:rFonts w:eastAsiaTheme="minorEastAsia"/>
          <w:b/>
          <w:i/>
          <w:color w:val="000000"/>
        </w:rPr>
      </w:pPr>
    </w:p>
    <w:p w:rsidR="004B3120" w:rsidRDefault="004B3120" w:rsidP="004B3120">
      <w:pPr>
        <w:ind w:left="567"/>
        <w:jc w:val="both"/>
        <w:outlineLvl w:val="0"/>
        <w:rPr>
          <w:rFonts w:eastAsiaTheme="minorEastAsia"/>
          <w:b/>
          <w:i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“</w:t>
      </w:r>
      <w:r>
        <w:rPr>
          <w:i/>
          <w:sz w:val="24"/>
          <w:szCs w:val="24"/>
        </w:rPr>
        <w:t>(...) II-RECURSO DE REVISTA.</w:t>
      </w:r>
      <w:proofErr w:type="gramEnd"/>
      <w:r>
        <w:rPr>
          <w:i/>
          <w:sz w:val="24"/>
          <w:szCs w:val="24"/>
        </w:rPr>
        <w:t xml:space="preserve"> RECLAMANTE. LEIS NOS 13.015/2014 E 13.467/2017. DANOS MORAIS. APROVAÇÃO EM CONCURSO PÚBLICO. CONTRATAÇÃO PRECÁRIA DE PESSOAL PARA EXERCÍCIO DAS MESMAS ATRIBUIÇÕES DO CARGO PARA O QUAL FOI REALIZADO O CERTAME. PRETERIÇÃO DOS CANDIDATOS APROVADOS. TRANSCENDÊNCIA 1 - Há transcendência política quando se verifica em exame preliminar o desrespeito à jurisprudência do TST quanto ao tema decidido no acordão recorrido. 2 - Havendo transcendência, segue-se na análise dos demais pressupostos de admissibilidade, quanto ao tema transcendente. 3 - O TRT, a partir do fato incontroverso de que houve preterição de candidato aprovado em concurso público para cadastro de reserva, concluiu que essa conduta da empresa é reprovável, mas não configuraria dano moral. 4 - A jurisprudência majoritária desta Corte já se posicionou no sentido de que, no prazo de validade do concurso público, o candidato aprovado em cadastro de reserva é detentor de mera expectativa de direito à nomeação, ressalvadas as hipóteses de haver preterição na ordem de classificação no certame ou de ser identificada a contratação de pessoal terceirizado para executar as mesmas atividades do cargo descritas no edital, casos nos quais fica demonstrado o desvio de finalidade e converte-se a expectativa de direito em direito subjetivo à nomeação, ainda que o candidato tenha sido aprovado fora do número de vagas. 5 - Extrai-se do trecho do acórdão recorrido indicado pela parte no recurso de revista que o TRT negou provimento ao recurso ordinário do reclamante, no que se refere aos danos morais oriundos de sua indevida preterição, ao argumento de ser necessária prova do dano para amparar a indenização postulada. 6- No entanto, a indenização por dano moral tem sido admitida não apenas em casos de ofensa à honra objetiva (que diz respeito à consideração perante terceiros), mas também de afronta à honra subjetiva (sentimento da própria dignidade moral), a qual se presume. 7 - De acordo com a </w:t>
      </w:r>
      <w:proofErr w:type="gramStart"/>
      <w:r>
        <w:rPr>
          <w:i/>
          <w:sz w:val="24"/>
          <w:szCs w:val="24"/>
        </w:rPr>
        <w:t>jurisprudência</w:t>
      </w:r>
      <w:proofErr w:type="gramEnd"/>
      <w:r>
        <w:rPr>
          <w:i/>
          <w:sz w:val="24"/>
          <w:szCs w:val="24"/>
        </w:rPr>
        <w:t xml:space="preserve"> pacífica, o que se exige é a prova dos fatos que ensejam o pedido de indenização por danos morais (art. 818 da CLT e 373, I, do CPC), e não a prova dos danos imateriais, esta, de resto, impossível. Portanto, o dano moral verifica-se in </w:t>
      </w:r>
      <w:proofErr w:type="spellStart"/>
      <w:r>
        <w:rPr>
          <w:i/>
          <w:sz w:val="24"/>
          <w:szCs w:val="24"/>
        </w:rPr>
        <w:t>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ipsa</w:t>
      </w:r>
      <w:proofErr w:type="spellEnd"/>
      <w:r>
        <w:rPr>
          <w:i/>
          <w:sz w:val="24"/>
          <w:szCs w:val="24"/>
        </w:rPr>
        <w:t xml:space="preserve"> (a coisa fala por si). 8 - Desse modo, diante da patente terceirização ilícita de empregados em detrimento de candidatos aprovados, dentro do prazo de validade do certame, resta configurado o desvio de finalidade do ato administrativo e a consequente preterição do reclamante, suficiente a ensejar a reparação civil. 9 - Assim, o TRT, ao indeferir o pedido de indenização por danos morais ao reclamante, sob o fundamento de ser imprescindível a prova do dano sofrido pelo empregado, decidiu em desacordo com a jurisprudência desta Corte Superior, estando evidenciado o dano moral in </w:t>
      </w:r>
      <w:proofErr w:type="spellStart"/>
      <w:r>
        <w:rPr>
          <w:i/>
          <w:sz w:val="24"/>
          <w:szCs w:val="24"/>
        </w:rPr>
        <w:t>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ipsa</w:t>
      </w:r>
      <w:proofErr w:type="spellEnd"/>
      <w:r>
        <w:rPr>
          <w:i/>
          <w:sz w:val="24"/>
          <w:szCs w:val="24"/>
        </w:rPr>
        <w:t xml:space="preserve"> (a coisa fala por si). 10 - Na hipótese, considerando a gravidade e extensão do dano, a culpa da reclamada e o caráter pedagógico da condenação, conclui-se que a fixação do quantum </w:t>
      </w:r>
      <w:proofErr w:type="spellStart"/>
      <w:r>
        <w:rPr>
          <w:i/>
          <w:sz w:val="24"/>
          <w:szCs w:val="24"/>
        </w:rPr>
        <w:t>debeatur</w:t>
      </w:r>
      <w:proofErr w:type="spellEnd"/>
      <w:r>
        <w:rPr>
          <w:i/>
          <w:sz w:val="24"/>
          <w:szCs w:val="24"/>
        </w:rPr>
        <w:t xml:space="preserve"> em R$ 10.000,00 (dez mil reais) mostra-se justa e razoável. 11 - Recurso de revista a que se dá provimento.</w:t>
      </w:r>
      <w:r>
        <w:rPr>
          <w:sz w:val="24"/>
          <w:szCs w:val="24"/>
        </w:rPr>
        <w:t xml:space="preserve"> (</w:t>
      </w:r>
      <w:hyperlink r:id="rId16" w:history="1">
        <w:r>
          <w:rPr>
            <w:rStyle w:val="Hyperlink"/>
            <w:sz w:val="24"/>
            <w:szCs w:val="24"/>
          </w:rPr>
          <w:t>TST-RR-1746-53.2015.5.10.0007</w:t>
        </w:r>
      </w:hyperlink>
      <w:r>
        <w:rPr>
          <w:sz w:val="24"/>
          <w:szCs w:val="24"/>
        </w:rPr>
        <w:t xml:space="preserve">, 6ª Turma, rel. Min. Kátia Magalhães Arruda, julgado em </w:t>
      </w:r>
      <w:proofErr w:type="gramStart"/>
      <w:r>
        <w:rPr>
          <w:sz w:val="24"/>
          <w:szCs w:val="24"/>
        </w:rPr>
        <w:t>14.8.2019)</w:t>
      </w:r>
      <w:proofErr w:type="gramEnd"/>
    </w:p>
    <w:p w:rsidR="004B3120" w:rsidRPr="004B3120" w:rsidRDefault="004B3120" w:rsidP="004B3120">
      <w:pPr>
        <w:spacing w:line="360" w:lineRule="atLeast"/>
        <w:ind w:left="567"/>
        <w:jc w:val="both"/>
        <w:rPr>
          <w:color w:val="000000"/>
        </w:rPr>
      </w:pPr>
    </w:p>
    <w:p w:rsidR="004B3120" w:rsidRDefault="004B3120" w:rsidP="004B3120">
      <w:pPr>
        <w:jc w:val="both"/>
        <w:rPr>
          <w:rFonts w:eastAsiaTheme="minorEastAsia"/>
          <w:b/>
          <w:i/>
          <w:color w:val="000000"/>
          <w:sz w:val="24"/>
          <w:szCs w:val="24"/>
        </w:rPr>
      </w:pPr>
      <w:r>
        <w:rPr>
          <w:rFonts w:eastAsiaTheme="minorEastAsia"/>
          <w:b/>
          <w:i/>
          <w:color w:val="000000"/>
          <w:sz w:val="24"/>
          <w:szCs w:val="24"/>
        </w:rPr>
        <w:t xml:space="preserve">Intermediação ilícita de mão de obra. Reconhecimento de vínculo de emprego diretamente com o tomador dos serviços. Litisconsórcio passivo necessário com a prestadora de serviços. Não configuração. </w:t>
      </w:r>
    </w:p>
    <w:p w:rsidR="004B3120" w:rsidRPr="004B3120" w:rsidRDefault="004B3120" w:rsidP="004B3120">
      <w:pPr>
        <w:ind w:left="567"/>
        <w:jc w:val="both"/>
        <w:rPr>
          <w:bCs/>
          <w:color w:val="000000"/>
        </w:rPr>
      </w:pPr>
    </w:p>
    <w:p w:rsidR="004B3120" w:rsidRDefault="004B3120" w:rsidP="004B3120">
      <w:pPr>
        <w:ind w:left="567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“</w:t>
      </w:r>
      <w:r>
        <w:rPr>
          <w:bCs/>
          <w:i/>
          <w:color w:val="000000"/>
          <w:sz w:val="24"/>
          <w:szCs w:val="24"/>
        </w:rPr>
        <w:t xml:space="preserve">RECURSO DE REVISTA INTERPOSTO SOB A ÉGIDE DA LEI N° 13.015/2014 – CHAMAMENTO AO PROCESSO - </w:t>
      </w:r>
      <w:r>
        <w:rPr>
          <w:i/>
          <w:color w:val="000000"/>
          <w:sz w:val="24"/>
          <w:szCs w:val="24"/>
        </w:rPr>
        <w:t>LITISCONSÓRCIO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PASSIVO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NECESSÁRIO – AUSÊNCIA Esta </w:t>
      </w:r>
      <w:proofErr w:type="spellStart"/>
      <w:r>
        <w:rPr>
          <w:i/>
          <w:color w:val="000000"/>
          <w:sz w:val="24"/>
          <w:szCs w:val="24"/>
        </w:rPr>
        <w:t>Eg</w:t>
      </w:r>
      <w:proofErr w:type="spellEnd"/>
      <w:r>
        <w:rPr>
          <w:i/>
          <w:color w:val="000000"/>
          <w:sz w:val="24"/>
          <w:szCs w:val="24"/>
        </w:rPr>
        <w:t>. Corte firmou o entendimento de que o pedido de reconhecimento de vínculo de emprego diretamente com o tomador dos serviços, por alegada intermediação ilícita de mão de obra, não exige a integração da prestadora de serviços na lide para o desenvolvimento válido e regular do processo. Julgados. (...)</w:t>
      </w:r>
      <w:r>
        <w:rPr>
          <w:color w:val="000000"/>
          <w:sz w:val="24"/>
          <w:szCs w:val="24"/>
        </w:rPr>
        <w:t>”. (</w:t>
      </w:r>
      <w:hyperlink r:id="rId17" w:history="1">
        <w:r>
          <w:rPr>
            <w:rStyle w:val="Hyperlink"/>
            <w:sz w:val="24"/>
            <w:szCs w:val="24"/>
          </w:rPr>
          <w:t>TST-RR-785-03.2013.5.04.0023</w:t>
        </w:r>
      </w:hyperlink>
      <w:r>
        <w:rPr>
          <w:color w:val="000000"/>
          <w:sz w:val="24"/>
          <w:szCs w:val="24"/>
        </w:rPr>
        <w:t xml:space="preserve">, 8ª Turma, rel. Min. Maria Cristina </w:t>
      </w:r>
      <w:proofErr w:type="spellStart"/>
      <w:r>
        <w:rPr>
          <w:color w:val="000000"/>
          <w:sz w:val="24"/>
          <w:szCs w:val="24"/>
        </w:rPr>
        <w:t>Irigoyen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Peduzzi</w:t>
      </w:r>
      <w:proofErr w:type="spellEnd"/>
      <w:r>
        <w:rPr>
          <w:color w:val="000000"/>
          <w:sz w:val="24"/>
          <w:szCs w:val="24"/>
        </w:rPr>
        <w:t xml:space="preserve">, julgado em </w:t>
      </w:r>
      <w:proofErr w:type="gramStart"/>
      <w:r>
        <w:rPr>
          <w:color w:val="000000"/>
          <w:sz w:val="24"/>
          <w:szCs w:val="24"/>
        </w:rPr>
        <w:t>14.8.2019)</w:t>
      </w:r>
      <w:proofErr w:type="gramEnd"/>
    </w:p>
    <w:p w:rsidR="004B3120" w:rsidRDefault="004B3120" w:rsidP="000132A3">
      <w:pPr>
        <w:jc w:val="both"/>
        <w:outlineLvl w:val="0"/>
        <w:rPr>
          <w:rFonts w:eastAsiaTheme="minorEastAsia"/>
          <w:b/>
          <w:i/>
          <w:color w:val="000000"/>
          <w:sz w:val="24"/>
          <w:szCs w:val="24"/>
        </w:rPr>
      </w:pPr>
    </w:p>
    <w:p w:rsidR="000132A3" w:rsidRPr="004B3120" w:rsidRDefault="000132A3" w:rsidP="00CA4AE6">
      <w:pPr>
        <w:pStyle w:val="Ementa"/>
        <w:ind w:left="0"/>
        <w:outlineLvl w:val="0"/>
        <w:rPr>
          <w:rFonts w:ascii="Times New Roman" w:hAnsi="Times New Roman" w:cs="Times New Roman"/>
          <w:i/>
          <w:color w:val="auto"/>
          <w:lang w:val="pt-BR"/>
        </w:rPr>
      </w:pPr>
    </w:p>
    <w:p w:rsidR="000132A3" w:rsidRPr="004B3120" w:rsidRDefault="000132A3" w:rsidP="00CA4AE6">
      <w:pPr>
        <w:pStyle w:val="Ementa"/>
        <w:ind w:left="0"/>
        <w:outlineLvl w:val="0"/>
        <w:rPr>
          <w:rFonts w:ascii="Times New Roman" w:hAnsi="Times New Roman" w:cs="Times New Roman"/>
          <w:i/>
          <w:color w:val="auto"/>
          <w:lang w:val="pt-BR"/>
        </w:rPr>
      </w:pPr>
    </w:p>
    <w:bookmarkEnd w:id="0"/>
    <w:bookmarkEnd w:id="1"/>
    <w:p w:rsidR="00CA4AE6" w:rsidRPr="004B3120" w:rsidRDefault="00CA4AE6" w:rsidP="00C6738C">
      <w:pPr>
        <w:rPr>
          <w:sz w:val="10"/>
          <w:szCs w:val="10"/>
        </w:rPr>
      </w:pPr>
    </w:p>
    <w:p w:rsidR="00CA4AE6" w:rsidRPr="004B3120" w:rsidRDefault="00CA4AE6" w:rsidP="00C6738C">
      <w:pPr>
        <w:rPr>
          <w:sz w:val="10"/>
          <w:szCs w:val="10"/>
        </w:rPr>
      </w:pPr>
    </w:p>
    <w:p w:rsidR="00CA4AE6" w:rsidRPr="004B3120" w:rsidRDefault="00CA4AE6" w:rsidP="00C6738C">
      <w:pPr>
        <w:rPr>
          <w:sz w:val="10"/>
          <w:szCs w:val="10"/>
        </w:rPr>
      </w:pPr>
    </w:p>
    <w:p w:rsidR="00CA4AE6" w:rsidRPr="004B3120" w:rsidRDefault="00CA4AE6" w:rsidP="00C6738C">
      <w:pPr>
        <w:rPr>
          <w:sz w:val="10"/>
          <w:szCs w:val="10"/>
        </w:rPr>
      </w:pPr>
    </w:p>
    <w:p w:rsidR="00CA4AE6" w:rsidRPr="004B3120" w:rsidRDefault="00CA4AE6" w:rsidP="00C6738C">
      <w:pPr>
        <w:rPr>
          <w:sz w:val="10"/>
          <w:szCs w:val="10"/>
        </w:rPr>
      </w:pPr>
    </w:p>
    <w:p w:rsidR="00E3622E" w:rsidRPr="004B3120" w:rsidRDefault="00E3622E" w:rsidP="00C6738C">
      <w:pPr>
        <w:rPr>
          <w:sz w:val="10"/>
          <w:szCs w:val="10"/>
        </w:rPr>
      </w:pPr>
    </w:p>
    <w:p w:rsidR="00184590" w:rsidRPr="004B312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4B3120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4B3120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4B3120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7F02D5" w:rsidRPr="004B3120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7614F1" w:rsidRPr="004B3120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>Informações/Sugestões/Críticas: (61)3043</w:t>
      </w:r>
      <w:r w:rsidR="00352B27" w:rsidRPr="004B3120">
        <w:rPr>
          <w:snapToGrid w:val="0"/>
          <w:sz w:val="25"/>
          <w:szCs w:val="25"/>
        </w:rPr>
        <w:t>-</w:t>
      </w:r>
      <w:r w:rsidRPr="004B3120">
        <w:rPr>
          <w:snapToGrid w:val="0"/>
          <w:sz w:val="25"/>
          <w:szCs w:val="25"/>
        </w:rPr>
        <w:t>4</w:t>
      </w:r>
      <w:r w:rsidR="000303C3" w:rsidRPr="004B3120">
        <w:rPr>
          <w:snapToGrid w:val="0"/>
          <w:sz w:val="25"/>
          <w:szCs w:val="25"/>
        </w:rPr>
        <w:t>612</w:t>
      </w:r>
      <w:r w:rsidR="007F02D5" w:rsidRPr="004B3120">
        <w:rPr>
          <w:snapToGrid w:val="0"/>
          <w:sz w:val="25"/>
          <w:szCs w:val="25"/>
        </w:rPr>
        <w:t xml:space="preserve"> ou </w:t>
      </w:r>
      <w:hyperlink r:id="rId18" w:history="1">
        <w:r w:rsidR="005F0522" w:rsidRPr="004B3120">
          <w:rPr>
            <w:rStyle w:val="Hyperlink"/>
            <w:snapToGrid w:val="0"/>
            <w:sz w:val="25"/>
            <w:szCs w:val="25"/>
          </w:rPr>
          <w:t>cjur@tst.jus.br</w:t>
        </w:r>
      </w:hyperlink>
    </w:p>
    <w:p w:rsidR="007F02D5" w:rsidRPr="004B3120" w:rsidRDefault="007F02D5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B15004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 xml:space="preserve">Para acessar todas as edições: </w:t>
      </w:r>
      <w:hyperlink r:id="rId19" w:history="1">
        <w:r w:rsidR="00B15004" w:rsidRPr="004B3120">
          <w:rPr>
            <w:rStyle w:val="Hyperlink"/>
            <w:snapToGrid w:val="0"/>
            <w:sz w:val="25"/>
            <w:szCs w:val="25"/>
          </w:rPr>
          <w:t>http://www.tst.jus.br/web/</w:t>
        </w:r>
        <w:r w:rsidR="00B15004" w:rsidRPr="004B3120">
          <w:rPr>
            <w:rStyle w:val="Hyperlink"/>
            <w:snapToGrid w:val="0"/>
            <w:sz w:val="25"/>
            <w:szCs w:val="25"/>
          </w:rPr>
          <w:t>g</w:t>
        </w:r>
        <w:r w:rsidR="00B15004" w:rsidRPr="004B3120">
          <w:rPr>
            <w:rStyle w:val="Hyperlink"/>
            <w:snapToGrid w:val="0"/>
            <w:sz w:val="25"/>
            <w:szCs w:val="25"/>
          </w:rPr>
          <w:t>uest/informativo-tst</w:t>
        </w:r>
      </w:hyperlink>
    </w:p>
    <w:p w:rsidR="00B15004" w:rsidRPr="004B3120" w:rsidRDefault="00B15004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p w:rsidR="009E534D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4B3120">
        <w:rPr>
          <w:snapToGrid w:val="0"/>
          <w:sz w:val="25"/>
          <w:szCs w:val="25"/>
        </w:rPr>
        <w:t xml:space="preserve">Para receber via </w:t>
      </w:r>
      <w:r w:rsidRPr="004B3120">
        <w:rPr>
          <w:i/>
          <w:snapToGrid w:val="0"/>
          <w:sz w:val="25"/>
          <w:szCs w:val="25"/>
        </w:rPr>
        <w:t>e-mail</w:t>
      </w:r>
      <w:r w:rsidRPr="004B3120">
        <w:rPr>
          <w:snapToGrid w:val="0"/>
          <w:sz w:val="25"/>
          <w:szCs w:val="25"/>
        </w:rPr>
        <w:t xml:space="preserve">: </w:t>
      </w:r>
      <w:hyperlink r:id="rId20" w:history="1">
        <w:r w:rsidRPr="004B3120">
          <w:rPr>
            <w:rStyle w:val="Hyperlink"/>
            <w:snapToGrid w:val="0"/>
            <w:sz w:val="25"/>
            <w:szCs w:val="25"/>
          </w:rPr>
          <w:t>http://www.tst.jus.br/push</w:t>
        </w:r>
      </w:hyperlink>
    </w:p>
    <w:p w:rsidR="009E534D" w:rsidRPr="004B3120" w:rsidRDefault="009E534D" w:rsidP="007F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</w:p>
    <w:sectPr w:rsidR="009E534D" w:rsidRPr="004B3120" w:rsidSect="00D11B24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C5" w:rsidRDefault="000816C5">
      <w:r>
        <w:separator/>
      </w:r>
    </w:p>
  </w:endnote>
  <w:endnote w:type="continuationSeparator" w:id="0">
    <w:p w:rsidR="000816C5" w:rsidRDefault="000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5" w:rsidRDefault="000816C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A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816C5" w:rsidRDefault="000816C5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5" w:rsidRDefault="000816C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60A9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C5" w:rsidRDefault="000816C5">
      <w:r>
        <w:separator/>
      </w:r>
    </w:p>
  </w:footnote>
  <w:footnote w:type="continuationSeparator" w:id="0">
    <w:p w:rsidR="000816C5" w:rsidRDefault="0008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5" w:rsidRPr="008420B2" w:rsidRDefault="000816C5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20B2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Informativo TST - nº </w:t>
    </w:r>
    <w:r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</w:p>
  <w:p w:rsidR="000816C5" w:rsidRDefault="000816C5" w:rsidP="00A01E4F">
    <w:pPr>
      <w:pStyle w:val="Cabealho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81B039" wp14:editId="405259B7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Pr="003C0554">
      <w:rPr>
        <w:iCs/>
      </w:rPr>
      <w:t xml:space="preserve"> </w:t>
    </w:r>
    <w:r>
      <w:rPr>
        <w:i/>
        <w:iCs/>
      </w:rPr>
      <w:t>Período: 12 a 19 de agosto de 2019</w:t>
    </w:r>
  </w:p>
  <w:p w:rsidR="000816C5" w:rsidRPr="005D1DE4" w:rsidRDefault="000816C5" w:rsidP="00CE7555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C5" w:rsidRDefault="000816C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rPr>
        <w:noProof/>
      </w:rPr>
      <w:drawing>
        <wp:inline distT="0" distB="0" distL="0" distR="0" wp14:anchorId="6F8383B0" wp14:editId="235FE2B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6C5" w:rsidRPr="002168DE" w:rsidRDefault="000816C5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>202</w:t>
    </w:r>
  </w:p>
  <w:p w:rsidR="000816C5" w:rsidRPr="005D1DE4" w:rsidRDefault="000816C5">
    <w:pPr>
      <w:pStyle w:val="Cabealho"/>
      <w:jc w:val="right"/>
      <w:rPr>
        <w:i/>
        <w:iCs/>
        <w:sz w:val="10"/>
        <w:szCs w:val="10"/>
      </w:rPr>
    </w:pPr>
  </w:p>
  <w:p w:rsidR="000816C5" w:rsidRDefault="000816C5" w:rsidP="009A16E8">
    <w:pPr>
      <w:pStyle w:val="Cabealho"/>
      <w:jc w:val="right"/>
      <w:rPr>
        <w:i/>
        <w:iCs/>
      </w:rPr>
    </w:pPr>
    <w:r>
      <w:rPr>
        <w:i/>
        <w:iCs/>
      </w:rPr>
      <w:t>Período: 12 a 19 de agosto de 2019</w:t>
    </w:r>
  </w:p>
  <w:p w:rsidR="000816C5" w:rsidRDefault="000816C5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40C9"/>
    <w:multiLevelType w:val="hybridMultilevel"/>
    <w:tmpl w:val="B9D22EE6"/>
    <w:lvl w:ilvl="0" w:tplc="93941AA8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132A3"/>
    <w:rsid w:val="00020CD0"/>
    <w:rsid w:val="00021967"/>
    <w:rsid w:val="000228E6"/>
    <w:rsid w:val="000249BA"/>
    <w:rsid w:val="00024CE9"/>
    <w:rsid w:val="000303C3"/>
    <w:rsid w:val="00032056"/>
    <w:rsid w:val="000322FB"/>
    <w:rsid w:val="000332F1"/>
    <w:rsid w:val="00034034"/>
    <w:rsid w:val="00040BBC"/>
    <w:rsid w:val="000425FC"/>
    <w:rsid w:val="00047F3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665D5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16C5"/>
    <w:rsid w:val="000858FB"/>
    <w:rsid w:val="0009237D"/>
    <w:rsid w:val="00093AE9"/>
    <w:rsid w:val="00093BA8"/>
    <w:rsid w:val="00094103"/>
    <w:rsid w:val="00095471"/>
    <w:rsid w:val="000A04E6"/>
    <w:rsid w:val="000A2745"/>
    <w:rsid w:val="000A4C94"/>
    <w:rsid w:val="000A6DDE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0F260C"/>
    <w:rsid w:val="00106A93"/>
    <w:rsid w:val="0011575C"/>
    <w:rsid w:val="0011692E"/>
    <w:rsid w:val="00122C2A"/>
    <w:rsid w:val="001257D7"/>
    <w:rsid w:val="001365EE"/>
    <w:rsid w:val="00136E86"/>
    <w:rsid w:val="00137564"/>
    <w:rsid w:val="00137DC1"/>
    <w:rsid w:val="00141630"/>
    <w:rsid w:val="00142C28"/>
    <w:rsid w:val="001444DA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640B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3281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6C64"/>
    <w:rsid w:val="001E713B"/>
    <w:rsid w:val="001E79B4"/>
    <w:rsid w:val="001F030F"/>
    <w:rsid w:val="001F2F34"/>
    <w:rsid w:val="001F3CD3"/>
    <w:rsid w:val="001F45E0"/>
    <w:rsid w:val="001F58BD"/>
    <w:rsid w:val="001F689A"/>
    <w:rsid w:val="00200A8C"/>
    <w:rsid w:val="002017D2"/>
    <w:rsid w:val="00204C97"/>
    <w:rsid w:val="00206810"/>
    <w:rsid w:val="00207D1D"/>
    <w:rsid w:val="002156DC"/>
    <w:rsid w:val="002168DE"/>
    <w:rsid w:val="00222CF6"/>
    <w:rsid w:val="00223F6E"/>
    <w:rsid w:val="00224AC2"/>
    <w:rsid w:val="00227004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A22"/>
    <w:rsid w:val="00266D49"/>
    <w:rsid w:val="00271C5C"/>
    <w:rsid w:val="00271E67"/>
    <w:rsid w:val="002730B5"/>
    <w:rsid w:val="0027659F"/>
    <w:rsid w:val="002766D5"/>
    <w:rsid w:val="0027684A"/>
    <w:rsid w:val="00276EA0"/>
    <w:rsid w:val="00280594"/>
    <w:rsid w:val="00282620"/>
    <w:rsid w:val="002834D2"/>
    <w:rsid w:val="00285064"/>
    <w:rsid w:val="00287917"/>
    <w:rsid w:val="00287D4A"/>
    <w:rsid w:val="002900D2"/>
    <w:rsid w:val="002930E4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3B9F"/>
    <w:rsid w:val="002E78CB"/>
    <w:rsid w:val="002F28E5"/>
    <w:rsid w:val="002F71BF"/>
    <w:rsid w:val="003070C9"/>
    <w:rsid w:val="003074FC"/>
    <w:rsid w:val="0031207D"/>
    <w:rsid w:val="003137EF"/>
    <w:rsid w:val="003200A0"/>
    <w:rsid w:val="00322F7A"/>
    <w:rsid w:val="0033397A"/>
    <w:rsid w:val="003339E9"/>
    <w:rsid w:val="00340D16"/>
    <w:rsid w:val="00340E8D"/>
    <w:rsid w:val="00342846"/>
    <w:rsid w:val="003503FC"/>
    <w:rsid w:val="00350ED0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84531"/>
    <w:rsid w:val="003908C5"/>
    <w:rsid w:val="00393131"/>
    <w:rsid w:val="0039326C"/>
    <w:rsid w:val="00396053"/>
    <w:rsid w:val="003971B2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E3694"/>
    <w:rsid w:val="003F2078"/>
    <w:rsid w:val="003F5EA7"/>
    <w:rsid w:val="004034A8"/>
    <w:rsid w:val="0040506F"/>
    <w:rsid w:val="0041011C"/>
    <w:rsid w:val="0041353C"/>
    <w:rsid w:val="004163E7"/>
    <w:rsid w:val="004166C3"/>
    <w:rsid w:val="00416D9A"/>
    <w:rsid w:val="00420228"/>
    <w:rsid w:val="00423641"/>
    <w:rsid w:val="00426AA4"/>
    <w:rsid w:val="0042772A"/>
    <w:rsid w:val="004323B0"/>
    <w:rsid w:val="00437995"/>
    <w:rsid w:val="0044014F"/>
    <w:rsid w:val="00444E88"/>
    <w:rsid w:val="004477EC"/>
    <w:rsid w:val="00450BAD"/>
    <w:rsid w:val="00454078"/>
    <w:rsid w:val="00454245"/>
    <w:rsid w:val="0045657C"/>
    <w:rsid w:val="00456B0F"/>
    <w:rsid w:val="00457A40"/>
    <w:rsid w:val="004655CC"/>
    <w:rsid w:val="00466DB9"/>
    <w:rsid w:val="004672FC"/>
    <w:rsid w:val="0047004F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2500"/>
    <w:rsid w:val="004A5264"/>
    <w:rsid w:val="004A5908"/>
    <w:rsid w:val="004A7C59"/>
    <w:rsid w:val="004B21AD"/>
    <w:rsid w:val="004B3120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697F"/>
    <w:rsid w:val="004D71E8"/>
    <w:rsid w:val="004E393E"/>
    <w:rsid w:val="004E39DA"/>
    <w:rsid w:val="004E4507"/>
    <w:rsid w:val="004E4619"/>
    <w:rsid w:val="004F0A7D"/>
    <w:rsid w:val="004F5040"/>
    <w:rsid w:val="005059F5"/>
    <w:rsid w:val="00513789"/>
    <w:rsid w:val="0051538E"/>
    <w:rsid w:val="00517E01"/>
    <w:rsid w:val="005208C8"/>
    <w:rsid w:val="00521EEC"/>
    <w:rsid w:val="00530B90"/>
    <w:rsid w:val="00536EDA"/>
    <w:rsid w:val="005405E7"/>
    <w:rsid w:val="00543B94"/>
    <w:rsid w:val="005460BD"/>
    <w:rsid w:val="005521C8"/>
    <w:rsid w:val="00552D4A"/>
    <w:rsid w:val="00553197"/>
    <w:rsid w:val="0055409E"/>
    <w:rsid w:val="00554139"/>
    <w:rsid w:val="005543D8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B6F6A"/>
    <w:rsid w:val="005C12EE"/>
    <w:rsid w:val="005C1886"/>
    <w:rsid w:val="005C761E"/>
    <w:rsid w:val="005D0E5F"/>
    <w:rsid w:val="005D1DE4"/>
    <w:rsid w:val="005E18BC"/>
    <w:rsid w:val="005E1BDB"/>
    <w:rsid w:val="005E2A3F"/>
    <w:rsid w:val="005E35BD"/>
    <w:rsid w:val="005E3D4D"/>
    <w:rsid w:val="005E3F64"/>
    <w:rsid w:val="005E60E9"/>
    <w:rsid w:val="005E7FD1"/>
    <w:rsid w:val="005F0522"/>
    <w:rsid w:val="005F0545"/>
    <w:rsid w:val="005F2858"/>
    <w:rsid w:val="005F52AB"/>
    <w:rsid w:val="006002E3"/>
    <w:rsid w:val="00602FF7"/>
    <w:rsid w:val="0060683F"/>
    <w:rsid w:val="006145AC"/>
    <w:rsid w:val="00615F98"/>
    <w:rsid w:val="006207F5"/>
    <w:rsid w:val="00621CAC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145C"/>
    <w:rsid w:val="006B3FCF"/>
    <w:rsid w:val="006B46CA"/>
    <w:rsid w:val="006B549E"/>
    <w:rsid w:val="006B54A7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022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3442D"/>
    <w:rsid w:val="007403B3"/>
    <w:rsid w:val="00750B85"/>
    <w:rsid w:val="007568FD"/>
    <w:rsid w:val="007614F1"/>
    <w:rsid w:val="007618C5"/>
    <w:rsid w:val="00764066"/>
    <w:rsid w:val="00764D55"/>
    <w:rsid w:val="00766B7B"/>
    <w:rsid w:val="0077600F"/>
    <w:rsid w:val="007760AE"/>
    <w:rsid w:val="00776118"/>
    <w:rsid w:val="00781C77"/>
    <w:rsid w:val="00790F13"/>
    <w:rsid w:val="00793A1C"/>
    <w:rsid w:val="00796745"/>
    <w:rsid w:val="007A28FF"/>
    <w:rsid w:val="007A4009"/>
    <w:rsid w:val="007A4F78"/>
    <w:rsid w:val="007A7125"/>
    <w:rsid w:val="007B0F83"/>
    <w:rsid w:val="007B5D65"/>
    <w:rsid w:val="007C0A4F"/>
    <w:rsid w:val="007D0081"/>
    <w:rsid w:val="007D19FC"/>
    <w:rsid w:val="007D29A1"/>
    <w:rsid w:val="007D2B4E"/>
    <w:rsid w:val="007D2DB0"/>
    <w:rsid w:val="007D2EE9"/>
    <w:rsid w:val="007D469A"/>
    <w:rsid w:val="007D6D94"/>
    <w:rsid w:val="007D6F8C"/>
    <w:rsid w:val="007E069C"/>
    <w:rsid w:val="007E094E"/>
    <w:rsid w:val="007E0EA7"/>
    <w:rsid w:val="007E26A1"/>
    <w:rsid w:val="007E37B1"/>
    <w:rsid w:val="007E3F23"/>
    <w:rsid w:val="007E53A4"/>
    <w:rsid w:val="007F02D5"/>
    <w:rsid w:val="007F142E"/>
    <w:rsid w:val="007F289C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5622"/>
    <w:rsid w:val="0081742D"/>
    <w:rsid w:val="00817AB1"/>
    <w:rsid w:val="00820419"/>
    <w:rsid w:val="00820817"/>
    <w:rsid w:val="00821F4D"/>
    <w:rsid w:val="00823906"/>
    <w:rsid w:val="00823E24"/>
    <w:rsid w:val="008409D3"/>
    <w:rsid w:val="008420B2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3391"/>
    <w:rsid w:val="008842D0"/>
    <w:rsid w:val="00884AC4"/>
    <w:rsid w:val="0088579D"/>
    <w:rsid w:val="00892883"/>
    <w:rsid w:val="008942D5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184"/>
    <w:rsid w:val="008E2AE5"/>
    <w:rsid w:val="008E3CCE"/>
    <w:rsid w:val="008E3F89"/>
    <w:rsid w:val="008E5117"/>
    <w:rsid w:val="008F26CB"/>
    <w:rsid w:val="008F36EC"/>
    <w:rsid w:val="008F3D95"/>
    <w:rsid w:val="008F6509"/>
    <w:rsid w:val="008F79D9"/>
    <w:rsid w:val="009027C8"/>
    <w:rsid w:val="00910EEF"/>
    <w:rsid w:val="00920B0C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15A9"/>
    <w:rsid w:val="00986D77"/>
    <w:rsid w:val="00993A6E"/>
    <w:rsid w:val="009943EC"/>
    <w:rsid w:val="009A16E8"/>
    <w:rsid w:val="009A1BAD"/>
    <w:rsid w:val="009A32D5"/>
    <w:rsid w:val="009A541D"/>
    <w:rsid w:val="009A5D37"/>
    <w:rsid w:val="009A610E"/>
    <w:rsid w:val="009A6BD9"/>
    <w:rsid w:val="009A76A2"/>
    <w:rsid w:val="009B289E"/>
    <w:rsid w:val="009B320F"/>
    <w:rsid w:val="009B41F7"/>
    <w:rsid w:val="009B479C"/>
    <w:rsid w:val="009B6012"/>
    <w:rsid w:val="009B6455"/>
    <w:rsid w:val="009C0EBA"/>
    <w:rsid w:val="009C102D"/>
    <w:rsid w:val="009C2A4F"/>
    <w:rsid w:val="009C4834"/>
    <w:rsid w:val="009D10FB"/>
    <w:rsid w:val="009D1BDE"/>
    <w:rsid w:val="009D232F"/>
    <w:rsid w:val="009D2FB1"/>
    <w:rsid w:val="009D312C"/>
    <w:rsid w:val="009D4C59"/>
    <w:rsid w:val="009D7F91"/>
    <w:rsid w:val="009E20EF"/>
    <w:rsid w:val="009E26EE"/>
    <w:rsid w:val="009E534D"/>
    <w:rsid w:val="009E6646"/>
    <w:rsid w:val="009F1C7B"/>
    <w:rsid w:val="009F21A2"/>
    <w:rsid w:val="00A00D70"/>
    <w:rsid w:val="00A00DEE"/>
    <w:rsid w:val="00A01E4F"/>
    <w:rsid w:val="00A02580"/>
    <w:rsid w:val="00A0468E"/>
    <w:rsid w:val="00A201D9"/>
    <w:rsid w:val="00A27889"/>
    <w:rsid w:val="00A32D95"/>
    <w:rsid w:val="00A32FBF"/>
    <w:rsid w:val="00A3307E"/>
    <w:rsid w:val="00A407EA"/>
    <w:rsid w:val="00A40D9C"/>
    <w:rsid w:val="00A51749"/>
    <w:rsid w:val="00A521B6"/>
    <w:rsid w:val="00A56962"/>
    <w:rsid w:val="00A62DD3"/>
    <w:rsid w:val="00A6382F"/>
    <w:rsid w:val="00A6412C"/>
    <w:rsid w:val="00A72FAF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96424"/>
    <w:rsid w:val="00AA06DA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0ED3"/>
    <w:rsid w:val="00AD1400"/>
    <w:rsid w:val="00AD2BB0"/>
    <w:rsid w:val="00AD6E76"/>
    <w:rsid w:val="00AE3EAA"/>
    <w:rsid w:val="00AE5EDF"/>
    <w:rsid w:val="00AE758A"/>
    <w:rsid w:val="00AF77DF"/>
    <w:rsid w:val="00B03BC8"/>
    <w:rsid w:val="00B06261"/>
    <w:rsid w:val="00B06914"/>
    <w:rsid w:val="00B108BA"/>
    <w:rsid w:val="00B108E6"/>
    <w:rsid w:val="00B12273"/>
    <w:rsid w:val="00B13F59"/>
    <w:rsid w:val="00B14F7F"/>
    <w:rsid w:val="00B15004"/>
    <w:rsid w:val="00B16EB9"/>
    <w:rsid w:val="00B22F24"/>
    <w:rsid w:val="00B22F53"/>
    <w:rsid w:val="00B23538"/>
    <w:rsid w:val="00B24DBE"/>
    <w:rsid w:val="00B335D5"/>
    <w:rsid w:val="00B34EB2"/>
    <w:rsid w:val="00B408DE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5AF5"/>
    <w:rsid w:val="00B86218"/>
    <w:rsid w:val="00B874F1"/>
    <w:rsid w:val="00B877E0"/>
    <w:rsid w:val="00B91001"/>
    <w:rsid w:val="00B95963"/>
    <w:rsid w:val="00BA4636"/>
    <w:rsid w:val="00BB3D37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07598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4666E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5ED0"/>
    <w:rsid w:val="00C76CFA"/>
    <w:rsid w:val="00C819C8"/>
    <w:rsid w:val="00C84A53"/>
    <w:rsid w:val="00C850F8"/>
    <w:rsid w:val="00C8747B"/>
    <w:rsid w:val="00C87D5B"/>
    <w:rsid w:val="00C92A5A"/>
    <w:rsid w:val="00C94FF6"/>
    <w:rsid w:val="00C963F8"/>
    <w:rsid w:val="00C96BB1"/>
    <w:rsid w:val="00C970C8"/>
    <w:rsid w:val="00CA2F80"/>
    <w:rsid w:val="00CA3ECF"/>
    <w:rsid w:val="00CA4AE6"/>
    <w:rsid w:val="00CB0C2A"/>
    <w:rsid w:val="00CB3B98"/>
    <w:rsid w:val="00CB7D7E"/>
    <w:rsid w:val="00CC22E1"/>
    <w:rsid w:val="00CC4B2B"/>
    <w:rsid w:val="00CC51C4"/>
    <w:rsid w:val="00CC579C"/>
    <w:rsid w:val="00CC5F5F"/>
    <w:rsid w:val="00CC6BEC"/>
    <w:rsid w:val="00CC743B"/>
    <w:rsid w:val="00CD3460"/>
    <w:rsid w:val="00CD44C9"/>
    <w:rsid w:val="00CD47A7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622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31480"/>
    <w:rsid w:val="00D4021B"/>
    <w:rsid w:val="00D4059E"/>
    <w:rsid w:val="00D413DB"/>
    <w:rsid w:val="00D41890"/>
    <w:rsid w:val="00D41D4E"/>
    <w:rsid w:val="00D420E2"/>
    <w:rsid w:val="00D42248"/>
    <w:rsid w:val="00D4459D"/>
    <w:rsid w:val="00D44B24"/>
    <w:rsid w:val="00D52863"/>
    <w:rsid w:val="00D570E4"/>
    <w:rsid w:val="00D573F9"/>
    <w:rsid w:val="00D60532"/>
    <w:rsid w:val="00D6058B"/>
    <w:rsid w:val="00D608E5"/>
    <w:rsid w:val="00D60A95"/>
    <w:rsid w:val="00D62D9E"/>
    <w:rsid w:val="00D63EC5"/>
    <w:rsid w:val="00D6459D"/>
    <w:rsid w:val="00D64BC3"/>
    <w:rsid w:val="00D66C46"/>
    <w:rsid w:val="00D708CB"/>
    <w:rsid w:val="00D72C05"/>
    <w:rsid w:val="00D73575"/>
    <w:rsid w:val="00D735BF"/>
    <w:rsid w:val="00D737B6"/>
    <w:rsid w:val="00D77672"/>
    <w:rsid w:val="00D779F0"/>
    <w:rsid w:val="00D80222"/>
    <w:rsid w:val="00D847CF"/>
    <w:rsid w:val="00D87489"/>
    <w:rsid w:val="00D93BE8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B5028"/>
    <w:rsid w:val="00DC0AB5"/>
    <w:rsid w:val="00DC30DD"/>
    <w:rsid w:val="00DC3451"/>
    <w:rsid w:val="00DC50EB"/>
    <w:rsid w:val="00DC67B2"/>
    <w:rsid w:val="00DC7F71"/>
    <w:rsid w:val="00DD19F4"/>
    <w:rsid w:val="00DD3FA0"/>
    <w:rsid w:val="00DE24D5"/>
    <w:rsid w:val="00DE2CC9"/>
    <w:rsid w:val="00DE411D"/>
    <w:rsid w:val="00DE5B2D"/>
    <w:rsid w:val="00DE5C3E"/>
    <w:rsid w:val="00DE5CE9"/>
    <w:rsid w:val="00DF3036"/>
    <w:rsid w:val="00DF45BB"/>
    <w:rsid w:val="00DF71EE"/>
    <w:rsid w:val="00DF729A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20DD"/>
    <w:rsid w:val="00E24A50"/>
    <w:rsid w:val="00E25A69"/>
    <w:rsid w:val="00E31469"/>
    <w:rsid w:val="00E3296A"/>
    <w:rsid w:val="00E35639"/>
    <w:rsid w:val="00E361AB"/>
    <w:rsid w:val="00E3622E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6789"/>
    <w:rsid w:val="00E774F6"/>
    <w:rsid w:val="00E9503C"/>
    <w:rsid w:val="00E956D9"/>
    <w:rsid w:val="00EA10DA"/>
    <w:rsid w:val="00EA1958"/>
    <w:rsid w:val="00EA29F5"/>
    <w:rsid w:val="00EA482D"/>
    <w:rsid w:val="00EA4C55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D7FB5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463D"/>
    <w:rsid w:val="00F37F29"/>
    <w:rsid w:val="00F42243"/>
    <w:rsid w:val="00F43793"/>
    <w:rsid w:val="00F45608"/>
    <w:rsid w:val="00F47E3B"/>
    <w:rsid w:val="00F511EE"/>
    <w:rsid w:val="00F52475"/>
    <w:rsid w:val="00F54576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777B1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AFB"/>
    <w:rsid w:val="00FB0C06"/>
    <w:rsid w:val="00FB0DC9"/>
    <w:rsid w:val="00FB20B1"/>
    <w:rsid w:val="00FB27AA"/>
    <w:rsid w:val="00FB3AB4"/>
    <w:rsid w:val="00FB6188"/>
    <w:rsid w:val="00FB78D2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link w:val="EmentaChar1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,corpoRelatório + Courier,tr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EmentaChar1">
    <w:name w:val="Ementa Char1"/>
    <w:link w:val="Ementa"/>
    <w:uiPriority w:val="99"/>
    <w:locked/>
    <w:rsid w:val="00CA4AE6"/>
    <w:rPr>
      <w:rFonts w:ascii="Courier New" w:hAnsi="Courier New" w:cs="Courier New"/>
      <w:color w:val="808000"/>
      <w:sz w:val="24"/>
      <w:szCs w:val="24"/>
      <w:lang w:val="en-US"/>
    </w:rPr>
  </w:style>
  <w:style w:type="paragraph" w:customStyle="1" w:styleId="corpo1">
    <w:name w:val="corpo"/>
    <w:basedOn w:val="Normal"/>
    <w:rsid w:val="000132A3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link w:val="EmentaChar1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link w:val="IdentificaoChar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,corpoRelatório + Courier,tr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qFormat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uiPriority w:val="99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InternetLink">
    <w:name w:val="Internet Link"/>
    <w:uiPriority w:val="99"/>
    <w:rsid w:val="002834D2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IdentificaoChar">
    <w:name w:val="Identificação Char"/>
    <w:link w:val="Identificao"/>
    <w:uiPriority w:val="99"/>
    <w:locked/>
    <w:rsid w:val="00106A93"/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EmentaChar1">
    <w:name w:val="Ementa Char1"/>
    <w:link w:val="Ementa"/>
    <w:uiPriority w:val="99"/>
    <w:locked/>
    <w:rsid w:val="00CA4AE6"/>
    <w:rPr>
      <w:rFonts w:ascii="Courier New" w:hAnsi="Courier New" w:cs="Courier New"/>
      <w:color w:val="808000"/>
      <w:sz w:val="24"/>
      <w:szCs w:val="24"/>
      <w:lang w:val="en-US"/>
    </w:rPr>
  </w:style>
  <w:style w:type="paragraph" w:customStyle="1" w:styleId="corpo1">
    <w:name w:val="corpo"/>
    <w:basedOn w:val="Normal"/>
    <w:rsid w:val="000132A3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7956&amp;digitoTst=69&amp;anoTst=2016&amp;orgaoTst=5&amp;tribunalTst=15&amp;varaTst=0000" TargetMode="External"/><Relationship Id="rId18" Type="http://schemas.openxmlformats.org/officeDocument/2006/relationships/hyperlink" Target="mailto:cjur@tst.jus.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27&amp;digitoTst=32&amp;anoTst=2014&amp;orgaoTst=5&amp;tribunalTst=05&amp;varaTst=0000" TargetMode="External"/><Relationship Id="rId17" Type="http://schemas.openxmlformats.org/officeDocument/2006/relationships/hyperlink" Target="http://aplicacao4.tst.jus.br/consultaProcessual/resumoForm.do?consulta=1&amp;numeroInt=28516&amp;anoInt=201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plicacao4.tst.jus.br/consultaProcessual/resumoForm.do?consulta=1&amp;numeroInt=147272&amp;anoInt=2018" TargetMode="External"/><Relationship Id="rId20" Type="http://schemas.openxmlformats.org/officeDocument/2006/relationships/hyperlink" Target="http://www.tst.jus.br/pus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1554&amp;digitoTst=94&amp;anoTst=2012&amp;orgaoTst=5&amp;tribunalTst=09&amp;varaTst=0091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aplicacao4.tst.jus.br/consultaProcessual/resumoForm.do?consulta=1&amp;numeroInt=198056&amp;anoInt=2017" TargetMode="External"/><Relationship Id="rId23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6371&amp;digitoTst=79&amp;anoTst=2016&amp;orgaoTst=5&amp;tribunalTst=15&amp;varaTst=0000&amp;submit=Consultar" TargetMode="External"/><Relationship Id="rId19" Type="http://schemas.openxmlformats.org/officeDocument/2006/relationships/hyperlink" Target="http://www.tst.jus.br/web/guest/informativo-t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10488&amp;digitoTst=15&amp;anoTst=2017&amp;orgaoTst=5&amp;tribunalTst=03&amp;varaTst=0000" TargetMode="External"/><Relationship Id="rId14" Type="http://schemas.openxmlformats.org/officeDocument/2006/relationships/hyperlink" Target="http://aplicacao4.tst.jus.br/consultaProcessual/resumoForm.do?consulta=1&amp;numeroInt=94756&amp;anoInt=2012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A2E0-3E1F-4326-A2BB-484C7135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2370</Words>
  <Characters>14953</Characters>
  <Application>Microsoft Office Word</Application>
  <DocSecurity>0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17289</CharactersWithSpaces>
  <SharedDoc>false</SharedDoc>
  <HLinks>
    <vt:vector size="42" baseType="variant"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http://www.tst.jus.br/push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http://www.tst.jus.br/informativos</vt:lpwstr>
      </vt:variant>
      <vt:variant>
        <vt:lpwstr/>
      </vt:variant>
      <vt:variant>
        <vt:i4>4194345</vt:i4>
      </vt:variant>
      <vt:variant>
        <vt:i4>12</vt:i4>
      </vt:variant>
      <vt:variant>
        <vt:i4>0</vt:i4>
      </vt:variant>
      <vt:variant>
        <vt:i4>5</vt:i4>
      </vt:variant>
      <vt:variant>
        <vt:lpwstr>mailto:cjur@tst.jus.br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http://aplicacao4.tst.jus.br/consultaProcessual/consultaTstNumUnica.do?consulta=Consultar&amp;conscsjt=&amp;numeroTst=293&amp;digitoTst=31&amp;anoTst=2016&amp;orgaoTst=5&amp;tribunalTst=&amp;varaTst=</vt:lpwstr>
      </vt:variant>
      <vt:variant>
        <vt:lpwstr/>
      </vt:variant>
      <vt:variant>
        <vt:i4>1048646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http://aplicacao4.tst.jus.br/consultaProcessual/consultaTstNumUnica.do?consulta=Consultar&amp;conscsjt=&amp;numeroTst=74&amp;digitoTst=70&amp;anoTst=2014&amp;orgaoTst=5&amp;tribunalTst=17&amp;varaTst=0000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http://aplicacao4.tst.jus.br/consultaProcessual/consultaTstNumUnica.do?consulta=Consultar&amp;conscsjt=&amp;numeroTst=162&amp;digitoTst=89&amp;anoTst=2016&amp;orgaoTst=5&amp;tribunalTst=&amp;varaTst=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http://aplicacao4.tst.jus.br/consultaProcessual/consultaTstNumUnica.do?consulta=Consultar&amp;conscsjt=&amp;numeroTst=1384&amp;digitoTst=61&amp;anoTst=2012&amp;orgaoTst=5&amp;tribunalTst=&amp;varaTst=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c037092</cp:lastModifiedBy>
  <cp:revision>5</cp:revision>
  <cp:lastPrinted>2017-03-06T19:28:00Z</cp:lastPrinted>
  <dcterms:created xsi:type="dcterms:W3CDTF">2019-08-23T13:42:00Z</dcterms:created>
  <dcterms:modified xsi:type="dcterms:W3CDTF">2019-08-23T14:48:00Z</dcterms:modified>
</cp:coreProperties>
</file>