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020CD0" w:rsidTr="00CB7D7E">
        <w:trPr>
          <w:trHeight w:val="537"/>
        </w:trPr>
        <w:tc>
          <w:tcPr>
            <w:tcW w:w="9538" w:type="dxa"/>
            <w:tcBorders>
              <w:top w:val="single" w:sz="4" w:space="0" w:color="auto"/>
            </w:tcBorders>
          </w:tcPr>
          <w:p w:rsidR="00C26DFB" w:rsidRPr="00020CD0" w:rsidRDefault="00C26DFB" w:rsidP="00DC50EB">
            <w:pPr>
              <w:pStyle w:val="Cabealho"/>
              <w:tabs>
                <w:tab w:val="clear" w:pos="4419"/>
                <w:tab w:val="clear" w:pos="8838"/>
              </w:tabs>
              <w:jc w:val="both"/>
            </w:pPr>
            <w:r w:rsidRPr="00020CD0">
              <w:t>Este Informativo, elaborado a partir de notas tomadas nas sessões de julgamentos, contém resumos não</w:t>
            </w:r>
            <w:r w:rsidR="00DC50EB" w:rsidRPr="00020CD0">
              <w:t xml:space="preserve"> </w:t>
            </w:r>
            <w:r w:rsidRPr="00020CD0">
              <w:t>oficiais de decisões proferidas pelo Tribunal. A fidelidade dos resumos ao conteúdo efetivo das decisões, embora seja uma das metas perseguidas neste trabalho, somente poderá ser aferida após a sua publicação no Diário</w:t>
            </w:r>
            <w:r w:rsidR="00980944" w:rsidRPr="00020CD0">
              <w:t xml:space="preserve"> Eletrônico </w:t>
            </w:r>
            <w:r w:rsidRPr="00020CD0">
              <w:t>da Justiça</w:t>
            </w:r>
            <w:r w:rsidR="00980944" w:rsidRPr="00020CD0">
              <w:t xml:space="preserve"> do Trabalho</w:t>
            </w:r>
            <w:r w:rsidRPr="00020CD0">
              <w:t>.</w:t>
            </w:r>
          </w:p>
          <w:p w:rsidR="00730CC7" w:rsidRPr="00020CD0" w:rsidRDefault="00730CC7" w:rsidP="00DC50EB">
            <w:pPr>
              <w:pStyle w:val="Cabealho"/>
              <w:tabs>
                <w:tab w:val="clear" w:pos="4419"/>
                <w:tab w:val="clear" w:pos="8838"/>
              </w:tabs>
              <w:jc w:val="both"/>
              <w:rPr>
                <w:sz w:val="10"/>
                <w:szCs w:val="10"/>
              </w:rPr>
            </w:pPr>
          </w:p>
        </w:tc>
      </w:tr>
    </w:tbl>
    <w:p w:rsidR="00C850F8" w:rsidRPr="008420B2" w:rsidRDefault="00C850F8" w:rsidP="00C850F8">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8420B2">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 xml:space="preserve">SEÇÃO ESPECIALIZADA EM DISSÍDIOS </w:t>
      </w:r>
      <w:r w:rsidR="007D2DB0">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COLETIVOS</w:t>
      </w:r>
    </w:p>
    <w:p w:rsidR="00C850F8" w:rsidRDefault="00C850F8" w:rsidP="00C850F8">
      <w:pPr>
        <w:suppressAutoHyphens/>
        <w:adjustRightInd w:val="0"/>
        <w:jc w:val="both"/>
        <w:rPr>
          <w:u w:val="single"/>
          <w:lang w:eastAsia="zh-CN"/>
        </w:rPr>
      </w:pPr>
    </w:p>
    <w:p w:rsidR="007D2DB0" w:rsidRPr="00AD0F75" w:rsidRDefault="007D2DB0" w:rsidP="007D2DB0">
      <w:pPr>
        <w:jc w:val="both"/>
        <w:rPr>
          <w:b/>
          <w:i/>
          <w:sz w:val="24"/>
          <w:szCs w:val="24"/>
        </w:rPr>
      </w:pPr>
      <w:r>
        <w:rPr>
          <w:b/>
          <w:i/>
          <w:sz w:val="24"/>
          <w:szCs w:val="24"/>
        </w:rPr>
        <w:t xml:space="preserve">Ação anulatória. </w:t>
      </w:r>
      <w:r w:rsidRPr="00AD0F75">
        <w:rPr>
          <w:b/>
          <w:i/>
          <w:sz w:val="24"/>
          <w:szCs w:val="24"/>
        </w:rPr>
        <w:t xml:space="preserve">Acordo </w:t>
      </w:r>
      <w:r>
        <w:rPr>
          <w:b/>
          <w:i/>
          <w:sz w:val="24"/>
          <w:szCs w:val="24"/>
        </w:rPr>
        <w:t xml:space="preserve">coletivo de trabalho. </w:t>
      </w:r>
      <w:r w:rsidRPr="00AD0F75">
        <w:rPr>
          <w:b/>
          <w:i/>
          <w:sz w:val="24"/>
          <w:szCs w:val="24"/>
        </w:rPr>
        <w:t>Turno ininterrupto de revezamento. Regime 4x4. Validade.</w:t>
      </w:r>
      <w:r>
        <w:rPr>
          <w:b/>
          <w:i/>
          <w:sz w:val="24"/>
          <w:szCs w:val="24"/>
        </w:rPr>
        <w:t xml:space="preserve"> Súmula nº 423 do TST. Não incidência.</w:t>
      </w:r>
    </w:p>
    <w:p w:rsidR="007D2DB0" w:rsidRDefault="007D2DB0" w:rsidP="007D2DB0">
      <w:pPr>
        <w:jc w:val="both"/>
        <w:rPr>
          <w:sz w:val="24"/>
          <w:szCs w:val="24"/>
          <w:u w:val="single"/>
        </w:rPr>
      </w:pPr>
      <w:r w:rsidRPr="00AD0F75">
        <w:rPr>
          <w:sz w:val="24"/>
          <w:szCs w:val="24"/>
        </w:rPr>
        <w:t xml:space="preserve">É válida cláusula </w:t>
      </w:r>
      <w:r w:rsidRPr="00AD0F75">
        <w:rPr>
          <w:bCs/>
          <w:sz w:val="24"/>
          <w:szCs w:val="24"/>
        </w:rPr>
        <w:t xml:space="preserve">da norma coletiva que fixa em </w:t>
      </w:r>
      <w:r>
        <w:rPr>
          <w:bCs/>
          <w:sz w:val="24"/>
          <w:szCs w:val="24"/>
        </w:rPr>
        <w:t>dez</w:t>
      </w:r>
      <w:r w:rsidRPr="00AD0F75">
        <w:rPr>
          <w:bCs/>
          <w:sz w:val="24"/>
          <w:szCs w:val="24"/>
        </w:rPr>
        <w:t xml:space="preserve"> horas a jornada de trabalho em turno ininterrupto de revezamento</w:t>
      </w:r>
      <w:r>
        <w:rPr>
          <w:bCs/>
          <w:sz w:val="24"/>
          <w:szCs w:val="24"/>
        </w:rPr>
        <w:t>, em que o empregado trabalha dez horas diárias, com intervalo intrajornada de duas horas, alternando-se dois dias no período diurno e dois dias no período noturno, seguidos de quatro dias consecutivos de folga</w:t>
      </w:r>
      <w:r w:rsidRPr="00AD0F75">
        <w:rPr>
          <w:bCs/>
          <w:sz w:val="24"/>
          <w:szCs w:val="24"/>
        </w:rPr>
        <w:t>. Tal regime</w:t>
      </w:r>
      <w:r>
        <w:rPr>
          <w:bCs/>
          <w:sz w:val="24"/>
          <w:szCs w:val="24"/>
        </w:rPr>
        <w:t xml:space="preserve"> (4x4)</w:t>
      </w:r>
      <w:r w:rsidRPr="00AD0F75">
        <w:rPr>
          <w:bCs/>
          <w:sz w:val="24"/>
          <w:szCs w:val="24"/>
        </w:rPr>
        <w:t xml:space="preserve"> não viola o art</w:t>
      </w:r>
      <w:r>
        <w:rPr>
          <w:bCs/>
          <w:sz w:val="24"/>
          <w:szCs w:val="24"/>
        </w:rPr>
        <w:t xml:space="preserve">. </w:t>
      </w:r>
      <w:r w:rsidRPr="00AD0F75">
        <w:rPr>
          <w:bCs/>
          <w:sz w:val="24"/>
          <w:szCs w:val="24"/>
        </w:rPr>
        <w:t xml:space="preserve">7º, </w:t>
      </w:r>
      <w:r>
        <w:rPr>
          <w:bCs/>
          <w:sz w:val="24"/>
          <w:szCs w:val="24"/>
        </w:rPr>
        <w:t>XIV, da CF</w:t>
      </w:r>
      <w:r w:rsidRPr="00AD0F75">
        <w:rPr>
          <w:bCs/>
          <w:sz w:val="24"/>
          <w:szCs w:val="24"/>
        </w:rPr>
        <w:t>,</w:t>
      </w:r>
      <w:r>
        <w:rPr>
          <w:bCs/>
          <w:sz w:val="24"/>
          <w:szCs w:val="24"/>
        </w:rPr>
        <w:t xml:space="preserve"> pois o limite de seis horas para a jornada em turno ininterrupto de revezamento estabelecido pelo legislador constitucional somente se aplica se não houver negociação coletiva dispondo especificamente sobre o assunto. De outra sorte, não há falar em incidência da Súmula nº 423 do TST ao caso concreto, visto que a modalidade de trabalho adotada na espécie difere do turno ininterrupto típico, na medida em que garante duas horas de intervalo intrajornada. Ademais, a súmula em questão não impõe à norma coletiva o limite máximo de oito horas para a jornada em turnos ininterruptos de revezamento, mas apenas estabelece que, nessa situação, a 7ª e a 8ª horas não serão pagas como extras. Sob esses fundamentos, a SDC, por maioria, negou provimento ao recurso ordinário do Ministério Público do Trabalho para manter a decisão do Tribunal Regional que julgara improcedente o pedido de nulidade da cláusula que fixou o regime 4x4. Vencido o Ministro Mauricio Godinho Delgado, relator. </w:t>
      </w:r>
      <w:hyperlink r:id="rId9" w:history="1">
        <w:r w:rsidRPr="00552683">
          <w:rPr>
            <w:rStyle w:val="Hyperlink"/>
            <w:sz w:val="24"/>
            <w:szCs w:val="24"/>
          </w:rPr>
          <w:t>TST-AIRO-277-9</w:t>
        </w:r>
        <w:r w:rsidRPr="00552683">
          <w:rPr>
            <w:rStyle w:val="Hyperlink"/>
            <w:sz w:val="24"/>
            <w:szCs w:val="24"/>
          </w:rPr>
          <w:t>5</w:t>
        </w:r>
        <w:r w:rsidRPr="00552683">
          <w:rPr>
            <w:rStyle w:val="Hyperlink"/>
            <w:sz w:val="24"/>
            <w:szCs w:val="24"/>
          </w:rPr>
          <w:t>.2015.5.17.0000</w:t>
        </w:r>
      </w:hyperlink>
      <w:r w:rsidRPr="00AD0F75">
        <w:rPr>
          <w:sz w:val="24"/>
          <w:szCs w:val="24"/>
          <w:u w:val="single"/>
        </w:rPr>
        <w:t xml:space="preserve">, SDC, </w:t>
      </w:r>
      <w:r>
        <w:rPr>
          <w:sz w:val="24"/>
          <w:szCs w:val="24"/>
          <w:u w:val="single"/>
        </w:rPr>
        <w:t xml:space="preserve">rel. Min. Mauricio Godinho Delgado, </w:t>
      </w:r>
      <w:r w:rsidRPr="00AD0F75">
        <w:rPr>
          <w:sz w:val="24"/>
          <w:szCs w:val="24"/>
          <w:u w:val="single"/>
        </w:rPr>
        <w:t xml:space="preserve">red. </w:t>
      </w:r>
      <w:r>
        <w:rPr>
          <w:sz w:val="24"/>
          <w:szCs w:val="24"/>
          <w:u w:val="single"/>
        </w:rPr>
        <w:t xml:space="preserve">p/ acórdão </w:t>
      </w:r>
      <w:r w:rsidRPr="00AD0F75">
        <w:rPr>
          <w:sz w:val="24"/>
          <w:szCs w:val="24"/>
          <w:u w:val="single"/>
        </w:rPr>
        <w:t xml:space="preserve">Min. Ives Gandra da Silva Martins Filho, </w:t>
      </w:r>
      <w:proofErr w:type="gramStart"/>
      <w:r w:rsidRPr="00AD0F75">
        <w:rPr>
          <w:sz w:val="24"/>
          <w:szCs w:val="24"/>
          <w:u w:val="single"/>
        </w:rPr>
        <w:t>8.4.2019</w:t>
      </w:r>
      <w:proofErr w:type="gramEnd"/>
    </w:p>
    <w:p w:rsidR="007D2DB0" w:rsidRPr="007D2DB0" w:rsidRDefault="007D2DB0" w:rsidP="007D2DB0">
      <w:pPr>
        <w:jc w:val="both"/>
        <w:rPr>
          <w:u w:val="single"/>
        </w:rPr>
      </w:pPr>
    </w:p>
    <w:p w:rsidR="007D2DB0" w:rsidRDefault="007D2DB0" w:rsidP="007D2DB0">
      <w:pPr>
        <w:jc w:val="both"/>
        <w:rPr>
          <w:sz w:val="24"/>
          <w:szCs w:val="24"/>
        </w:rPr>
      </w:pPr>
      <w:r>
        <w:rPr>
          <w:b/>
          <w:i/>
          <w:sz w:val="24"/>
          <w:szCs w:val="24"/>
        </w:rPr>
        <w:t xml:space="preserve">Ação anulatória. </w:t>
      </w:r>
      <w:r w:rsidRPr="00AF0E85">
        <w:rPr>
          <w:b/>
          <w:i/>
          <w:sz w:val="24"/>
          <w:szCs w:val="24"/>
        </w:rPr>
        <w:t xml:space="preserve">Acordo </w:t>
      </w:r>
      <w:r>
        <w:rPr>
          <w:b/>
          <w:i/>
          <w:sz w:val="24"/>
          <w:szCs w:val="24"/>
        </w:rPr>
        <w:t>c</w:t>
      </w:r>
      <w:r w:rsidRPr="00AF0E85">
        <w:rPr>
          <w:b/>
          <w:i/>
          <w:sz w:val="24"/>
          <w:szCs w:val="24"/>
        </w:rPr>
        <w:t xml:space="preserve">oletivo de </w:t>
      </w:r>
      <w:r>
        <w:rPr>
          <w:b/>
          <w:i/>
          <w:sz w:val="24"/>
          <w:szCs w:val="24"/>
        </w:rPr>
        <w:t>t</w:t>
      </w:r>
      <w:r w:rsidRPr="00AF0E85">
        <w:rPr>
          <w:b/>
          <w:i/>
          <w:sz w:val="24"/>
          <w:szCs w:val="24"/>
        </w:rPr>
        <w:t xml:space="preserve">rabalho. </w:t>
      </w:r>
      <w:r>
        <w:rPr>
          <w:b/>
          <w:i/>
          <w:sz w:val="24"/>
          <w:szCs w:val="24"/>
        </w:rPr>
        <w:t>S</w:t>
      </w:r>
      <w:r w:rsidRPr="00AF0E85">
        <w:rPr>
          <w:b/>
          <w:i/>
          <w:sz w:val="24"/>
          <w:szCs w:val="24"/>
        </w:rPr>
        <w:t xml:space="preserve">istema de registro </w:t>
      </w:r>
      <w:r>
        <w:rPr>
          <w:b/>
          <w:i/>
          <w:sz w:val="24"/>
          <w:szCs w:val="24"/>
        </w:rPr>
        <w:t>de ponto por exceção. Validade.</w:t>
      </w:r>
    </w:p>
    <w:p w:rsidR="007D2DB0" w:rsidRDefault="007D2DB0" w:rsidP="007D2DB0">
      <w:pPr>
        <w:jc w:val="both"/>
        <w:rPr>
          <w:sz w:val="24"/>
          <w:szCs w:val="24"/>
          <w:u w:val="single"/>
        </w:rPr>
      </w:pPr>
      <w:r>
        <w:rPr>
          <w:sz w:val="24"/>
          <w:szCs w:val="24"/>
        </w:rPr>
        <w:t xml:space="preserve">A SDC, por maioria, deu provimento a recurso ordinário para considerar válida cláusula constante de acordo coletivo de trabalho que estabeleceu sistema de controle de jornada por exceção, no qual o empregado anota no registro de ponto somente situações excepcionais, como faltas, saídas antecipadas, atrasos, licenças e horas extras. Prevaleceu o entendimento de que o art. 74, §2º, da CLT, ao atribuir ao empregador </w:t>
      </w:r>
      <w:proofErr w:type="gramStart"/>
      <w:r>
        <w:rPr>
          <w:sz w:val="24"/>
          <w:szCs w:val="24"/>
        </w:rPr>
        <w:t>a</w:t>
      </w:r>
      <w:proofErr w:type="gramEnd"/>
      <w:r>
        <w:rPr>
          <w:sz w:val="24"/>
          <w:szCs w:val="24"/>
        </w:rPr>
        <w:t xml:space="preserve"> obrigação de formar prova pré-constituída a respeito da jornada de trabalho de seus empregados, possui natureza eminentemente processual. Não se trata, portanto, de matéria de ordem pública, que asseguraria ao trabalhador determinado regime de marcação de ponto. Assim, não há óbice a que os sujeitos coletivos negociem a forma pela qual o controle será realizado, desde que garantida aos empregados </w:t>
      </w:r>
      <w:proofErr w:type="gramStart"/>
      <w:r>
        <w:rPr>
          <w:sz w:val="24"/>
          <w:szCs w:val="24"/>
        </w:rPr>
        <w:t>a</w:t>
      </w:r>
      <w:proofErr w:type="gramEnd"/>
      <w:r>
        <w:rPr>
          <w:sz w:val="24"/>
          <w:szCs w:val="24"/>
        </w:rPr>
        <w:t xml:space="preserve"> verificação dos dados inseridos no sistema. Vencidos os Ministros Mauricio Godinho Delgado, relator, e Aloysio Corrêa da Veiga. </w:t>
      </w:r>
      <w:hyperlink r:id="rId10" w:history="1">
        <w:r w:rsidRPr="00552683">
          <w:rPr>
            <w:rStyle w:val="Hyperlink"/>
            <w:sz w:val="24"/>
            <w:szCs w:val="24"/>
          </w:rPr>
          <w:t>TST-AIRO-277-95.2015.5.17.0000</w:t>
        </w:r>
      </w:hyperlink>
      <w:r>
        <w:rPr>
          <w:sz w:val="24"/>
          <w:szCs w:val="24"/>
          <w:u w:val="single"/>
        </w:rPr>
        <w:t xml:space="preserve">, SDC, rel. Min. Mauricio Godinho Delgado, red. p/ acórdão Min. </w:t>
      </w:r>
      <w:r w:rsidRPr="00AF0E85">
        <w:rPr>
          <w:sz w:val="24"/>
          <w:szCs w:val="24"/>
          <w:u w:val="single"/>
        </w:rPr>
        <w:t>Ives Gandra</w:t>
      </w:r>
      <w:r>
        <w:rPr>
          <w:sz w:val="24"/>
          <w:szCs w:val="24"/>
          <w:u w:val="single"/>
        </w:rPr>
        <w:t xml:space="preserve"> da Silva</w:t>
      </w:r>
      <w:r w:rsidRPr="00AF0E85">
        <w:rPr>
          <w:sz w:val="24"/>
          <w:szCs w:val="24"/>
          <w:u w:val="single"/>
        </w:rPr>
        <w:t xml:space="preserve"> Martins Filho</w:t>
      </w:r>
      <w:r>
        <w:rPr>
          <w:sz w:val="24"/>
          <w:szCs w:val="24"/>
          <w:u w:val="single"/>
        </w:rPr>
        <w:t xml:space="preserve">, </w:t>
      </w:r>
      <w:proofErr w:type="gramStart"/>
      <w:r>
        <w:rPr>
          <w:sz w:val="24"/>
          <w:szCs w:val="24"/>
          <w:u w:val="single"/>
        </w:rPr>
        <w:t>8.4.2019</w:t>
      </w:r>
      <w:proofErr w:type="gramEnd"/>
    </w:p>
    <w:p w:rsidR="007D2DB0" w:rsidRPr="007D2DB0" w:rsidRDefault="007D2DB0" w:rsidP="007D2DB0">
      <w:pPr>
        <w:jc w:val="both"/>
        <w:rPr>
          <w:bCs/>
        </w:rPr>
      </w:pPr>
    </w:p>
    <w:p w:rsidR="007D2DB0" w:rsidRDefault="007D2DB0" w:rsidP="007D2DB0">
      <w:pPr>
        <w:jc w:val="both"/>
        <w:rPr>
          <w:b/>
          <w:i/>
          <w:sz w:val="24"/>
          <w:szCs w:val="24"/>
        </w:rPr>
      </w:pPr>
      <w:r>
        <w:rPr>
          <w:b/>
          <w:i/>
          <w:sz w:val="24"/>
          <w:szCs w:val="24"/>
        </w:rPr>
        <w:t>Ação anulatória. Acordo coletivo de trabalho. Auxílio cesta básica. Pagamento restrito</w:t>
      </w:r>
      <w:r w:rsidR="005B6F6A">
        <w:rPr>
          <w:b/>
          <w:i/>
          <w:sz w:val="24"/>
          <w:szCs w:val="24"/>
        </w:rPr>
        <w:t xml:space="preserve"> a </w:t>
      </w:r>
      <w:r>
        <w:rPr>
          <w:b/>
          <w:i/>
          <w:sz w:val="24"/>
          <w:szCs w:val="24"/>
        </w:rPr>
        <w:t>filiados do sindicato. Nulidade da cláusula.</w:t>
      </w:r>
    </w:p>
    <w:p w:rsidR="007D2DB0" w:rsidRDefault="007D2DB0" w:rsidP="007D2DB0">
      <w:pPr>
        <w:jc w:val="both"/>
        <w:rPr>
          <w:sz w:val="24"/>
          <w:szCs w:val="24"/>
        </w:rPr>
      </w:pPr>
      <w:r>
        <w:rPr>
          <w:sz w:val="24"/>
          <w:szCs w:val="24"/>
        </w:rPr>
        <w:t xml:space="preserve">É nula </w:t>
      </w:r>
      <w:proofErr w:type="gramStart"/>
      <w:r>
        <w:rPr>
          <w:sz w:val="24"/>
          <w:szCs w:val="24"/>
        </w:rPr>
        <w:t>cláusula de acordo coletivo de trabalho que garante o pagamento de auxílio cesta básica apenas aos trabalhadores associados ao sindicato profissional</w:t>
      </w:r>
      <w:proofErr w:type="gramEnd"/>
      <w:r>
        <w:rPr>
          <w:sz w:val="24"/>
          <w:szCs w:val="24"/>
        </w:rPr>
        <w:t xml:space="preserve">. Tal cláusula extrapola os limites na negociação coletiva, pois gera discriminação nas relações de trabalho, em afronta ao princípio da igualdade (art. 5º, I, da CF), além de representar uma tentativa de obrigar a filiação compulsória de </w:t>
      </w:r>
      <w:r>
        <w:rPr>
          <w:sz w:val="24"/>
          <w:szCs w:val="24"/>
        </w:rPr>
        <w:lastRenderedPageBreak/>
        <w:t xml:space="preserve">trabalhadores ao sindicato, o que é vedado pelos </w:t>
      </w:r>
      <w:proofErr w:type="spellStart"/>
      <w:r>
        <w:rPr>
          <w:sz w:val="24"/>
          <w:szCs w:val="24"/>
        </w:rPr>
        <w:t>arts</w:t>
      </w:r>
      <w:proofErr w:type="spellEnd"/>
      <w:r>
        <w:rPr>
          <w:sz w:val="24"/>
          <w:szCs w:val="24"/>
        </w:rPr>
        <w:t xml:space="preserve">. 5º, XX, e 8º, V, da CF. Ademais, a negociação restrita aos filiados fere o art. 8º, III, da CF, no que confere aos sindicatos a defesa dos direitos e interesses da categoria. Sob esse entendimento, a SDC, por maioria, deu provimento ao recurso ordinário do Ministério Público do Trabalho da 8ª Região para declarar a nulidade da cláusula que estabeleceu o auxílio cesta básica. Vencidos, no tópico, os Ministros Mauricio Godinho Delgado, relator, e Guilherme Augusto Caputo Bastos. </w:t>
      </w:r>
      <w:hyperlink r:id="rId11" w:history="1">
        <w:r w:rsidRPr="00552683">
          <w:rPr>
            <w:rStyle w:val="Hyperlink"/>
            <w:sz w:val="24"/>
            <w:szCs w:val="24"/>
          </w:rPr>
          <w:t>TST-RO-772-57.2016.5.08.0000</w:t>
        </w:r>
      </w:hyperlink>
      <w:r w:rsidRPr="00121B21">
        <w:rPr>
          <w:sz w:val="24"/>
          <w:szCs w:val="24"/>
          <w:u w:val="single"/>
        </w:rPr>
        <w:t xml:space="preserve">, SDC, rel. Min. Mauricio Godinho Delgado, </w:t>
      </w:r>
      <w:proofErr w:type="gramStart"/>
      <w:r w:rsidRPr="00121B21">
        <w:rPr>
          <w:sz w:val="24"/>
          <w:szCs w:val="24"/>
          <w:u w:val="single"/>
        </w:rPr>
        <w:t>8.4.2019</w:t>
      </w:r>
      <w:proofErr w:type="gramEnd"/>
    </w:p>
    <w:p w:rsidR="00C850F8" w:rsidRPr="00C850F8" w:rsidRDefault="00C850F8" w:rsidP="00C850F8">
      <w:pPr>
        <w:suppressAutoHyphens/>
        <w:adjustRightInd w:val="0"/>
        <w:jc w:val="both"/>
        <w:rPr>
          <w:u w:val="single"/>
          <w:lang w:eastAsia="zh-CN"/>
        </w:rPr>
      </w:pPr>
    </w:p>
    <w:p w:rsidR="007D2DB0" w:rsidRPr="008420B2" w:rsidRDefault="007D2DB0" w:rsidP="007D2DB0">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8420B2">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7D2DB0" w:rsidRDefault="007D2DB0" w:rsidP="007D2DB0">
      <w:pPr>
        <w:jc w:val="both"/>
        <w:rPr>
          <w:rFonts w:eastAsia="Calibri"/>
          <w:b/>
          <w:i/>
        </w:rPr>
      </w:pPr>
    </w:p>
    <w:p w:rsidR="007D2DB0" w:rsidRPr="00C4388D" w:rsidRDefault="007D2DB0" w:rsidP="007D2DB0">
      <w:pPr>
        <w:jc w:val="both"/>
        <w:rPr>
          <w:sz w:val="24"/>
          <w:szCs w:val="24"/>
        </w:rPr>
      </w:pPr>
      <w:r w:rsidRPr="00C4388D">
        <w:rPr>
          <w:b/>
          <w:i/>
          <w:sz w:val="24"/>
          <w:szCs w:val="24"/>
        </w:rPr>
        <w:t xml:space="preserve">Dispensa discriminatória. Configuração. Empregado portador de câncer. Presunção de preconceito ou de estigma. Aplicação da Súmula n° 443 do TST. </w:t>
      </w:r>
    </w:p>
    <w:p w:rsidR="007D2DB0" w:rsidRPr="00C4388D" w:rsidRDefault="007D2DB0" w:rsidP="007D2DB0">
      <w:pPr>
        <w:jc w:val="both"/>
        <w:rPr>
          <w:sz w:val="24"/>
          <w:szCs w:val="24"/>
          <w:u w:val="single"/>
        </w:rPr>
      </w:pPr>
      <w:r w:rsidRPr="00C4388D">
        <w:rPr>
          <w:sz w:val="24"/>
          <w:szCs w:val="24"/>
        </w:rPr>
        <w:t xml:space="preserve">Presume-se discriminatória e arbitrária a dispensa sem justa causa de empregado portador de neoplasia de próstata, nos termos da Súmula n° 443 do TST, pois o câncer é doença grave comumente associada a estigmas. Assim, cabe ao empregador o ônus de demonstrar que a dispensa do empregado não teve causa, ainda que indireta, com a respectiva enfermidade. Na espécie, não houve a comprovação de que a demissão se deu por motivos outros que não o fato de o reclamante ser acometido de neoplasia prostática, pois argumentos tais como o corte de gastos e o aumento dos índices de lucro da empresa não se sobrepõem aos princípios enumerados no art. 170 da CF, a exemplo da valorização do trabalho humano, da existência digna e da função social da empresa. Ademais, restou consignado nos autos que à época da prestação dos serviços a empresa alcançou recordes de produção e de crescimento, tendo o reclamante contribuído de maneira relevante para o sucesso do empreendimento. Sob esses fundamentos, a SBDI-I, em sua composição plena, por unanimidade, conheceu dos embargos por divergência jurisprudencial e, no mérito, por maioria, negou-lhes provimento. Vencidos os Ministros Márcio Eurico Vitral Amaro, relator, Breno Medeiros e Alexandre Luiz Ramos, os quais davam provimento ao recurso para restabelecer o acórdão do Regional que entendera não configurada a dispensa discriminatória, ao fundamento de que o câncer de próstata, embora </w:t>
      </w:r>
      <w:proofErr w:type="gramStart"/>
      <w:r w:rsidRPr="00C4388D">
        <w:rPr>
          <w:sz w:val="24"/>
          <w:szCs w:val="24"/>
        </w:rPr>
        <w:t>grave,</w:t>
      </w:r>
      <w:proofErr w:type="gramEnd"/>
      <w:r w:rsidRPr="00C4388D">
        <w:rPr>
          <w:sz w:val="24"/>
          <w:szCs w:val="24"/>
        </w:rPr>
        <w:t xml:space="preserve"> não se insere no conceito de doença que suscita estigma ou preconceito. </w:t>
      </w:r>
      <w:hyperlink r:id="rId12" w:history="1">
        <w:r w:rsidRPr="00552683">
          <w:rPr>
            <w:rStyle w:val="Hyperlink"/>
            <w:sz w:val="24"/>
            <w:szCs w:val="24"/>
          </w:rPr>
          <w:t>TST-E-ED-RR-68-29.2014.5.09.0245</w:t>
        </w:r>
      </w:hyperlink>
      <w:r w:rsidRPr="00C4388D">
        <w:rPr>
          <w:sz w:val="24"/>
          <w:szCs w:val="24"/>
          <w:u w:val="single"/>
        </w:rPr>
        <w:t xml:space="preserve">, SBDI-I, rel. </w:t>
      </w:r>
      <w:proofErr w:type="spellStart"/>
      <w:r w:rsidRPr="00C4388D">
        <w:rPr>
          <w:sz w:val="24"/>
          <w:szCs w:val="24"/>
          <w:u w:val="single"/>
        </w:rPr>
        <w:t>Min.Márcio</w:t>
      </w:r>
      <w:proofErr w:type="spellEnd"/>
      <w:r w:rsidRPr="00C4388D">
        <w:rPr>
          <w:sz w:val="24"/>
          <w:szCs w:val="24"/>
          <w:u w:val="single"/>
        </w:rPr>
        <w:t xml:space="preserve"> Eurico Vitral Amaro, red. p/ acórdão Min. Cláudio Mascarenhas Brandão, </w:t>
      </w:r>
      <w:proofErr w:type="gramStart"/>
      <w:r w:rsidRPr="00C4388D">
        <w:rPr>
          <w:sz w:val="24"/>
          <w:szCs w:val="24"/>
          <w:u w:val="single"/>
        </w:rPr>
        <w:t>4.4.2019</w:t>
      </w:r>
      <w:proofErr w:type="gramEnd"/>
    </w:p>
    <w:p w:rsidR="00C850F8" w:rsidRPr="007D2DB0" w:rsidRDefault="00C850F8" w:rsidP="00C850F8">
      <w:pPr>
        <w:suppressAutoHyphens/>
        <w:adjustRightInd w:val="0"/>
        <w:jc w:val="both"/>
        <w:rPr>
          <w:lang w:eastAsia="zh-CN"/>
        </w:rPr>
      </w:pPr>
    </w:p>
    <w:p w:rsidR="007D2DB0" w:rsidRPr="00C4388D" w:rsidRDefault="007D2DB0" w:rsidP="007D2DB0">
      <w:pPr>
        <w:jc w:val="both"/>
        <w:rPr>
          <w:b/>
          <w:i/>
          <w:sz w:val="24"/>
          <w:szCs w:val="24"/>
        </w:rPr>
      </w:pPr>
      <w:r w:rsidRPr="00C4388D">
        <w:rPr>
          <w:b/>
          <w:i/>
          <w:sz w:val="24"/>
          <w:szCs w:val="24"/>
        </w:rPr>
        <w:t xml:space="preserve">Execução. Acordo homologado. Não observância dos índices de correção monetária. Cláusula penal. Indevida. </w:t>
      </w:r>
    </w:p>
    <w:p w:rsidR="007D2DB0" w:rsidRDefault="007D2DB0" w:rsidP="007D2DB0">
      <w:pPr>
        <w:jc w:val="both"/>
        <w:rPr>
          <w:sz w:val="24"/>
          <w:szCs w:val="24"/>
          <w:u w:val="single"/>
        </w:rPr>
      </w:pPr>
      <w:r w:rsidRPr="00C4388D">
        <w:rPr>
          <w:sz w:val="24"/>
          <w:szCs w:val="24"/>
        </w:rPr>
        <w:t>A mera ausência do pagamento da correção monetária não atrai a incidência da cláusula penal estipulada em acordo homologado em juízo. Na espécie, a executada quitou totalmente a dívida principal, mas não efetuou o pagamento da correção monetária no momento estabelecido na avença. Prevaleceu o entendimento de que no caso não houve descumprimento do acordo firmado, de modo que não incide a multa estipulada para o</w:t>
      </w:r>
      <w:bookmarkStart w:id="0" w:name="_GoBack"/>
      <w:bookmarkEnd w:id="0"/>
      <w:r w:rsidRPr="00C4388D">
        <w:rPr>
          <w:sz w:val="24"/>
          <w:szCs w:val="24"/>
        </w:rPr>
        <w:t xml:space="preserve"> atraso no cumprimento da obrigação. Sob esses fundamentos, a SBDI-I, por unanimidade, conheceu dos embargos, por divergência jurisprudencial, e, no mérito, por maioria, deu-lhes provimento para restabelecer o acórdão do Tribunal Regional, que considerou indevido o pagamento da multa pelo atraso no cumprimento do acordo. Vencido o Ministro </w:t>
      </w:r>
      <w:r w:rsidRPr="00C4388D">
        <w:rPr>
          <w:color w:val="000000"/>
          <w:sz w:val="24"/>
          <w:szCs w:val="24"/>
          <w:shd w:val="clear" w:color="auto" w:fill="FFFFFF"/>
        </w:rPr>
        <w:t>José Roberto Freire Pimenta. </w:t>
      </w:r>
      <w:hyperlink r:id="rId13" w:history="1">
        <w:r w:rsidRPr="00C4388D">
          <w:rPr>
            <w:rStyle w:val="Hyperlink"/>
            <w:sz w:val="24"/>
            <w:szCs w:val="24"/>
          </w:rPr>
          <w:t>TST-E-RR-234-55.2010.5.01.0041</w:t>
        </w:r>
      </w:hyperlink>
      <w:r w:rsidRPr="00C4388D">
        <w:rPr>
          <w:sz w:val="24"/>
          <w:szCs w:val="24"/>
          <w:u w:val="single"/>
        </w:rPr>
        <w:t>, SBDI-I, rel. Min.</w:t>
      </w:r>
      <w:r w:rsidRPr="00C4388D">
        <w:rPr>
          <w:bCs/>
          <w:sz w:val="24"/>
          <w:szCs w:val="24"/>
          <w:u w:val="single"/>
          <w:shd w:val="clear" w:color="auto" w:fill="FFFFFF"/>
        </w:rPr>
        <w:t> Cláudio Mascarenhas Brandão</w:t>
      </w:r>
      <w:r>
        <w:rPr>
          <w:sz w:val="24"/>
          <w:szCs w:val="24"/>
          <w:u w:val="single"/>
        </w:rPr>
        <w:t xml:space="preserve">, </w:t>
      </w:r>
      <w:proofErr w:type="gramStart"/>
      <w:r>
        <w:rPr>
          <w:sz w:val="24"/>
          <w:szCs w:val="24"/>
          <w:u w:val="single"/>
        </w:rPr>
        <w:t>4.4.2019</w:t>
      </w:r>
      <w:proofErr w:type="gramEnd"/>
    </w:p>
    <w:p w:rsidR="007D2DB0" w:rsidRPr="007D2DB0" w:rsidRDefault="007D2DB0" w:rsidP="007D2DB0">
      <w:pPr>
        <w:jc w:val="both"/>
        <w:rPr>
          <w:u w:val="single"/>
        </w:rPr>
      </w:pPr>
    </w:p>
    <w:p w:rsidR="007D2DB0" w:rsidRPr="00AD1DC1" w:rsidRDefault="007D2DB0" w:rsidP="007D2DB0">
      <w:pPr>
        <w:jc w:val="both"/>
        <w:rPr>
          <w:b/>
          <w:i/>
          <w:sz w:val="24"/>
          <w:szCs w:val="24"/>
        </w:rPr>
      </w:pPr>
      <w:r>
        <w:rPr>
          <w:b/>
          <w:i/>
          <w:sz w:val="24"/>
          <w:szCs w:val="24"/>
        </w:rPr>
        <w:t>Controles de frequência. Juntada parcial. Presunção de veracidade da jornada alegada na petição inicial quanto ao período faltante. Aplicação da Súmula nº 338, I, do TST. Impossibilidade de adoção da</w:t>
      </w:r>
      <w:proofErr w:type="gramStart"/>
      <w:r>
        <w:rPr>
          <w:b/>
          <w:i/>
          <w:sz w:val="24"/>
          <w:szCs w:val="24"/>
        </w:rPr>
        <w:t xml:space="preserve">  </w:t>
      </w:r>
      <w:proofErr w:type="gramEnd"/>
      <w:r>
        <w:rPr>
          <w:b/>
          <w:i/>
          <w:sz w:val="24"/>
          <w:szCs w:val="24"/>
        </w:rPr>
        <w:t>média física das horas extras apuradas.</w:t>
      </w:r>
    </w:p>
    <w:p w:rsidR="007D2DB0" w:rsidRDefault="007D2DB0" w:rsidP="007D2DB0">
      <w:pPr>
        <w:jc w:val="both"/>
        <w:rPr>
          <w:sz w:val="24"/>
          <w:szCs w:val="24"/>
        </w:rPr>
      </w:pPr>
      <w:r>
        <w:rPr>
          <w:sz w:val="24"/>
          <w:szCs w:val="24"/>
        </w:rPr>
        <w:t xml:space="preserve">A juntada parcial de controles de frequência não afasta, por si só, a presunção de veracidade da jornada de trabalho declinada na petição inicial (Súmula nº 338, I, do TST), ainda que o período sem comprovação seja reduzido. No caso, o registro de jornada do empregado era feito em dois documentos distintos: cartões de ponto, que controlavam a jornada contratual, e relatórios de horas extras. Quanto a estes últimos, a reclamada, injustificadamente, deixou de apresentar o registro de sete meses, o que equivale a 22% dos meses do contrato de trabalho. Reputando inexpressiva a </w:t>
      </w:r>
      <w:r>
        <w:rPr>
          <w:sz w:val="24"/>
          <w:szCs w:val="24"/>
        </w:rPr>
        <w:lastRenderedPageBreak/>
        <w:t xml:space="preserve">quantidade faltante, e com o intuito de evitar o enriquecimento ilícito de qualquer das partes, o TRT adotou a média física das horas extras apuradas para calcular o período não comprovado, em contrariedade ao consubstanciado no item I da Súmula nº 338 do TST e à jurisprudência dominante no TST, conforme consignado no acórdão </w:t>
      </w:r>
      <w:proofErr w:type="spellStart"/>
      <w:r>
        <w:rPr>
          <w:sz w:val="24"/>
          <w:szCs w:val="24"/>
        </w:rPr>
        <w:t>turmário</w:t>
      </w:r>
      <w:proofErr w:type="spellEnd"/>
      <w:r>
        <w:rPr>
          <w:sz w:val="24"/>
          <w:szCs w:val="24"/>
        </w:rPr>
        <w:t xml:space="preserve">. Ademais, prevaleceu o entendimento de que a Orientação Jurisprudencial nº 233 da SBDI-I não incide na hipótese, pois dirigida a fatos que devem ser provados por quem alega o trabalho em horas extras, situação distinta da analisada. Além disso, o verbete se dirige ao caso em que o julgador convenceu-se de que o procedimento questionado superou o período abrangido pela prova oral ou documental, premissa não evidenciada nos autos, visto que a decisão do TRT que deferiu o cálculo pela média das horas extras apuradas sedimentou-se na possibilidade de enriquecimento sem causa e não no convencimento de que as horas extras registradas superaram o período comprovado. Sob esses fundamentos, a SBDI-I, por unanimidade, conheceu dos embargos, por divergência jurisprudencial, e, no mérito, por maioria, negou-lhes provimento. Vencidos os Ministros Márcio Eurico Vitral Amaro, relator, Breno Medeiros e Maria Cristina </w:t>
      </w:r>
      <w:proofErr w:type="spellStart"/>
      <w:r>
        <w:rPr>
          <w:sz w:val="24"/>
          <w:szCs w:val="24"/>
        </w:rPr>
        <w:t>Irigoyen</w:t>
      </w:r>
      <w:proofErr w:type="spellEnd"/>
      <w:r>
        <w:rPr>
          <w:sz w:val="24"/>
          <w:szCs w:val="24"/>
        </w:rPr>
        <w:t xml:space="preserve"> </w:t>
      </w:r>
      <w:proofErr w:type="spellStart"/>
      <w:r>
        <w:rPr>
          <w:sz w:val="24"/>
          <w:szCs w:val="24"/>
        </w:rPr>
        <w:t>Peduzzi</w:t>
      </w:r>
      <w:proofErr w:type="spellEnd"/>
      <w:r>
        <w:rPr>
          <w:sz w:val="24"/>
          <w:szCs w:val="24"/>
        </w:rPr>
        <w:t xml:space="preserve">. </w:t>
      </w:r>
      <w:hyperlink r:id="rId14" w:history="1">
        <w:r w:rsidRPr="00A64ECB">
          <w:rPr>
            <w:rStyle w:val="Hyperlink"/>
            <w:sz w:val="24"/>
            <w:szCs w:val="24"/>
          </w:rPr>
          <w:t>TST-E-ED-ARR-2799-09.2013.5.09.0091</w:t>
        </w:r>
      </w:hyperlink>
      <w:r w:rsidRPr="00B4525E">
        <w:rPr>
          <w:sz w:val="24"/>
          <w:szCs w:val="24"/>
          <w:u w:val="single"/>
        </w:rPr>
        <w:t xml:space="preserve">, SBDI-I, rel. </w:t>
      </w:r>
      <w:proofErr w:type="spellStart"/>
      <w:r w:rsidRPr="00B4525E">
        <w:rPr>
          <w:sz w:val="24"/>
          <w:szCs w:val="24"/>
          <w:u w:val="single"/>
        </w:rPr>
        <w:t>Min.</w:t>
      </w:r>
      <w:r>
        <w:rPr>
          <w:sz w:val="24"/>
          <w:szCs w:val="24"/>
          <w:u w:val="single"/>
        </w:rPr>
        <w:t>Márcio</w:t>
      </w:r>
      <w:proofErr w:type="spellEnd"/>
      <w:r>
        <w:rPr>
          <w:sz w:val="24"/>
          <w:szCs w:val="24"/>
          <w:u w:val="single"/>
        </w:rPr>
        <w:t xml:space="preserve"> Eurico Vitral Amaro</w:t>
      </w:r>
      <w:r w:rsidRPr="00B4525E">
        <w:rPr>
          <w:sz w:val="24"/>
          <w:szCs w:val="24"/>
          <w:u w:val="single"/>
        </w:rPr>
        <w:t>,</w:t>
      </w:r>
      <w:r>
        <w:rPr>
          <w:sz w:val="24"/>
          <w:szCs w:val="24"/>
          <w:u w:val="single"/>
        </w:rPr>
        <w:t xml:space="preserve"> red. p/ acórdão Min.</w:t>
      </w:r>
      <w:r w:rsidRPr="00934A05">
        <w:rPr>
          <w:sz w:val="24"/>
          <w:szCs w:val="24"/>
          <w:u w:val="single"/>
        </w:rPr>
        <w:t xml:space="preserve"> Renato de Lacerda Paiva</w:t>
      </w:r>
      <w:r>
        <w:rPr>
          <w:sz w:val="24"/>
          <w:szCs w:val="24"/>
          <w:u w:val="single"/>
        </w:rPr>
        <w:t>,</w:t>
      </w:r>
      <w:r w:rsidRPr="00B4525E">
        <w:rPr>
          <w:sz w:val="24"/>
          <w:szCs w:val="24"/>
          <w:u w:val="single"/>
        </w:rPr>
        <w:t xml:space="preserve"> </w:t>
      </w:r>
      <w:proofErr w:type="gramStart"/>
      <w:r>
        <w:rPr>
          <w:sz w:val="24"/>
          <w:szCs w:val="24"/>
          <w:u w:val="single"/>
        </w:rPr>
        <w:t>11.4.2019</w:t>
      </w:r>
      <w:proofErr w:type="gramEnd"/>
    </w:p>
    <w:p w:rsidR="007D2DB0" w:rsidRPr="007D2DB0" w:rsidRDefault="007D2DB0" w:rsidP="007D2DB0">
      <w:pPr>
        <w:jc w:val="both"/>
        <w:rPr>
          <w:u w:val="single"/>
        </w:rPr>
      </w:pPr>
    </w:p>
    <w:p w:rsidR="007D2DB0" w:rsidRPr="00B4525E" w:rsidRDefault="007D2DB0" w:rsidP="007D2DB0">
      <w:pPr>
        <w:jc w:val="both"/>
        <w:rPr>
          <w:b/>
          <w:i/>
          <w:sz w:val="24"/>
          <w:szCs w:val="24"/>
        </w:rPr>
      </w:pPr>
      <w:r w:rsidRPr="00452093">
        <w:rPr>
          <w:b/>
          <w:i/>
          <w:sz w:val="24"/>
          <w:szCs w:val="24"/>
        </w:rPr>
        <w:t>Ação civil pública. Tutela inibitória.</w:t>
      </w:r>
      <w:r>
        <w:rPr>
          <w:b/>
          <w:i/>
          <w:sz w:val="24"/>
          <w:szCs w:val="24"/>
        </w:rPr>
        <w:t xml:space="preserve"> Concessão. Juízo de probabilidade. Não submissão a marco temporal. Desnecessidade da presença de prévia violação de direito.</w:t>
      </w:r>
    </w:p>
    <w:p w:rsidR="007D2DB0" w:rsidRPr="00C92EF4" w:rsidRDefault="007D2DB0" w:rsidP="007D2DB0">
      <w:pPr>
        <w:pStyle w:val="Corpo"/>
        <w:tabs>
          <w:tab w:val="left" w:pos="2227"/>
        </w:tabs>
        <w:spacing w:line="240" w:lineRule="auto"/>
        <w:ind w:firstLine="0"/>
        <w:rPr>
          <w:rFonts w:ascii="Times New Roman" w:eastAsia="Calibri" w:hAnsi="Times New Roman" w:cs="Times New Roman"/>
          <w:color w:val="auto"/>
          <w:lang w:val="pt-BR" w:eastAsia="en-US"/>
        </w:rPr>
      </w:pPr>
      <w:r w:rsidRPr="00C92EF4">
        <w:rPr>
          <w:rFonts w:ascii="Times New Roman" w:eastAsia="Calibri" w:hAnsi="Times New Roman" w:cs="Times New Roman"/>
          <w:color w:val="auto"/>
          <w:lang w:val="pt-BR" w:eastAsia="en-US"/>
        </w:rPr>
        <w:t xml:space="preserve">A tutela inibitória possui natureza preventiva e seu objetivo é evitar a prática, a repetição ou a continuação do ilícito do qual, potencialmente, advirá o dano a direitos fundamentais. Ademais, como qualquer provimento jurisdicional que se volta para o futuro, a tutela inibitória não dispensa o julgador de efetuar um juízo de probabilidade, o qual, todavia, não se submete a um marco temporal, nem exige prévia violação de direito. No caso, a Turma não conheceu do recurso de revista do Ministério Público do Trabalho, adotando a fundamentação do TRT no sentido de que não é possível o acolhimento de tutela inibitória diante de situações hipotéticas e abstratas, nem quando ausentes elementos de prova que indiquem concretamente qualquer violação ou ameaça de violação de direitos, levando-se em consideração os instrumentos coletivos firmados pelas partes nos cinco anos anteriores ao ajuizamento da ação civil pública em que o Ministério Público do Trabalho requer que os sindicatos demandados se abstenham de instituir instrumentos coletivos com cláusulas contrárias aos direitos sociais dos trabalhadores. Sob esse entendimento, a SBDI-I, por maioria, conheceu dos embargos, por divergência jurisprudencial, e, no mérito, também por maioria, deu-lhes provimento para afastar o obstáculo imposto ao deferimento da tutela inibitória pleiteada e determinar o retorno dos autos à Turma de origem para exame da juridicidade das cláusulas impugnadas pelo Ministério Público do Trabalho, devendo os réus </w:t>
      </w:r>
      <w:proofErr w:type="gramStart"/>
      <w:r w:rsidRPr="00C92EF4">
        <w:rPr>
          <w:rFonts w:ascii="Times New Roman" w:eastAsia="Calibri" w:hAnsi="Times New Roman" w:cs="Times New Roman"/>
          <w:color w:val="auto"/>
          <w:lang w:val="pt-BR" w:eastAsia="en-US"/>
        </w:rPr>
        <w:t>serem</w:t>
      </w:r>
      <w:proofErr w:type="gramEnd"/>
      <w:r w:rsidRPr="00C92EF4">
        <w:rPr>
          <w:rFonts w:ascii="Times New Roman" w:eastAsia="Calibri" w:hAnsi="Times New Roman" w:cs="Times New Roman"/>
          <w:color w:val="auto"/>
          <w:lang w:val="pt-BR" w:eastAsia="en-US"/>
        </w:rPr>
        <w:t xml:space="preserve"> condenados a absterem-se de firmar cláusulas em instrumentos coletivos de conteúdo ilegal. Vencidos, no conhecimento, os Ministros Maria Cristina </w:t>
      </w:r>
      <w:proofErr w:type="spellStart"/>
      <w:r w:rsidRPr="00C92EF4">
        <w:rPr>
          <w:rFonts w:ascii="Times New Roman" w:eastAsia="Calibri" w:hAnsi="Times New Roman" w:cs="Times New Roman"/>
          <w:color w:val="auto"/>
          <w:lang w:val="pt-BR" w:eastAsia="en-US"/>
        </w:rPr>
        <w:t>Irigoyen</w:t>
      </w:r>
      <w:proofErr w:type="spellEnd"/>
      <w:r w:rsidRPr="00C92EF4">
        <w:rPr>
          <w:rFonts w:ascii="Times New Roman" w:eastAsia="Calibri" w:hAnsi="Times New Roman" w:cs="Times New Roman"/>
          <w:color w:val="auto"/>
          <w:lang w:val="pt-BR" w:eastAsia="en-US"/>
        </w:rPr>
        <w:t xml:space="preserve"> </w:t>
      </w:r>
      <w:proofErr w:type="spellStart"/>
      <w:r w:rsidRPr="00C92EF4">
        <w:rPr>
          <w:rFonts w:ascii="Times New Roman" w:eastAsia="Calibri" w:hAnsi="Times New Roman" w:cs="Times New Roman"/>
          <w:color w:val="auto"/>
          <w:lang w:val="pt-BR" w:eastAsia="en-US"/>
        </w:rPr>
        <w:t>Peduzzi</w:t>
      </w:r>
      <w:proofErr w:type="spellEnd"/>
      <w:r w:rsidRPr="00C92EF4">
        <w:rPr>
          <w:rFonts w:ascii="Times New Roman" w:eastAsia="Calibri" w:hAnsi="Times New Roman" w:cs="Times New Roman"/>
          <w:color w:val="auto"/>
          <w:lang w:val="pt-BR" w:eastAsia="en-US"/>
        </w:rPr>
        <w:t xml:space="preserve">, Márcio Eurico Vitral Amaro, Alexandre Luiz Ramos e Renato de Lacerda Paiva, e, no mérito, os Ministros Maria Cristina </w:t>
      </w:r>
      <w:proofErr w:type="spellStart"/>
      <w:r w:rsidRPr="00C92EF4">
        <w:rPr>
          <w:rFonts w:ascii="Times New Roman" w:eastAsia="Calibri" w:hAnsi="Times New Roman" w:cs="Times New Roman"/>
          <w:color w:val="auto"/>
          <w:lang w:val="pt-BR" w:eastAsia="en-US"/>
        </w:rPr>
        <w:t>Irigoyen</w:t>
      </w:r>
      <w:proofErr w:type="spellEnd"/>
      <w:r w:rsidRPr="00C92EF4">
        <w:rPr>
          <w:rFonts w:ascii="Times New Roman" w:eastAsia="Calibri" w:hAnsi="Times New Roman" w:cs="Times New Roman"/>
          <w:color w:val="auto"/>
          <w:lang w:val="pt-BR" w:eastAsia="en-US"/>
        </w:rPr>
        <w:t xml:space="preserve"> </w:t>
      </w:r>
      <w:proofErr w:type="spellStart"/>
      <w:r w:rsidRPr="00C92EF4">
        <w:rPr>
          <w:rFonts w:ascii="Times New Roman" w:eastAsia="Calibri" w:hAnsi="Times New Roman" w:cs="Times New Roman"/>
          <w:color w:val="auto"/>
          <w:lang w:val="pt-BR" w:eastAsia="en-US"/>
        </w:rPr>
        <w:t>Peduzzi</w:t>
      </w:r>
      <w:proofErr w:type="spellEnd"/>
      <w:r w:rsidRPr="00C92EF4">
        <w:rPr>
          <w:rFonts w:ascii="Times New Roman" w:eastAsia="Calibri" w:hAnsi="Times New Roman" w:cs="Times New Roman"/>
          <w:color w:val="auto"/>
          <w:lang w:val="pt-BR" w:eastAsia="en-US"/>
        </w:rPr>
        <w:t>, Márcio Eurico Vitral Amaro, Breno Medeiros, Alexandre Luiz Ramos e Renato de Lacerda Paiva.</w:t>
      </w:r>
      <w:r>
        <w:rPr>
          <w:rFonts w:ascii="Times New Roman" w:eastAsia="Calibri" w:hAnsi="Times New Roman" w:cs="Times New Roman"/>
          <w:color w:val="auto"/>
          <w:lang w:val="pt-BR" w:eastAsia="en-US"/>
        </w:rPr>
        <w:t xml:space="preserve"> </w:t>
      </w:r>
      <w:hyperlink r:id="rId15" w:history="1">
        <w:r w:rsidRPr="00A64ECB">
          <w:rPr>
            <w:rStyle w:val="Hyperlink"/>
            <w:rFonts w:ascii="Times New Roman" w:hAnsi="Times New Roman"/>
          </w:rPr>
          <w:t>TST-E-ED-RR-683900-65.2009.5.09.0024</w:t>
        </w:r>
      </w:hyperlink>
      <w:r w:rsidRPr="004B61F1">
        <w:rPr>
          <w:rFonts w:ascii="Times New Roman" w:hAnsi="Times New Roman"/>
          <w:u w:val="single"/>
        </w:rPr>
        <w:t>,</w:t>
      </w:r>
      <w:r w:rsidRPr="00B4525E">
        <w:rPr>
          <w:rFonts w:ascii="Times New Roman" w:hAnsi="Times New Roman"/>
          <w:u w:val="single"/>
        </w:rPr>
        <w:t xml:space="preserve"> SBDI-I, rel. Min. </w:t>
      </w:r>
      <w:r w:rsidRPr="004B61F1">
        <w:rPr>
          <w:rFonts w:ascii="Times New Roman" w:hAnsi="Times New Roman"/>
          <w:u w:val="single"/>
        </w:rPr>
        <w:t xml:space="preserve">Alberto </w:t>
      </w:r>
      <w:proofErr w:type="spellStart"/>
      <w:r w:rsidRPr="004B61F1">
        <w:rPr>
          <w:rFonts w:ascii="Times New Roman" w:hAnsi="Times New Roman"/>
          <w:u w:val="single"/>
        </w:rPr>
        <w:t>Luiz</w:t>
      </w:r>
      <w:proofErr w:type="spellEnd"/>
      <w:r w:rsidRPr="004B61F1">
        <w:rPr>
          <w:rFonts w:ascii="Times New Roman" w:hAnsi="Times New Roman"/>
          <w:u w:val="single"/>
        </w:rPr>
        <w:t xml:space="preserve"> </w:t>
      </w:r>
      <w:proofErr w:type="spellStart"/>
      <w:r w:rsidRPr="004B61F1">
        <w:rPr>
          <w:rFonts w:ascii="Times New Roman" w:hAnsi="Times New Roman"/>
          <w:u w:val="single"/>
        </w:rPr>
        <w:t>Bresciani</w:t>
      </w:r>
      <w:proofErr w:type="spellEnd"/>
      <w:r w:rsidRPr="004B61F1">
        <w:rPr>
          <w:rFonts w:ascii="Times New Roman" w:hAnsi="Times New Roman"/>
          <w:u w:val="single"/>
        </w:rPr>
        <w:t xml:space="preserve"> de </w:t>
      </w:r>
      <w:proofErr w:type="spellStart"/>
      <w:r w:rsidRPr="004B61F1">
        <w:rPr>
          <w:rFonts w:ascii="Times New Roman" w:hAnsi="Times New Roman"/>
          <w:u w:val="single"/>
        </w:rPr>
        <w:t>Fontan</w:t>
      </w:r>
      <w:proofErr w:type="spellEnd"/>
      <w:r w:rsidRPr="004B61F1">
        <w:rPr>
          <w:rFonts w:ascii="Times New Roman" w:hAnsi="Times New Roman"/>
          <w:u w:val="single"/>
        </w:rPr>
        <w:t xml:space="preserve"> Pereira</w:t>
      </w:r>
      <w:r w:rsidRPr="00B4525E">
        <w:rPr>
          <w:rFonts w:ascii="Times New Roman" w:hAnsi="Times New Roman"/>
          <w:u w:val="single"/>
        </w:rPr>
        <w:t xml:space="preserve">, </w:t>
      </w:r>
      <w:r>
        <w:rPr>
          <w:rFonts w:ascii="Times New Roman" w:hAnsi="Times New Roman"/>
          <w:u w:val="single"/>
        </w:rPr>
        <w:t>11.4.</w:t>
      </w:r>
      <w:r w:rsidRPr="00B4525E">
        <w:rPr>
          <w:rFonts w:ascii="Times New Roman" w:hAnsi="Times New Roman"/>
          <w:u w:val="single"/>
        </w:rPr>
        <w:t>201</w:t>
      </w:r>
      <w:r>
        <w:rPr>
          <w:rFonts w:ascii="Times New Roman" w:hAnsi="Times New Roman"/>
          <w:u w:val="single"/>
        </w:rPr>
        <w:t>9</w:t>
      </w:r>
      <w:r w:rsidRPr="00C92EF4">
        <w:rPr>
          <w:rFonts w:ascii="Times New Roman" w:eastAsia="Calibri" w:hAnsi="Times New Roman" w:cs="Times New Roman"/>
          <w:color w:val="auto"/>
          <w:lang w:val="pt-BR" w:eastAsia="en-US"/>
        </w:rPr>
        <w:t xml:space="preserve"> </w:t>
      </w:r>
    </w:p>
    <w:p w:rsidR="001E6C64" w:rsidRPr="007D2DB0" w:rsidRDefault="001E6C64" w:rsidP="00C850F8">
      <w:pPr>
        <w:suppressAutoHyphens/>
        <w:adjustRightInd w:val="0"/>
        <w:jc w:val="both"/>
        <w:rPr>
          <w:lang w:eastAsia="zh-CN"/>
        </w:rPr>
      </w:pPr>
    </w:p>
    <w:p w:rsidR="005E1BDB" w:rsidRPr="008420B2" w:rsidRDefault="005E1BDB" w:rsidP="005E1BDB">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8420B2">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II ESPECIALIZADA EM DISSÍDIOS INDIVIDUAIS</w:t>
      </w:r>
    </w:p>
    <w:p w:rsidR="00C850F8" w:rsidRPr="005E1BDB" w:rsidRDefault="00C850F8" w:rsidP="005E1BDB">
      <w:pPr>
        <w:jc w:val="both"/>
        <w:rPr>
          <w:rFonts w:eastAsia="Calibri"/>
          <w:b/>
          <w:i/>
        </w:rPr>
      </w:pPr>
    </w:p>
    <w:p w:rsidR="007D2DB0" w:rsidRPr="007D2DB0" w:rsidRDefault="007D2DB0" w:rsidP="007D2DB0">
      <w:pPr>
        <w:pStyle w:val="Identificao"/>
        <w:rPr>
          <w:rFonts w:ascii="Times New Roman" w:eastAsiaTheme="minorHAnsi" w:hAnsi="Times New Roman" w:cs="Times New Roman"/>
          <w:b/>
          <w:i/>
          <w:color w:val="auto"/>
          <w:lang w:val="pt-BR" w:eastAsia="en-US"/>
        </w:rPr>
      </w:pPr>
      <w:r w:rsidRPr="007D2DB0">
        <w:rPr>
          <w:rFonts w:ascii="Times New Roman" w:eastAsiaTheme="minorHAnsi" w:hAnsi="Times New Roman" w:cs="Times New Roman"/>
          <w:b/>
          <w:i/>
          <w:color w:val="auto"/>
          <w:lang w:val="pt-BR" w:eastAsia="en-US"/>
        </w:rPr>
        <w:t xml:space="preserve">Mandado de segurança. Cabimento. Ato coator que rejeita remição de dívida mesmo havendo pagamento em momento anterior à lavratura do auto de arrematação. Interpretação sistemática dos </w:t>
      </w:r>
      <w:proofErr w:type="spellStart"/>
      <w:r w:rsidRPr="007D2DB0">
        <w:rPr>
          <w:rFonts w:ascii="Times New Roman" w:eastAsiaTheme="minorHAnsi" w:hAnsi="Times New Roman" w:cs="Times New Roman"/>
          <w:b/>
          <w:i/>
          <w:color w:val="auto"/>
          <w:lang w:val="pt-BR" w:eastAsia="en-US"/>
        </w:rPr>
        <w:t>arts</w:t>
      </w:r>
      <w:proofErr w:type="spellEnd"/>
      <w:r w:rsidRPr="007D2DB0">
        <w:rPr>
          <w:rFonts w:ascii="Times New Roman" w:eastAsiaTheme="minorHAnsi" w:hAnsi="Times New Roman" w:cs="Times New Roman"/>
          <w:b/>
          <w:i/>
          <w:color w:val="auto"/>
          <w:lang w:val="pt-BR" w:eastAsia="en-US"/>
        </w:rPr>
        <w:t xml:space="preserve">. 304 e 305 do CC e 903 do CPC de 2015. Direito líquido e certo à remição. Configuração. Orientação Jurisprudencial nº 92 da SBDI-II. Não incidência. </w:t>
      </w:r>
    </w:p>
    <w:p w:rsidR="007D2DB0" w:rsidRPr="007D2DB0" w:rsidRDefault="007D2DB0" w:rsidP="007D2DB0">
      <w:pPr>
        <w:pStyle w:val="Identificao"/>
        <w:rPr>
          <w:rFonts w:ascii="Times New Roman" w:hAnsi="Times New Roman" w:cs="Times New Roman"/>
          <w:color w:val="auto"/>
          <w:lang w:val="pt-BR"/>
        </w:rPr>
      </w:pPr>
      <w:r w:rsidRPr="007D2DB0">
        <w:rPr>
          <w:rFonts w:ascii="Times New Roman" w:hAnsi="Times New Roman" w:cs="Times New Roman"/>
          <w:color w:val="auto"/>
          <w:lang w:val="pt-BR"/>
        </w:rPr>
        <w:t xml:space="preserve">Cabe mandado de segurança para impugnar decisão que indeferiu o pedido de remição de dívida formulado por terceiro juridicamente interessado. A interpretação sistemática dos </w:t>
      </w:r>
      <w:proofErr w:type="spellStart"/>
      <w:r w:rsidRPr="007D2DB0">
        <w:rPr>
          <w:rFonts w:ascii="Times New Roman" w:hAnsi="Times New Roman" w:cs="Times New Roman"/>
          <w:color w:val="auto"/>
          <w:lang w:val="pt-BR"/>
        </w:rPr>
        <w:t>arts</w:t>
      </w:r>
      <w:proofErr w:type="spellEnd"/>
      <w:r w:rsidRPr="007D2DB0">
        <w:rPr>
          <w:rFonts w:ascii="Times New Roman" w:hAnsi="Times New Roman" w:cs="Times New Roman"/>
          <w:color w:val="auto"/>
          <w:lang w:val="pt-BR"/>
        </w:rPr>
        <w:t xml:space="preserve">. 304 e 305 do CC e 826 e 903 do CPC de 2015, que disciplinam a remição de dívida, evidencia que qualquer pessoa pode pagá-la, seja ela juridicamente interessada ou não, desde que efetue o pagamento ou a consignação antes da lavratura do auto de arrematação pelo magistrado. Na espécie, o </w:t>
      </w:r>
      <w:r w:rsidRPr="007D2DB0">
        <w:rPr>
          <w:rFonts w:ascii="Times New Roman" w:hAnsi="Times New Roman" w:cs="Times New Roman"/>
          <w:color w:val="auto"/>
          <w:lang w:val="pt-BR"/>
        </w:rPr>
        <w:lastRenderedPageBreak/>
        <w:t xml:space="preserve">indeferimento do pedido de remição ocorreu porque o Juízo da execução entendeu que a impetrante seria parte ilegítima para remir a dívida, tendo em vista a improcedência dos embargos de terceiros pela ausência de comprovação da propriedade do bem arrematado. Todavia, revelou-se evidente a condição de terceiro interessado da impetrante por ser a legitima possuidora do imóvel há mais de dezesseis anos, nele desenvolvendo diversas atividades comerciais. Ademais, a discussão em torno da propriedade do bem e da legitimidade no feito não alcança a remição de dívida, para a qual não se exige nenhuma outra condição além do pagamento antes da assinatura do auto de arrematação, hipótese dos autos. Assim, a certeza e a liquidez do direito da impetrante à quitação da dívida e a iminente possibilidade de perda da posse do imóvel, resultando em incontestável prejuízo à atividade econômica nele desenvolvida, autorizam o ajuizamento do mandado de segurança sem o exaurimento das vias processuais próprias. Sob esses fundamentos, e afastando a incidência da Orientação Jurisprudencial nº 92 da SBDI-II ao caso, a SBDI-II, por unanimidade, conheceu do recurso ordinário e, no mérito, por maioria, negou-lhe provimento para manter a decisão do Tribunal Regional que concedera a segurança para suspender os efeitos da decisão que indeferiu a remição da dívida trabalhista e reconhecer a empresa impetrante como terceira legitimamente interessada. Vencido o Ministro Renato de Lacerda Paiva. </w:t>
      </w:r>
      <w:hyperlink r:id="rId16" w:history="1">
        <w:r w:rsidRPr="007D2DB0">
          <w:rPr>
            <w:rStyle w:val="Hyperlink"/>
            <w:rFonts w:ascii="Times New Roman" w:hAnsi="Times New Roman"/>
            <w:lang w:val="pt-BR"/>
          </w:rPr>
          <w:t>TST-RO-24089-40.2016.5.24.0000</w:t>
        </w:r>
      </w:hyperlink>
      <w:r w:rsidRPr="007D2DB0">
        <w:rPr>
          <w:rFonts w:ascii="Times New Roman" w:hAnsi="Times New Roman" w:cs="Times New Roman"/>
          <w:color w:val="auto"/>
          <w:u w:val="single"/>
          <w:lang w:val="pt-BR"/>
        </w:rPr>
        <w:t xml:space="preserve">, SBDI-II, rel. Min. Alexandre de Souza Agra Belmonte, </w:t>
      </w:r>
      <w:proofErr w:type="gramStart"/>
      <w:r w:rsidRPr="007D2DB0">
        <w:rPr>
          <w:rFonts w:ascii="Times New Roman" w:hAnsi="Times New Roman" w:cs="Times New Roman"/>
          <w:color w:val="auto"/>
          <w:u w:val="single"/>
          <w:lang w:val="pt-BR"/>
        </w:rPr>
        <w:t>9.4.2019</w:t>
      </w:r>
      <w:proofErr w:type="gramEnd"/>
    </w:p>
    <w:p w:rsidR="0041353C" w:rsidRDefault="0041353C" w:rsidP="00EC04A5">
      <w:pPr>
        <w:jc w:val="both"/>
        <w:rPr>
          <w:u w:val="single"/>
        </w:rPr>
      </w:pPr>
    </w:p>
    <w:p w:rsidR="005E1BDB" w:rsidRDefault="005E1BDB" w:rsidP="00EC04A5">
      <w:pPr>
        <w:jc w:val="both"/>
        <w:rPr>
          <w:u w:val="single"/>
        </w:rPr>
      </w:pPr>
    </w:p>
    <w:p w:rsidR="005E1BDB" w:rsidRDefault="005E1BDB" w:rsidP="00EC04A5">
      <w:pPr>
        <w:jc w:val="both"/>
        <w:rPr>
          <w:u w:val="single"/>
        </w:rPr>
      </w:pPr>
    </w:p>
    <w:p w:rsidR="0041353C" w:rsidRPr="002834D2" w:rsidRDefault="0041353C" w:rsidP="00EC04A5">
      <w:pPr>
        <w:jc w:val="both"/>
        <w:rPr>
          <w:u w:val="single"/>
        </w:rPr>
      </w:pPr>
    </w:p>
    <w:p w:rsidR="006D0B48" w:rsidRPr="00020CD0" w:rsidRDefault="006D0B48" w:rsidP="00C6738C">
      <w:pPr>
        <w:rPr>
          <w:sz w:val="10"/>
          <w:szCs w:val="10"/>
        </w:rPr>
      </w:pP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020CD0">
        <w:rPr>
          <w:b w:val="0"/>
          <w:bCs w:val="0"/>
          <w:snapToGrid w:val="0"/>
          <w:sz w:val="25"/>
          <w:szCs w:val="25"/>
        </w:rPr>
        <w:t xml:space="preserve">Informativo TST é mantido pela </w:t>
      </w:r>
    </w:p>
    <w:p w:rsidR="0018459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020CD0">
        <w:rPr>
          <w:b w:val="0"/>
          <w:bCs w:val="0"/>
          <w:snapToGrid w:val="0"/>
          <w:sz w:val="25"/>
          <w:szCs w:val="25"/>
        </w:rPr>
        <w:t>Coordenadoria de Jurisprudência – CJUR</w:t>
      </w:r>
    </w:p>
    <w:p w:rsidR="007F02D5"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614F1"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Informações/Sugestões/Críticas: (61)3043</w:t>
      </w:r>
      <w:r w:rsidR="00352B27" w:rsidRPr="00020CD0">
        <w:rPr>
          <w:snapToGrid w:val="0"/>
          <w:sz w:val="25"/>
          <w:szCs w:val="25"/>
        </w:rPr>
        <w:t>-</w:t>
      </w:r>
      <w:r w:rsidRPr="00020CD0">
        <w:rPr>
          <w:snapToGrid w:val="0"/>
          <w:sz w:val="25"/>
          <w:szCs w:val="25"/>
        </w:rPr>
        <w:t>4</w:t>
      </w:r>
      <w:r w:rsidR="000303C3">
        <w:rPr>
          <w:snapToGrid w:val="0"/>
          <w:sz w:val="25"/>
          <w:szCs w:val="25"/>
        </w:rPr>
        <w:t>612</w:t>
      </w:r>
      <w:r w:rsidR="007F02D5">
        <w:rPr>
          <w:snapToGrid w:val="0"/>
          <w:sz w:val="25"/>
          <w:szCs w:val="25"/>
        </w:rPr>
        <w:t xml:space="preserve"> ou </w:t>
      </w:r>
      <w:hyperlink r:id="rId17" w:history="1">
        <w:r w:rsidR="005F0522" w:rsidRPr="00AC667D">
          <w:rPr>
            <w:rStyle w:val="Hyperlink"/>
            <w:snapToGrid w:val="0"/>
            <w:sz w:val="25"/>
            <w:szCs w:val="25"/>
          </w:rPr>
          <w:t>cjur@tst.jus.br</w:t>
        </w:r>
      </w:hyperlink>
    </w:p>
    <w:p w:rsidR="007F02D5"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F02D5"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Pr>
          <w:snapToGrid w:val="0"/>
          <w:sz w:val="25"/>
          <w:szCs w:val="25"/>
        </w:rPr>
        <w:t xml:space="preserve">Para acessar todas as edições: </w:t>
      </w:r>
      <w:hyperlink r:id="rId18" w:history="1">
        <w:r w:rsidRPr="00AC667D">
          <w:rPr>
            <w:rStyle w:val="Hyperlink"/>
            <w:snapToGrid w:val="0"/>
            <w:sz w:val="25"/>
            <w:szCs w:val="25"/>
          </w:rPr>
          <w:t>http://www.tst.jus.br/informativos</w:t>
        </w:r>
      </w:hyperlink>
    </w:p>
    <w:p w:rsidR="009E534D"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9E534D"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Pr>
          <w:snapToGrid w:val="0"/>
          <w:sz w:val="25"/>
          <w:szCs w:val="25"/>
        </w:rPr>
        <w:t xml:space="preserve">Para receber via </w:t>
      </w:r>
      <w:r w:rsidRPr="005E18BC">
        <w:rPr>
          <w:i/>
          <w:snapToGrid w:val="0"/>
          <w:sz w:val="25"/>
          <w:szCs w:val="25"/>
        </w:rPr>
        <w:t>e-mail</w:t>
      </w:r>
      <w:r>
        <w:rPr>
          <w:snapToGrid w:val="0"/>
          <w:sz w:val="25"/>
          <w:szCs w:val="25"/>
        </w:rPr>
        <w:t xml:space="preserve">: </w:t>
      </w:r>
      <w:hyperlink r:id="rId19" w:history="1">
        <w:r w:rsidRPr="00AC667D">
          <w:rPr>
            <w:rStyle w:val="Hyperlink"/>
            <w:snapToGrid w:val="0"/>
            <w:sz w:val="25"/>
            <w:szCs w:val="25"/>
          </w:rPr>
          <w:t>http://www.tst.jus.br/push</w:t>
        </w:r>
      </w:hyperlink>
    </w:p>
    <w:p w:rsidR="009E534D" w:rsidRPr="00020CD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sectPr w:rsidR="009E534D" w:rsidRPr="00020CD0" w:rsidSect="00D11B24">
      <w:headerReference w:type="default" r:id="rId20"/>
      <w:footerReference w:type="default" r:id="rId21"/>
      <w:headerReference w:type="first" r:id="rId22"/>
      <w:footerReference w:type="first" r:id="rId23"/>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B0" w:rsidRDefault="007D2DB0">
      <w:r>
        <w:separator/>
      </w:r>
    </w:p>
  </w:endnote>
  <w:endnote w:type="continuationSeparator" w:id="0">
    <w:p w:rsidR="007D2DB0" w:rsidRDefault="007D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B0" w:rsidRDefault="007D2DB0">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463D">
      <w:rPr>
        <w:rStyle w:val="Nmerodepgina"/>
        <w:noProof/>
      </w:rPr>
      <w:t>3</w:t>
    </w:r>
    <w:r>
      <w:rPr>
        <w:rStyle w:val="Nmerodepgina"/>
      </w:rPr>
      <w:fldChar w:fldCharType="end"/>
    </w:r>
  </w:p>
  <w:p w:rsidR="007D2DB0" w:rsidRDefault="007D2DB0">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B0" w:rsidRDefault="007D2DB0">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5B6F6A">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B0" w:rsidRDefault="007D2DB0">
      <w:r>
        <w:separator/>
      </w:r>
    </w:p>
  </w:footnote>
  <w:footnote w:type="continuationSeparator" w:id="0">
    <w:p w:rsidR="007D2DB0" w:rsidRDefault="007D2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B0" w:rsidRPr="008420B2" w:rsidRDefault="007D2DB0">
    <w:pPr>
      <w:pStyle w:val="Corpodetexto"/>
      <w:jc w:val="right"/>
      <w:rPr>
        <w:sz w:val="24"/>
        <w:szCs w:val="24"/>
        <w14:shadow w14:blurRad="50800" w14:dist="38100" w14:dir="2700000" w14:sx="100000" w14:sy="100000" w14:kx="0" w14:ky="0" w14:algn="tl">
          <w14:srgbClr w14:val="000000">
            <w14:alpha w14:val="60000"/>
          </w14:srgbClr>
        </w14:shadow>
      </w:rPr>
    </w:pPr>
    <w:r w:rsidRPr="008420B2">
      <w:rPr>
        <w:sz w:val="24"/>
        <w:szCs w:val="24"/>
        <w14:shadow w14:blurRad="50800" w14:dist="38100" w14:dir="2700000" w14:sx="100000" w14:sy="100000" w14:kx="0" w14:ky="0" w14:algn="tl">
          <w14:srgbClr w14:val="000000">
            <w14:alpha w14:val="60000"/>
          </w14:srgbClr>
        </w14:shadow>
      </w:rPr>
      <w:t>Informativo TST - nº 19</w:t>
    </w:r>
    <w:r>
      <w:rPr>
        <w:sz w:val="24"/>
        <w:szCs w:val="24"/>
        <w14:shadow w14:blurRad="50800" w14:dist="38100" w14:dir="2700000" w14:sx="100000" w14:sy="100000" w14:kx="0" w14:ky="0" w14:algn="tl">
          <w14:srgbClr w14:val="000000">
            <w14:alpha w14:val="60000"/>
          </w14:srgbClr>
        </w14:shadow>
      </w:rPr>
      <w:t>4</w:t>
    </w:r>
  </w:p>
  <w:p w:rsidR="007D2DB0" w:rsidRDefault="007D2DB0"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14:anchorId="601A9BFB" wp14:editId="77DED30F">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Pr="003C0554">
      <w:rPr>
        <w:iCs/>
      </w:rPr>
      <w:t xml:space="preserve"> </w:t>
    </w:r>
    <w:r>
      <w:rPr>
        <w:i/>
        <w:iCs/>
      </w:rPr>
      <w:t>Período: 2 a 16 de abril de 2019</w:t>
    </w:r>
  </w:p>
  <w:p w:rsidR="007D2DB0" w:rsidRPr="005D1DE4" w:rsidRDefault="007D2DB0"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B0" w:rsidRDefault="007D2DB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Pr>
        <w:noProof/>
      </w:rPr>
      <w:drawing>
        <wp:inline distT="0" distB="0" distL="0" distR="0" wp14:anchorId="0899A0C8" wp14:editId="08B9C6F7">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7D2DB0" w:rsidRPr="002168DE" w:rsidRDefault="007D2DB0"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 xml:space="preserve">194 </w:t>
    </w:r>
  </w:p>
  <w:p w:rsidR="007D2DB0" w:rsidRPr="005D1DE4" w:rsidRDefault="007D2DB0">
    <w:pPr>
      <w:pStyle w:val="Cabealho"/>
      <w:jc w:val="right"/>
      <w:rPr>
        <w:i/>
        <w:iCs/>
        <w:sz w:val="10"/>
        <w:szCs w:val="10"/>
      </w:rPr>
    </w:pPr>
  </w:p>
  <w:p w:rsidR="007D2DB0" w:rsidRDefault="007D2DB0" w:rsidP="009A16E8">
    <w:pPr>
      <w:pStyle w:val="Cabealho"/>
      <w:jc w:val="right"/>
      <w:rPr>
        <w:i/>
        <w:iCs/>
      </w:rPr>
    </w:pPr>
    <w:r>
      <w:rPr>
        <w:i/>
        <w:iCs/>
      </w:rPr>
      <w:t>Período: 2 a 16 de abril de 2019</w:t>
    </w:r>
  </w:p>
  <w:p w:rsidR="007D2DB0" w:rsidRDefault="007D2DB0"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20CD0"/>
    <w:rsid w:val="00021967"/>
    <w:rsid w:val="000228E6"/>
    <w:rsid w:val="000249BA"/>
    <w:rsid w:val="00024CE9"/>
    <w:rsid w:val="000303C3"/>
    <w:rsid w:val="00032056"/>
    <w:rsid w:val="000322FB"/>
    <w:rsid w:val="000332F1"/>
    <w:rsid w:val="00034034"/>
    <w:rsid w:val="00040BBC"/>
    <w:rsid w:val="000425FC"/>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58FB"/>
    <w:rsid w:val="0009237D"/>
    <w:rsid w:val="00093AE9"/>
    <w:rsid w:val="00093BA8"/>
    <w:rsid w:val="00094103"/>
    <w:rsid w:val="00095471"/>
    <w:rsid w:val="000A04E6"/>
    <w:rsid w:val="000A2745"/>
    <w:rsid w:val="000A4C94"/>
    <w:rsid w:val="000A6DDE"/>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106A93"/>
    <w:rsid w:val="0011575C"/>
    <w:rsid w:val="0011692E"/>
    <w:rsid w:val="00122C2A"/>
    <w:rsid w:val="001257D7"/>
    <w:rsid w:val="001365EE"/>
    <w:rsid w:val="00136E86"/>
    <w:rsid w:val="00137564"/>
    <w:rsid w:val="00137DC1"/>
    <w:rsid w:val="00141630"/>
    <w:rsid w:val="00142C28"/>
    <w:rsid w:val="00152238"/>
    <w:rsid w:val="0015612D"/>
    <w:rsid w:val="00161CDE"/>
    <w:rsid w:val="00161E91"/>
    <w:rsid w:val="00163142"/>
    <w:rsid w:val="001648F5"/>
    <w:rsid w:val="00167E80"/>
    <w:rsid w:val="00176D15"/>
    <w:rsid w:val="0018296E"/>
    <w:rsid w:val="00183803"/>
    <w:rsid w:val="00184590"/>
    <w:rsid w:val="0018640B"/>
    <w:rsid w:val="00187A37"/>
    <w:rsid w:val="00187BEF"/>
    <w:rsid w:val="0019151D"/>
    <w:rsid w:val="001920CD"/>
    <w:rsid w:val="00193208"/>
    <w:rsid w:val="001932B7"/>
    <w:rsid w:val="00194264"/>
    <w:rsid w:val="00197B15"/>
    <w:rsid w:val="001B025A"/>
    <w:rsid w:val="001B2C08"/>
    <w:rsid w:val="001C04D2"/>
    <w:rsid w:val="001C21FB"/>
    <w:rsid w:val="001C271F"/>
    <w:rsid w:val="001C5885"/>
    <w:rsid w:val="001C6C93"/>
    <w:rsid w:val="001D4CF9"/>
    <w:rsid w:val="001D4E17"/>
    <w:rsid w:val="001D550B"/>
    <w:rsid w:val="001D5AB0"/>
    <w:rsid w:val="001D6AC9"/>
    <w:rsid w:val="001D757D"/>
    <w:rsid w:val="001E14A9"/>
    <w:rsid w:val="001E14BB"/>
    <w:rsid w:val="001E3B29"/>
    <w:rsid w:val="001E4B57"/>
    <w:rsid w:val="001E5BD1"/>
    <w:rsid w:val="001E6C64"/>
    <w:rsid w:val="001E713B"/>
    <w:rsid w:val="001E79B4"/>
    <w:rsid w:val="001F030F"/>
    <w:rsid w:val="001F2F34"/>
    <w:rsid w:val="001F45E0"/>
    <w:rsid w:val="001F58BD"/>
    <w:rsid w:val="001F689A"/>
    <w:rsid w:val="00200A8C"/>
    <w:rsid w:val="002017D2"/>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A22"/>
    <w:rsid w:val="00266D49"/>
    <w:rsid w:val="00271C5C"/>
    <w:rsid w:val="00271E67"/>
    <w:rsid w:val="002730B5"/>
    <w:rsid w:val="0027659F"/>
    <w:rsid w:val="002766D5"/>
    <w:rsid w:val="0027684A"/>
    <w:rsid w:val="00276EA0"/>
    <w:rsid w:val="00280594"/>
    <w:rsid w:val="00282620"/>
    <w:rsid w:val="002834D2"/>
    <w:rsid w:val="00285064"/>
    <w:rsid w:val="00287917"/>
    <w:rsid w:val="00287D4A"/>
    <w:rsid w:val="002900D2"/>
    <w:rsid w:val="002930E4"/>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137EF"/>
    <w:rsid w:val="003200A0"/>
    <w:rsid w:val="00322F7A"/>
    <w:rsid w:val="0033397A"/>
    <w:rsid w:val="003339E9"/>
    <w:rsid w:val="00340D16"/>
    <w:rsid w:val="00340E8D"/>
    <w:rsid w:val="00342846"/>
    <w:rsid w:val="003503FC"/>
    <w:rsid w:val="00350ED0"/>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6053"/>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F2078"/>
    <w:rsid w:val="003F5EA7"/>
    <w:rsid w:val="004034A8"/>
    <w:rsid w:val="0040506F"/>
    <w:rsid w:val="0041011C"/>
    <w:rsid w:val="0041353C"/>
    <w:rsid w:val="004163E7"/>
    <w:rsid w:val="004166C3"/>
    <w:rsid w:val="00416D9A"/>
    <w:rsid w:val="00420228"/>
    <w:rsid w:val="00423641"/>
    <w:rsid w:val="0042772A"/>
    <w:rsid w:val="004323B0"/>
    <w:rsid w:val="00437995"/>
    <w:rsid w:val="0044014F"/>
    <w:rsid w:val="00444E88"/>
    <w:rsid w:val="004477EC"/>
    <w:rsid w:val="00450BAD"/>
    <w:rsid w:val="00454078"/>
    <w:rsid w:val="00454245"/>
    <w:rsid w:val="0045657C"/>
    <w:rsid w:val="00456B0F"/>
    <w:rsid w:val="00457A40"/>
    <w:rsid w:val="004655CC"/>
    <w:rsid w:val="00466DB9"/>
    <w:rsid w:val="004672FC"/>
    <w:rsid w:val="0047004F"/>
    <w:rsid w:val="00470EF8"/>
    <w:rsid w:val="004731B7"/>
    <w:rsid w:val="0047749E"/>
    <w:rsid w:val="00486521"/>
    <w:rsid w:val="00486DFC"/>
    <w:rsid w:val="004922D6"/>
    <w:rsid w:val="00494DD1"/>
    <w:rsid w:val="004A094C"/>
    <w:rsid w:val="004A1432"/>
    <w:rsid w:val="004A14FC"/>
    <w:rsid w:val="004A5264"/>
    <w:rsid w:val="004A5908"/>
    <w:rsid w:val="004A7C59"/>
    <w:rsid w:val="004B21AD"/>
    <w:rsid w:val="004B63FB"/>
    <w:rsid w:val="004C011C"/>
    <w:rsid w:val="004C14EA"/>
    <w:rsid w:val="004C2118"/>
    <w:rsid w:val="004C2612"/>
    <w:rsid w:val="004C749C"/>
    <w:rsid w:val="004C759F"/>
    <w:rsid w:val="004D6000"/>
    <w:rsid w:val="004D60CD"/>
    <w:rsid w:val="004D6415"/>
    <w:rsid w:val="004D697F"/>
    <w:rsid w:val="004D71E8"/>
    <w:rsid w:val="004E393E"/>
    <w:rsid w:val="004E39DA"/>
    <w:rsid w:val="004E4507"/>
    <w:rsid w:val="004E4619"/>
    <w:rsid w:val="004F0A7D"/>
    <w:rsid w:val="004F5040"/>
    <w:rsid w:val="005059F5"/>
    <w:rsid w:val="00513789"/>
    <w:rsid w:val="0051538E"/>
    <w:rsid w:val="00517E01"/>
    <w:rsid w:val="005208C8"/>
    <w:rsid w:val="00521EEC"/>
    <w:rsid w:val="00530B90"/>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B6F6A"/>
    <w:rsid w:val="005C12EE"/>
    <w:rsid w:val="005C1886"/>
    <w:rsid w:val="005C761E"/>
    <w:rsid w:val="005D0E5F"/>
    <w:rsid w:val="005D1DE4"/>
    <w:rsid w:val="005E18BC"/>
    <w:rsid w:val="005E1BDB"/>
    <w:rsid w:val="005E35BD"/>
    <w:rsid w:val="005E3D4D"/>
    <w:rsid w:val="005E3F64"/>
    <w:rsid w:val="005E60E9"/>
    <w:rsid w:val="005E7FD1"/>
    <w:rsid w:val="005F0522"/>
    <w:rsid w:val="005F0545"/>
    <w:rsid w:val="005F2858"/>
    <w:rsid w:val="005F52AB"/>
    <w:rsid w:val="006002E3"/>
    <w:rsid w:val="00602FF7"/>
    <w:rsid w:val="0060683F"/>
    <w:rsid w:val="006145AC"/>
    <w:rsid w:val="00615F98"/>
    <w:rsid w:val="006207F5"/>
    <w:rsid w:val="00621CAC"/>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022"/>
    <w:rsid w:val="0070727E"/>
    <w:rsid w:val="007101D6"/>
    <w:rsid w:val="00710D3A"/>
    <w:rsid w:val="0071315F"/>
    <w:rsid w:val="00720057"/>
    <w:rsid w:val="00721942"/>
    <w:rsid w:val="00722BE7"/>
    <w:rsid w:val="00723134"/>
    <w:rsid w:val="00730CC7"/>
    <w:rsid w:val="00732DF2"/>
    <w:rsid w:val="007403B3"/>
    <w:rsid w:val="00750B85"/>
    <w:rsid w:val="007568FD"/>
    <w:rsid w:val="007614F1"/>
    <w:rsid w:val="007618C5"/>
    <w:rsid w:val="00764066"/>
    <w:rsid w:val="00766B7B"/>
    <w:rsid w:val="0077600F"/>
    <w:rsid w:val="007760AE"/>
    <w:rsid w:val="00776118"/>
    <w:rsid w:val="00781C77"/>
    <w:rsid w:val="00790F13"/>
    <w:rsid w:val="00793A1C"/>
    <w:rsid w:val="00796745"/>
    <w:rsid w:val="007A28FF"/>
    <w:rsid w:val="007A4009"/>
    <w:rsid w:val="007A4F78"/>
    <w:rsid w:val="007A7125"/>
    <w:rsid w:val="007B0F83"/>
    <w:rsid w:val="007B5D65"/>
    <w:rsid w:val="007C0A4F"/>
    <w:rsid w:val="007D0081"/>
    <w:rsid w:val="007D19FC"/>
    <w:rsid w:val="007D29A1"/>
    <w:rsid w:val="007D2B4E"/>
    <w:rsid w:val="007D2DB0"/>
    <w:rsid w:val="007D2EE9"/>
    <w:rsid w:val="007D469A"/>
    <w:rsid w:val="007D6D94"/>
    <w:rsid w:val="007D6F8C"/>
    <w:rsid w:val="007E094E"/>
    <w:rsid w:val="007E0EA7"/>
    <w:rsid w:val="007E26A1"/>
    <w:rsid w:val="007E37B1"/>
    <w:rsid w:val="007E3F23"/>
    <w:rsid w:val="007E53A4"/>
    <w:rsid w:val="007F02D5"/>
    <w:rsid w:val="007F142E"/>
    <w:rsid w:val="007F289C"/>
    <w:rsid w:val="007F2BBE"/>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409D3"/>
    <w:rsid w:val="008420B2"/>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184"/>
    <w:rsid w:val="008E2AE5"/>
    <w:rsid w:val="008E3CCE"/>
    <w:rsid w:val="008E3F89"/>
    <w:rsid w:val="008F26CB"/>
    <w:rsid w:val="008F36EC"/>
    <w:rsid w:val="008F3D95"/>
    <w:rsid w:val="008F6509"/>
    <w:rsid w:val="008F79D9"/>
    <w:rsid w:val="009027C8"/>
    <w:rsid w:val="00910EEF"/>
    <w:rsid w:val="00920B0C"/>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41D"/>
    <w:rsid w:val="009A5D37"/>
    <w:rsid w:val="009A610E"/>
    <w:rsid w:val="009A6BD9"/>
    <w:rsid w:val="009B289E"/>
    <w:rsid w:val="009B320F"/>
    <w:rsid w:val="009B6012"/>
    <w:rsid w:val="009B6455"/>
    <w:rsid w:val="009C0EBA"/>
    <w:rsid w:val="009C102D"/>
    <w:rsid w:val="009C2A4F"/>
    <w:rsid w:val="009C4834"/>
    <w:rsid w:val="009D10FB"/>
    <w:rsid w:val="009D1BDE"/>
    <w:rsid w:val="009D232F"/>
    <w:rsid w:val="009D312C"/>
    <w:rsid w:val="009D4C59"/>
    <w:rsid w:val="009D7F91"/>
    <w:rsid w:val="009E20EF"/>
    <w:rsid w:val="009E26EE"/>
    <w:rsid w:val="009E534D"/>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51749"/>
    <w:rsid w:val="00A521B6"/>
    <w:rsid w:val="00A56962"/>
    <w:rsid w:val="00A62DD3"/>
    <w:rsid w:val="00A6382F"/>
    <w:rsid w:val="00A6412C"/>
    <w:rsid w:val="00A72FAF"/>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6E76"/>
    <w:rsid w:val="00AE3EAA"/>
    <w:rsid w:val="00AE5EDF"/>
    <w:rsid w:val="00AE758A"/>
    <w:rsid w:val="00AF77DF"/>
    <w:rsid w:val="00B03BC8"/>
    <w:rsid w:val="00B06261"/>
    <w:rsid w:val="00B06914"/>
    <w:rsid w:val="00B108BA"/>
    <w:rsid w:val="00B108E6"/>
    <w:rsid w:val="00B12273"/>
    <w:rsid w:val="00B13F59"/>
    <w:rsid w:val="00B14F7F"/>
    <w:rsid w:val="00B16EB9"/>
    <w:rsid w:val="00B22F24"/>
    <w:rsid w:val="00B22F53"/>
    <w:rsid w:val="00B24DBE"/>
    <w:rsid w:val="00B335D5"/>
    <w:rsid w:val="00B34EB2"/>
    <w:rsid w:val="00B408DE"/>
    <w:rsid w:val="00B4728A"/>
    <w:rsid w:val="00B517C3"/>
    <w:rsid w:val="00B518B2"/>
    <w:rsid w:val="00B526EA"/>
    <w:rsid w:val="00B5311A"/>
    <w:rsid w:val="00B536FE"/>
    <w:rsid w:val="00B55AB4"/>
    <w:rsid w:val="00B60670"/>
    <w:rsid w:val="00B645E4"/>
    <w:rsid w:val="00B73FFA"/>
    <w:rsid w:val="00B74A6E"/>
    <w:rsid w:val="00B82CC4"/>
    <w:rsid w:val="00B838C3"/>
    <w:rsid w:val="00B85AF5"/>
    <w:rsid w:val="00B86218"/>
    <w:rsid w:val="00B874F1"/>
    <w:rsid w:val="00B877E0"/>
    <w:rsid w:val="00B91001"/>
    <w:rsid w:val="00B95963"/>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07598"/>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1DAD"/>
    <w:rsid w:val="00C65BDB"/>
    <w:rsid w:val="00C66C95"/>
    <w:rsid w:val="00C6738C"/>
    <w:rsid w:val="00C71A3B"/>
    <w:rsid w:val="00C757CC"/>
    <w:rsid w:val="00C76CFA"/>
    <w:rsid w:val="00C819C8"/>
    <w:rsid w:val="00C84A53"/>
    <w:rsid w:val="00C850F8"/>
    <w:rsid w:val="00C8747B"/>
    <w:rsid w:val="00C87D5B"/>
    <w:rsid w:val="00C92A5A"/>
    <w:rsid w:val="00C94FF6"/>
    <w:rsid w:val="00C963F8"/>
    <w:rsid w:val="00C96BB1"/>
    <w:rsid w:val="00CA2F80"/>
    <w:rsid w:val="00CA3ECF"/>
    <w:rsid w:val="00CB0C2A"/>
    <w:rsid w:val="00CB3B98"/>
    <w:rsid w:val="00CB7D7E"/>
    <w:rsid w:val="00CC22E1"/>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890"/>
    <w:rsid w:val="00D41D4E"/>
    <w:rsid w:val="00D420E2"/>
    <w:rsid w:val="00D42248"/>
    <w:rsid w:val="00D4459D"/>
    <w:rsid w:val="00D44B24"/>
    <w:rsid w:val="00D52863"/>
    <w:rsid w:val="00D570E4"/>
    <w:rsid w:val="00D573F9"/>
    <w:rsid w:val="00D60532"/>
    <w:rsid w:val="00D6058B"/>
    <w:rsid w:val="00D608E5"/>
    <w:rsid w:val="00D62D9E"/>
    <w:rsid w:val="00D63EC5"/>
    <w:rsid w:val="00D6459D"/>
    <w:rsid w:val="00D64BC3"/>
    <w:rsid w:val="00D66C46"/>
    <w:rsid w:val="00D72C05"/>
    <w:rsid w:val="00D73575"/>
    <w:rsid w:val="00D735BF"/>
    <w:rsid w:val="00D737B6"/>
    <w:rsid w:val="00D77672"/>
    <w:rsid w:val="00D779F0"/>
    <w:rsid w:val="00D80222"/>
    <w:rsid w:val="00D847CF"/>
    <w:rsid w:val="00D87489"/>
    <w:rsid w:val="00D93BE8"/>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3FA0"/>
    <w:rsid w:val="00DE24D5"/>
    <w:rsid w:val="00DE2CC9"/>
    <w:rsid w:val="00DE411D"/>
    <w:rsid w:val="00DE5B2D"/>
    <w:rsid w:val="00DE5C3E"/>
    <w:rsid w:val="00DE5CE9"/>
    <w:rsid w:val="00DF3036"/>
    <w:rsid w:val="00DF45BB"/>
    <w:rsid w:val="00DF71EE"/>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31469"/>
    <w:rsid w:val="00E3296A"/>
    <w:rsid w:val="00E35639"/>
    <w:rsid w:val="00E361AB"/>
    <w:rsid w:val="00E4188A"/>
    <w:rsid w:val="00E420AA"/>
    <w:rsid w:val="00E432CC"/>
    <w:rsid w:val="00E47FF2"/>
    <w:rsid w:val="00E50711"/>
    <w:rsid w:val="00E52522"/>
    <w:rsid w:val="00E531C9"/>
    <w:rsid w:val="00E60AD3"/>
    <w:rsid w:val="00E60EDA"/>
    <w:rsid w:val="00E62BBC"/>
    <w:rsid w:val="00E67BAE"/>
    <w:rsid w:val="00E711AE"/>
    <w:rsid w:val="00E716F3"/>
    <w:rsid w:val="00E76789"/>
    <w:rsid w:val="00E774F6"/>
    <w:rsid w:val="00E9503C"/>
    <w:rsid w:val="00E956D9"/>
    <w:rsid w:val="00EA10DA"/>
    <w:rsid w:val="00EA1958"/>
    <w:rsid w:val="00EA29F5"/>
    <w:rsid w:val="00EA482D"/>
    <w:rsid w:val="00EA4C55"/>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463D"/>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C06"/>
    <w:rsid w:val="00FB0DC9"/>
    <w:rsid w:val="00FB20B1"/>
    <w:rsid w:val="00FB3AB4"/>
    <w:rsid w:val="00FB6188"/>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234&amp;digitoTst=55&amp;anoTst=2010&amp;orgaoTst=5&amp;tribunalTst=01&amp;varaTst=0041&amp;submit=Consultar" TargetMode="External"/><Relationship Id="rId18" Type="http://schemas.openxmlformats.org/officeDocument/2006/relationships/hyperlink" Target="http://www.tst.jus.br/informativo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68&amp;digitoTst=29&amp;anoTst=2014&amp;orgaoTst=5&amp;tribunalTst=09&amp;varaTst=0245" TargetMode="External"/><Relationship Id="rId17" Type="http://schemas.openxmlformats.org/officeDocument/2006/relationships/hyperlink" Target="mailto:cjur@tst.jus.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licacao4.tst.jus.br/consultaProcessual/consultaTstNumUnica.do?consulta=Consultar&amp;conscsjt=&amp;numeroTst=24089&amp;digitoTst=40&amp;anoTst=2016&amp;orgaoTst=5&amp;tribunalTst=24&amp;varaTst=0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772&amp;digitoTst=57&amp;anoTst=2016&amp;orgaoTst=5&amp;tribunalTst=08&amp;varaTst=000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plicacao4.tst.jus.br/consultaProcessual/consultaTstNumUnica.do?consulta=Consultar&amp;conscsjt=&amp;numeroTst=683900&amp;digitoTst=65&amp;anoTst=2009&amp;orgaoTst=5&amp;tribunalTst=09&amp;varaTst=0024" TargetMode="External"/><Relationship Id="rId23" Type="http://schemas.openxmlformats.org/officeDocument/2006/relationships/footer" Target="footer2.xml"/><Relationship Id="rId10" Type="http://schemas.openxmlformats.org/officeDocument/2006/relationships/hyperlink" Target="http://aplicacao4.tst.jus.br/consultaProcessual/consultaTstNumUnica.do?consulta=Consultar&amp;conscsjt=&amp;numeroTst=277&amp;digitoTst=95&amp;anoTst=2015&amp;orgaoTst=5&amp;tribunalTst=17&amp;varaTst=0000" TargetMode="External"/><Relationship Id="rId19" Type="http://schemas.openxmlformats.org/officeDocument/2006/relationships/hyperlink" Target="http://www.tst.jus.br/push" TargetMode="Externa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277&amp;digitoTst=95&amp;anoTst=2015&amp;orgaoTst=5&amp;tribunalTst=17&amp;varaTst=0000" TargetMode="External"/><Relationship Id="rId14" Type="http://schemas.openxmlformats.org/officeDocument/2006/relationships/hyperlink" Target="http://aplicacao4.tst.jus.br/consultaProcessual/consultaTstNumUnica.do?consulta=Consultar&amp;conscsjt=&amp;numeroTst=2799&amp;digitoTst=09&amp;anoTst=2013&amp;orgaoTst=5&amp;tribunalTst=09&amp;varaTst=0091"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CAAD-53BF-47CB-8F1B-3A059AE7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2142</Words>
  <Characters>13874</Characters>
  <Application>Microsoft Office Word</Application>
  <DocSecurity>0</DocSecurity>
  <Lines>115</Lines>
  <Paragraphs>31</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15985</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c037092</cp:lastModifiedBy>
  <cp:revision>4</cp:revision>
  <cp:lastPrinted>2017-03-06T19:28:00Z</cp:lastPrinted>
  <dcterms:created xsi:type="dcterms:W3CDTF">2019-04-23T17:52:00Z</dcterms:created>
  <dcterms:modified xsi:type="dcterms:W3CDTF">2019-04-23T18:49:00Z</dcterms:modified>
</cp:coreProperties>
</file>